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pBdr>
          <w:bottom w:val="single" w:color="D4A017" w:sz="8" w:space="12"/>
        </w:pBdr>
        <w:spacing w:after="400"/>
        <w:jc w:val="left"/>
      </w:pPr>
      <w:r>
        <w:rPr>
          <w:rFonts w:ascii="Arial" w:cs="Arial" w:eastAsia="Arial" w:hAnsi="Arial"/>
          <w:b/>
          <w:bCs/>
          <w:color w:val="0F172A"/>
          <w:sz w:val="56"/>
          <w:szCs w:val="56"/>
        </w:rPr>
        <w:t xml:space="preserve">ANTUTIVE AB</w:t>
      </w:r>
    </w:p>
    <w:p>
      <w:pPr>
        <w:spacing w:after="120"/>
      </w:pPr>
      <w:r>
        <w:rPr>
          <w:rFonts w:ascii="Arial" w:cs="Arial" w:eastAsia="Arial" w:hAnsi="Arial"/>
          <w:color w:val="1E3A8A"/>
          <w:sz w:val="44"/>
          <w:szCs w:val="44"/>
        </w:rPr>
        <w:t xml:space="preserve">Strategic Business Plan</w:t>
      </w:r>
    </w:p>
    <w:p>
      <w:pPr>
        <w:spacing w:after="80"/>
      </w:pPr>
      <w:r>
        <w:rPr>
          <w:rFonts w:ascii="Arial" w:cs="Arial" w:eastAsia="Arial" w:hAnsi="Arial"/>
          <w:color w:val="94A3B8"/>
          <w:sz w:val="32"/>
          <w:szCs w:val="32"/>
        </w:rPr>
        <w:t xml:space="preserve">2026 – 2027</w:t>
      </w:r>
    </w:p>
    <w:p>
      <w:pPr>
        <w:spacing w:after="800"/>
      </w:pPr>
    </w:p>
    <w:p>
      <w:pPr>
        <w:pBdr>
          <w:bottom w:val="single" w:color="E2E8F0" w:sz="2" w:space="8"/>
        </w:pBdr>
        <w:spacing w:after="200"/>
      </w:pPr>
      <w:r>
        <w:rPr>
          <w:rFonts w:ascii="Arial" w:cs="Arial" w:eastAsia="Arial" w:hAnsi="Arial"/>
          <w:i/>
          <w:iCs/>
          <w:color w:val="1E3A8A"/>
          <w:sz w:val="22"/>
          <w:szCs w:val="22"/>
        </w:rPr>
        <w:t xml:space="preserve">AI Engineering · Data Intelligence · Growth Automation · SaaS Products</w:t>
      </w:r>
    </w:p>
    <w:p>
      <w:pPr>
        <w:spacing w:after="400"/>
      </w:pPr>
    </w:p>
    <w:p>
      <w:pPr>
        <w:spacing w:after="60"/>
      </w:pPr>
      <w:r>
        <w:rPr>
          <w:rFonts w:ascii="Arial" w:cs="Arial" w:eastAsia="Arial" w:hAnsi="Arial"/>
          <w:color w:val="94A3B8"/>
          <w:sz w:val="20"/>
          <w:szCs w:val="20"/>
        </w:rPr>
        <w:t xml:space="preserve">Org.nr: 559576-7228</w:t>
      </w:r>
    </w:p>
    <w:p>
      <w:pPr>
        <w:spacing w:after="60"/>
      </w:pPr>
      <w:r>
        <w:rPr>
          <w:rFonts w:ascii="Arial" w:cs="Arial" w:eastAsia="Arial" w:hAnsi="Arial"/>
          <w:color w:val="94A3B8"/>
          <w:sz w:val="20"/>
          <w:szCs w:val="20"/>
        </w:rPr>
        <w:t xml:space="preserve">Säte: Västra Götalands län, Göteborg kommun</w:t>
      </w:r>
    </w:p>
    <w:p>
      <w:pPr>
        <w:spacing w:after="60"/>
      </w:pPr>
      <w:r>
        <w:rPr>
          <w:rFonts w:ascii="Arial" w:cs="Arial" w:eastAsia="Arial" w:hAnsi="Arial"/>
          <w:color w:val="94A3B8"/>
          <w:sz w:val="18"/>
          <w:szCs w:val="18"/>
        </w:rPr>
        <w:t xml:space="preserve">Version 2.0 — April 2026</w:t>
      </w:r>
    </w:p>
    <w:p>
      <w:pPr>
        <w:spacing w:after="60"/>
      </w:pPr>
      <w:r>
        <w:rPr>
          <w:rFonts w:ascii="Arial" w:cs="Arial" w:eastAsia="Arial" w:hAnsi="Arial"/>
          <w:i/>
          <w:iCs/>
          <w:color w:val="94A3B8"/>
          <w:sz w:val="18"/>
          <w:szCs w:val="18"/>
        </w:rPr>
        <w:t xml:space="preserve">Classification: Confidential — Internal Strategy Document</w:t>
      </w:r>
    </w:p>
    <w:p>
      <w:pPr>
        <w:sectPr>
          <w:pgSz w:w="11906" w:h="16838" w:orient="portrait"/>
          <w:pgMar w:top="1440" w:right="1440" w:bottom="1440" w:left="1440" w:header="708" w:footer="708" w:gutter="0"/>
          <w:pgNumType/>
          <w:docGrid w:linePitch="360"/>
        </w:sectPr>
      </w:pP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Executive Summary</w:t>
      </w:r>
    </w:p>
    <w:p>
      <w:pPr>
        <w:pBdr>
          <w:bottom w:val="single" w:color="D4A017" w:sz="4" w:space="8"/>
        </w:pBdr>
        <w:spacing w:after="200" w:before="100"/>
      </w:pPr>
    </w:p>
    <w:p>
      <w:pPr>
        <w:spacing w:after="160" w:line="300"/>
        <w:jc w:val="both"/>
      </w:pPr>
      <w:r>
        <w:rPr>
          <w:rFonts w:ascii="Arial" w:cs="Arial" w:eastAsia="Arial" w:hAnsi="Arial"/>
          <w:color w:val="334155"/>
          <w:sz w:val="22"/>
          <w:szCs w:val="22"/>
        </w:rPr>
        <w:t xml:space="preserve">ANTUTIVE AB (559576-7228) is a Swedish Aktiebolag registered in Gothenburg, founded to capture the accelerating demand for AI-driven digital transformation across Scandinavia and the European Union. The company operates at the intersection of five high-growth markets: enterprise AI engineering, data analytics, AI-powered growth and marketing automation, custom AI platforms, and productised SaaS distribution.</w:t>
      </w:r>
    </w:p>
    <w:p>
      <w:pPr>
        <w:spacing w:after="160" w:line="300"/>
        <w:jc w:val="both"/>
      </w:pPr>
      <w:r>
        <w:rPr>
          <w:rFonts w:ascii="Arial" w:cs="Arial" w:eastAsia="Arial" w:hAnsi="Arial"/>
          <w:color w:val="334155"/>
          <w:sz w:val="22"/>
          <w:szCs w:val="22"/>
        </w:rPr>
        <w:t xml:space="preserve">This strategic plan defines the company’s three-pillar business architecture, five practice areas, go-to-market strategy, and execution roadmap for the period April 2026 through December 2027. It serves as the operating blueprint for all commercial, product, and marketing decisions.</w:t>
      </w:r>
    </w:p>
    <w:p>
      <w:pPr>
        <w:pStyle w:val="Heading3"/>
      </w:pPr>
      <w:r>
        <w:t xml:space="preserve">Core Thesis</w:t>
      </w:r>
    </w:p>
    <w:p>
      <w:pPr>
        <w:spacing w:after="160" w:line="300"/>
        <w:jc w:val="both"/>
      </w:pPr>
      <w:r>
        <w:rPr>
          <w:rFonts w:ascii="Arial" w:cs="Arial" w:eastAsia="Arial" w:hAnsi="Arial"/>
          <w:color w:val="334155"/>
          <w:sz w:val="22"/>
          <w:szCs w:val="22"/>
        </w:rPr>
        <w:t xml:space="preserve">European SMEs face a compounding pressure: they need AI and data capabilities to remain competitive, but lack the engineering depth to build them securely and in compliance with the EU AI Act (enforcement beginning August 2026). Simultaneously, these companies need AI-native marketing and sales capabilities to remain visible in a market increasingly mediated by AI search engines and generative content. ANTUTIVE positions itself as the engineering partner that eliminates both gaps — delivering custom AI solutions, analytics infrastructure, growth automation, and ready-to-deploy SaaS products with Swedish-grade trust and regulatory compliance.</w:t>
      </w:r>
    </w:p>
    <w:p>
      <w:pPr>
        <w:pStyle w:val="Heading3"/>
      </w:pPr>
      <w:r>
        <w:t xml:space="preserve">The Three Pillars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800"/>
        <w:gridCol w:w="2026"/>
      </w:tblGrid>
      <w:tr>
        <w:trPr>
          <w:tblHeader/>
        </w:trPr>
        <w:tc>
          <w:tcPr>
            <w:tcW w:type="dxa" w:w="1800"/>
            <w:tcBorders>
              <w:top w:val="single" w:color="CBD5E1" w:sz="1"/>
              <w:left w:val="single" w:color="CBD5E1" w:sz="1"/>
              <w:bottom w:val="single" w:color="CBD5E1" w:sz="1"/>
              <w:right w:val="single" w:color="CBD5E1" w:sz="1"/>
            </w:tcBorders>
            <w:shd w:fill="1E3A8A" w:val="clear"/>
            <w:tcMar>
              <w:top w:type="dxa" w:w="100"/>
              <w:left w:type="dxa" w:w="140"/>
              <w:bottom w:type="dxa" w:w="100"/>
              <w:right w:type="dxa" w:w="140"/>
            </w:tcMar>
            <w:vAlign w:val="center"/>
          </w:tcPr>
          <w:p>
            <w:r>
              <w:rPr>
                <w:rFonts w:ascii="Arial" w:cs="Arial" w:eastAsia="Arial" w:hAnsi="Arial"/>
                <w:b/>
                <w:bCs/>
                <w:color w:val="FFFFFF"/>
                <w:sz w:val="20"/>
                <w:szCs w:val="20"/>
              </w:rPr>
              <w:t xml:space="preserve">Pillar</w:t>
            </w:r>
          </w:p>
        </w:tc>
        <w:tc>
          <w:tcPr>
            <w:tcW w:type="dxa" w:w="2400"/>
            <w:tcBorders>
              <w:top w:val="single" w:color="CBD5E1" w:sz="1"/>
              <w:left w:val="single" w:color="CBD5E1" w:sz="1"/>
              <w:bottom w:val="single" w:color="CBD5E1" w:sz="1"/>
              <w:right w:val="single" w:color="CBD5E1" w:sz="1"/>
            </w:tcBorders>
            <w:shd w:fill="1E3A8A" w:val="clear"/>
            <w:tcMar>
              <w:top w:type="dxa" w:w="100"/>
              <w:left w:type="dxa" w:w="140"/>
              <w:bottom w:type="dxa" w:w="100"/>
              <w:right w:type="dxa" w:w="140"/>
            </w:tcMar>
            <w:vAlign w:val="center"/>
          </w:tcPr>
          <w:p>
            <w:r>
              <w:rPr>
                <w:rFonts w:ascii="Arial" w:cs="Arial" w:eastAsia="Arial" w:hAnsi="Arial"/>
                <w:b/>
                <w:bCs/>
                <w:color w:val="FFFFFF"/>
                <w:sz w:val="20"/>
                <w:szCs w:val="20"/>
              </w:rPr>
              <w:t xml:space="preserve">Market Label</w:t>
            </w:r>
          </w:p>
        </w:tc>
        <w:tc>
          <w:tcPr>
            <w:tcW w:type="dxa" w:w="2800"/>
            <w:tcBorders>
              <w:top w:val="single" w:color="CBD5E1" w:sz="1"/>
              <w:left w:val="single" w:color="CBD5E1" w:sz="1"/>
              <w:bottom w:val="single" w:color="CBD5E1" w:sz="1"/>
              <w:right w:val="single" w:color="CBD5E1" w:sz="1"/>
            </w:tcBorders>
            <w:shd w:fill="1E3A8A" w:val="clear"/>
            <w:tcMar>
              <w:top w:type="dxa" w:w="100"/>
              <w:left w:type="dxa" w:w="140"/>
              <w:bottom w:type="dxa" w:w="100"/>
              <w:right w:type="dxa" w:w="140"/>
            </w:tcMar>
            <w:vAlign w:val="center"/>
          </w:tcPr>
          <w:p>
            <w:r>
              <w:rPr>
                <w:rFonts w:ascii="Arial" w:cs="Arial" w:eastAsia="Arial" w:hAnsi="Arial"/>
                <w:b/>
                <w:bCs/>
                <w:color w:val="FFFFFF"/>
                <w:sz w:val="20"/>
                <w:szCs w:val="20"/>
              </w:rPr>
              <w:t xml:space="preserve">Practice Areas</w:t>
            </w:r>
          </w:p>
        </w:tc>
        <w:tc>
          <w:tcPr>
            <w:tcW w:type="dxa" w:w="2026"/>
            <w:tcBorders>
              <w:top w:val="single" w:color="CBD5E1" w:sz="1"/>
              <w:left w:val="single" w:color="CBD5E1" w:sz="1"/>
              <w:bottom w:val="single" w:color="CBD5E1" w:sz="1"/>
              <w:right w:val="single" w:color="CBD5E1" w:sz="1"/>
            </w:tcBorders>
            <w:shd w:fill="1E3A8A" w:val="clear"/>
            <w:tcMar>
              <w:top w:type="dxa" w:w="100"/>
              <w:left w:type="dxa" w:w="140"/>
              <w:bottom w:type="dxa" w:w="100"/>
              <w:right w:type="dxa" w:w="140"/>
            </w:tcMar>
            <w:vAlign w:val="center"/>
          </w:tcPr>
          <w:p>
            <w:r>
              <w:rPr>
                <w:rFonts w:ascii="Arial" w:cs="Arial" w:eastAsia="Arial" w:hAnsi="Arial"/>
                <w:b/>
                <w:bCs/>
                <w:color w:val="FFFFFF"/>
                <w:sz w:val="20"/>
                <w:szCs w:val="20"/>
              </w:rPr>
              <w:t xml:space="preserve">Revenue Model</w:t>
            </w:r>
          </w:p>
        </w:tc>
      </w:tr>
      <w:tr>
        <w:tc>
          <w:tcPr>
            <w:tcW w:type="dxa" w:w="1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1. Engineering Services</w:t>
            </w:r>
          </w:p>
        </w:tc>
        <w:tc>
          <w:tcPr>
            <w:tcW w:type="dxa" w:w="2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AI, Data &amp; Growth Solutions</w:t>
            </w:r>
          </w:p>
        </w:tc>
        <w:tc>
          <w:tcPr>
            <w:tcW w:type="dxa" w:w="2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Gen AI, Data Analytics, Growth &amp; Marketing AI, Custom AI Platforms</w:t>
            </w:r>
          </w:p>
        </w:tc>
        <w:tc>
          <w:tcPr>
            <w:tcW w:type="dxa" w:w="2026"/>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Project + Retainer</w:t>
            </w:r>
          </w:p>
        </w:tc>
      </w:tr>
      <w:tr>
        <w:tc>
          <w:tcPr>
            <w:tcW w:type="dxa" w:w="1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2. Strategic Consulting</w:t>
            </w:r>
          </w:p>
        </w:tc>
        <w:tc>
          <w:tcPr>
            <w:tcW w:type="dxa" w:w="2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IT Consulting &amp; Distributed Engineering</w:t>
            </w:r>
          </w:p>
        </w:tc>
        <w:tc>
          <w:tcPr>
            <w:tcW w:type="dxa" w:w="2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Staff augmentation, Architecture advisory, Digital transformation</w:t>
            </w:r>
          </w:p>
        </w:tc>
        <w:tc>
          <w:tcPr>
            <w:tcW w:type="dxa" w:w="2026"/>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T&amp;M + Managed Teams</w:t>
            </w:r>
          </w:p>
        </w:tc>
      </w:tr>
      <w:tr>
        <w:tc>
          <w:tcPr>
            <w:tcW w:type="dxa" w:w="1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3. Products</w:t>
            </w:r>
          </w:p>
        </w:tc>
        <w:tc>
          <w:tcPr>
            <w:tcW w:type="dxa" w:w="2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Enterprise SaaS Portfolio</w:t>
            </w:r>
          </w:p>
        </w:tc>
        <w:tc>
          <w:tcPr>
            <w:tcW w:type="dxa" w:w="2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FAMANT home OS, EU-rebranded SaaS distribution</w:t>
            </w:r>
          </w:p>
        </w:tc>
        <w:tc>
          <w:tcPr>
            <w:tcW w:type="dxa" w:w="2026"/>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Licensing + Margin</w:t>
            </w:r>
          </w:p>
        </w:tc>
      </w:tr>
    </w:tbl>
    <w:p>
      <w:pPr>
        <w:spacing w:after="200"/>
      </w:pPr>
    </w:p>
    <w:p>
      <w:pPr>
        <w:spacing w:after="160" w:line="300"/>
        <w:jc w:val="both"/>
      </w:pPr>
      <w:r>
        <w:rPr>
          <w:rFonts w:ascii="Arial" w:cs="Arial" w:eastAsia="Arial" w:hAnsi="Arial"/>
          <w:color w:val="334155"/>
          <w:sz w:val="22"/>
          <w:szCs w:val="22"/>
        </w:rPr>
        <w:t xml:space="preserve">The company’s competitive advantage is structural: a global engineering capability that delivers at 3x the speed of traditional Nordic consultancies, combined with a Swedish legal entity that provides full EU regulatory compliance, local invoicing (SEK/EUR), and data sovereignty guarantees. This advantage is discussed with prospects during commercial conversations rather than marketed publicly, allowing ANTUTIVE to compete on outcome quality rather than cost positioning.</w:t>
      </w:r>
    </w:p>
    <w:p>
      <w:r>
        <w:br w:type="page"/>
      </w:r>
    </w:p>
    <w:p>
      <w:pPr>
        <w:pStyle w:val="Heading1"/>
      </w:pPr>
      <w:r>
        <w:t xml:space="preserve">2. Company Foundation</w:t>
      </w:r>
    </w:p>
    <w:p>
      <w:pPr>
        <w:pBdr>
          <w:bottom w:val="single" w:color="D4A017" w:sz="4" w:space="8"/>
        </w:pBdr>
        <w:spacing w:after="200" w:before="100"/>
      </w:pPr>
    </w:p>
    <w:p>
      <w:pPr>
        <w:pStyle w:val="Heading2"/>
      </w:pPr>
      <w:r>
        <w:t xml:space="preserve">2.1 Legal Entity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CBD5E1" w:sz="1"/>
              <w:left w:val="single" w:color="CBD5E1" w:sz="1"/>
              <w:bottom w:val="single" w:color="CBD5E1" w:sz="1"/>
              <w:right w:val="single" w:color="CBD5E1" w:sz="1"/>
            </w:tcBorders>
            <w:shd w:fill="1E3A8A" w:val="clear"/>
            <w:tcMar>
              <w:top w:type="dxa" w:w="100"/>
              <w:left w:type="dxa" w:w="140"/>
              <w:bottom w:type="dxa" w:w="100"/>
              <w:right w:type="dxa" w:w="140"/>
            </w:tcMar>
            <w:vAlign w:val="center"/>
          </w:tcPr>
          <w:p>
            <w:r>
              <w:rPr>
                <w:rFonts w:ascii="Arial" w:cs="Arial" w:eastAsia="Arial" w:hAnsi="Arial"/>
                <w:b/>
                <w:bCs/>
                <w:color w:val="FFFFFF"/>
                <w:sz w:val="20"/>
                <w:szCs w:val="20"/>
              </w:rPr>
              <w:t xml:space="preserve">Parameter</w:t>
            </w:r>
          </w:p>
        </w:tc>
        <w:tc>
          <w:tcPr>
            <w:tcW w:type="dxa" w:w="6026"/>
            <w:tcBorders>
              <w:top w:val="single" w:color="CBD5E1" w:sz="1"/>
              <w:left w:val="single" w:color="CBD5E1" w:sz="1"/>
              <w:bottom w:val="single" w:color="CBD5E1" w:sz="1"/>
              <w:right w:val="single" w:color="CBD5E1" w:sz="1"/>
            </w:tcBorders>
            <w:shd w:fill="1E3A8A" w:val="clear"/>
            <w:tcMar>
              <w:top w:type="dxa" w:w="100"/>
              <w:left w:type="dxa" w:w="140"/>
              <w:bottom w:type="dxa" w:w="100"/>
              <w:right w:type="dxa" w:w="140"/>
            </w:tcMar>
            <w:vAlign w:val="center"/>
          </w:tcPr>
          <w:p>
            <w:r>
              <w:rPr>
                <w:rFonts w:ascii="Arial" w:cs="Arial" w:eastAsia="Arial" w:hAnsi="Arial"/>
                <w:b/>
                <w:bCs/>
                <w:color w:val="FFFFFF"/>
                <w:sz w:val="20"/>
                <w:szCs w:val="20"/>
              </w:rPr>
              <w:t xml:space="preserve">Detail</w:t>
            </w:r>
          </w:p>
        </w:tc>
      </w:tr>
      <w:tr>
        <w:tc>
          <w:tcPr>
            <w:tcW w:type="dxa" w:w="3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Company Name</w:t>
            </w:r>
          </w:p>
        </w:tc>
        <w:tc>
          <w:tcPr>
            <w:tcW w:type="dxa" w:w="6026"/>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Antutive AB</w:t>
            </w:r>
          </w:p>
        </w:tc>
      </w:tr>
      <w:tr>
        <w:tc>
          <w:tcPr>
            <w:tcW w:type="dxa" w:w="3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Organisation Number</w:t>
            </w:r>
          </w:p>
        </w:tc>
        <w:tc>
          <w:tcPr>
            <w:tcW w:type="dxa" w:w="6026"/>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559576-7228</w:t>
            </w:r>
          </w:p>
        </w:tc>
      </w:tr>
      <w:tr>
        <w:tc>
          <w:tcPr>
            <w:tcW w:type="dxa" w:w="3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Company Type</w:t>
            </w:r>
          </w:p>
        </w:tc>
        <w:tc>
          <w:tcPr>
            <w:tcW w:type="dxa" w:w="6026"/>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Privat Aktiebolag</w:t>
            </w:r>
          </w:p>
        </w:tc>
      </w:tr>
      <w:tr>
        <w:tc>
          <w:tcPr>
            <w:tcW w:type="dxa" w:w="3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Registration Date</w:t>
            </w:r>
          </w:p>
        </w:tc>
        <w:tc>
          <w:tcPr>
            <w:tcW w:type="dxa" w:w="6026"/>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2026-03-13 (Bolagsverket)</w:t>
            </w:r>
          </w:p>
        </w:tc>
      </w:tr>
      <w:tr>
        <w:tc>
          <w:tcPr>
            <w:tcW w:type="dxa" w:w="3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Formation Date</w:t>
            </w:r>
          </w:p>
        </w:tc>
        <w:tc>
          <w:tcPr>
            <w:tcW w:type="dxa" w:w="6026"/>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2026-02-19</w:t>
            </w:r>
          </w:p>
        </w:tc>
      </w:tr>
      <w:tr>
        <w:tc>
          <w:tcPr>
            <w:tcW w:type="dxa" w:w="3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Registered Seat</w:t>
            </w:r>
          </w:p>
        </w:tc>
        <w:tc>
          <w:tcPr>
            <w:tcW w:type="dxa" w:w="6026"/>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Västra Götalands län, Göteborg kommun</w:t>
            </w:r>
          </w:p>
        </w:tc>
      </w:tr>
      <w:tr>
        <w:tc>
          <w:tcPr>
            <w:tcW w:type="dxa" w:w="3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Share Capital</w:t>
            </w:r>
          </w:p>
        </w:tc>
        <w:tc>
          <w:tcPr>
            <w:tcW w:type="dxa" w:w="6026"/>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25,000 SEK (range: 25,000–100,000 SEK)</w:t>
            </w:r>
          </w:p>
        </w:tc>
      </w:tr>
      <w:tr>
        <w:tc>
          <w:tcPr>
            <w:tcW w:type="dxa" w:w="3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Shares</w:t>
            </w:r>
          </w:p>
        </w:tc>
        <w:tc>
          <w:tcPr>
            <w:tcW w:type="dxa" w:w="6026"/>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25,000 (range: 25,000–100,000)</w:t>
            </w:r>
          </w:p>
        </w:tc>
      </w:tr>
      <w:tr>
        <w:tc>
          <w:tcPr>
            <w:tcW w:type="dxa" w:w="3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Financial Year</w:t>
            </w:r>
          </w:p>
        </w:tc>
        <w:tc>
          <w:tcPr>
            <w:tcW w:type="dxa" w:w="6026"/>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January 1 – December 31</w:t>
            </w:r>
          </w:p>
        </w:tc>
      </w:tr>
      <w:tr>
        <w:tc>
          <w:tcPr>
            <w:tcW w:type="dxa" w:w="3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First Financial Year</w:t>
            </w:r>
          </w:p>
        </w:tc>
        <w:tc>
          <w:tcPr>
            <w:tcW w:type="dxa" w:w="6026"/>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2026-03-13 – 2026-12-31</w:t>
            </w:r>
          </w:p>
        </w:tc>
      </w:tr>
      <w:tr>
        <w:tc>
          <w:tcPr>
            <w:tcW w:type="dxa" w:w="3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Auditor</w:t>
            </w:r>
          </w:p>
        </w:tc>
        <w:tc>
          <w:tcPr>
            <w:tcW w:type="dxa" w:w="6026"/>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Exempted per bolagsordningen</w:t>
            </w:r>
          </w:p>
        </w:tc>
      </w:tr>
      <w:tr>
        <w:tc>
          <w:tcPr>
            <w:tcW w:type="dxa" w:w="3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Signing Authority</w:t>
            </w:r>
          </w:p>
        </w:tc>
        <w:tc>
          <w:tcPr>
            <w:tcW w:type="dxa" w:w="6026"/>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Board members and deputy, individually</w:t>
            </w:r>
          </w:p>
        </w:tc>
      </w:tr>
    </w:tbl>
    <w:p>
      <w:pPr>
        <w:spacing w:after="200"/>
      </w:pPr>
    </w:p>
    <w:p>
      <w:pPr>
        <w:pStyle w:val="Heading2"/>
      </w:pPr>
      <w:r>
        <w:t xml:space="preserve">2.2 Registered Verksamhet</w:t>
      </w:r>
    </w:p>
    <w:p>
      <w:pPr>
        <w:spacing w:after="160" w:line="300"/>
        <w:jc w:val="both"/>
      </w:pPr>
      <w:r>
        <w:rPr>
          <w:rFonts w:ascii="Arial" w:cs="Arial" w:eastAsia="Arial" w:hAnsi="Arial"/>
          <w:color w:val="334155"/>
          <w:sz w:val="22"/>
          <w:szCs w:val="22"/>
        </w:rPr>
        <w:t xml:space="preserve">As filed with Bolagsverket: “Bolaget ska utveckla, marknadsföra och sälja digitala mjukvarutjänster (SaaS) samt erbjuda IT-konsulttjänster inom AI, dataanalys, automation och systemutveckling för affärsapplikationer.”</w:t>
      </w:r>
    </w:p>
    <w:p>
      <w:pPr>
        <w:spacing w:after="160" w:line="300"/>
        <w:jc w:val="both"/>
      </w:pPr>
      <w:r>
        <w:rPr>
          <w:rFonts w:ascii="Arial" w:cs="Arial" w:eastAsia="Arial" w:hAnsi="Arial"/>
          <w:color w:val="334155"/>
          <w:sz w:val="22"/>
          <w:szCs w:val="22"/>
        </w:rPr>
        <w:t xml:space="preserve">This verksamhet description strategically covers all business pillars and practice areas: SaaS development and distribution (Pillar 3), AI and data analysis services including growth automation and custom AI platforms (Pillar 1), and IT consulting and system development (Pillar 2). The term “automation” in the registration explicitly supports AI-powered marketing and sales automation services. No amendment to the bolagsordning is required.</w:t>
      </w:r>
    </w:p>
    <w:p>
      <w:pPr>
        <w:pStyle w:val="Heading2"/>
      </w:pPr>
      <w:r>
        <w:t xml:space="preserve">2.3 Banking &amp; Operations</w:t>
      </w:r>
    </w:p>
    <w:p>
      <w:pPr>
        <w:spacing w:after="160" w:line="300"/>
        <w:jc w:val="both"/>
      </w:pPr>
      <w:r>
        <w:rPr>
          <w:rFonts w:ascii="Arial" w:cs="Arial" w:eastAsia="Arial" w:hAnsi="Arial"/>
          <w:color w:val="334155"/>
          <w:sz w:val="22"/>
          <w:szCs w:val="22"/>
        </w:rPr>
        <w:t xml:space="preserve">ANTUTIVE AB holds its corporate account with Svea Bank AB (Publ), established during the bolagsbildning process. The account supports SEK transactions, Swish Handel integration for B2B micro-payments, and debit card operations. International EUR invoicing capability should be established within Q2 2026 to support EU-wide client billing.</w:t>
      </w:r>
    </w:p>
    <w:p>
      <w:r>
        <w:br w:type="page"/>
      </w:r>
    </w:p>
    <w:p>
      <w:pPr>
        <w:pStyle w:val="Heading1"/>
      </w:pPr>
      <w:r>
        <w:t xml:space="preserve">3. Business Architecture</w:t>
      </w:r>
    </w:p>
    <w:p>
      <w:pPr>
        <w:pBdr>
          <w:bottom w:val="single" w:color="D4A017" w:sz="4" w:space="8"/>
        </w:pBdr>
        <w:spacing w:after="200" w:before="100"/>
      </w:pPr>
    </w:p>
    <w:p>
      <w:pPr>
        <w:pStyle w:val="Heading2"/>
      </w:pPr>
      <w:r>
        <w:t xml:space="preserve">3.1 Dual Architecture Model</w:t>
      </w:r>
    </w:p>
    <w:p>
      <w:pPr>
        <w:spacing w:after="160" w:line="300"/>
        <w:jc w:val="both"/>
      </w:pPr>
      <w:r>
        <w:rPr>
          <w:rFonts w:ascii="Arial" w:cs="Arial" w:eastAsia="Arial" w:hAnsi="Arial"/>
          <w:color w:val="334155"/>
          <w:sz w:val="22"/>
          <w:szCs w:val="22"/>
        </w:rPr>
        <w:t xml:space="preserve">ANTUTIVE operates with two distinct architectures: the Business Architecture (how the company operates internally and generates profit) and the Market Architecture (how prospects and clients perceive the company). This separation is critical to maintaining premium positioning while leveraging global cost structures.</w:t>
      </w:r>
    </w:p>
    <w:p>
      <w:pPr>
        <w:pStyle w:val="Heading3"/>
      </w:pPr>
      <w:r>
        <w:t xml:space="preserve">Business Architecture (Internal)</w:t>
      </w:r>
    </w:p>
    <w:p>
      <w:pPr>
        <w:spacing w:after="160" w:line="300"/>
        <w:jc w:val="both"/>
      </w:pPr>
      <w:r>
        <w:rPr>
          <w:rFonts w:ascii="Arial" w:cs="Arial" w:eastAsia="Arial" w:hAnsi="Arial"/>
          <w:color w:val="334155"/>
          <w:sz w:val="22"/>
          <w:szCs w:val="22"/>
        </w:rPr>
        <w:t xml:space="preserve">The internal operating model leverages a distributed engineering team with primary delivery capacity in India. This provides significant cost arbitrage (typically 60–70% lower engineering costs compared to Nordic rates) and enables parallel development cycles across time zones, resulting in substantially faster delivery. This operational reality is the engine behind ANTUTIVE’s speed advantage but is never positioned as “offshoring” in market-facing materials.</w:t>
      </w:r>
    </w:p>
    <w:p>
      <w:pPr>
        <w:pStyle w:val="Heading3"/>
      </w:pPr>
      <w:r>
        <w:t xml:space="preserve">Market Architecture (External)</w:t>
      </w:r>
    </w:p>
    <w:p>
      <w:pPr>
        <w:spacing w:after="160" w:line="300"/>
        <w:jc w:val="both"/>
      </w:pPr>
      <w:r>
        <w:rPr>
          <w:rFonts w:ascii="Arial" w:cs="Arial" w:eastAsia="Arial" w:hAnsi="Arial"/>
          <w:color w:val="334155"/>
          <w:sz w:val="22"/>
          <w:szCs w:val="22"/>
        </w:rPr>
        <w:t xml:space="preserve">The external positioning presents ANTUTIVE as a Gothenburg-headquartered strategic engineering partner. The narrative centres on three differentiators: engineering speed, digital sovereignty, and regulatory readiness. The cost advantage is discussed exclusively during commercial conversations with qualified prospects.</w:t>
      </w:r>
    </w:p>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613"/>
        <w:gridCol w:w="3613"/>
      </w:tblGrid>
      <w:tr>
        <w:trPr>
          <w:tblHeader/>
        </w:trPr>
        <w:tc>
          <w:tcPr>
            <w:tcW w:type="dxa" w:w="1800"/>
            <w:tcBorders>
              <w:top w:val="single" w:color="CBD5E1" w:sz="1"/>
              <w:left w:val="single" w:color="CBD5E1" w:sz="1"/>
              <w:bottom w:val="single" w:color="CBD5E1" w:sz="1"/>
              <w:right w:val="single" w:color="CBD5E1" w:sz="1"/>
            </w:tcBorders>
            <w:shd w:fill="1E3A8A" w:val="clear"/>
            <w:tcMar>
              <w:top w:type="dxa" w:w="100"/>
              <w:left w:type="dxa" w:w="140"/>
              <w:bottom w:type="dxa" w:w="100"/>
              <w:right w:type="dxa" w:w="140"/>
            </w:tcMar>
            <w:vAlign w:val="center"/>
          </w:tcPr>
          <w:p>
            <w:r>
              <w:rPr>
                <w:rFonts w:ascii="Arial" w:cs="Arial" w:eastAsia="Arial" w:hAnsi="Arial"/>
                <w:b/>
                <w:bCs/>
                <w:color w:val="FFFFFF"/>
                <w:sz w:val="20"/>
                <w:szCs w:val="20"/>
              </w:rPr>
              <w:t xml:space="preserve">Dimension</w:t>
            </w:r>
          </w:p>
        </w:tc>
        <w:tc>
          <w:tcPr>
            <w:tcW w:type="dxa" w:w="3613"/>
            <w:tcBorders>
              <w:top w:val="single" w:color="CBD5E1" w:sz="1"/>
              <w:left w:val="single" w:color="CBD5E1" w:sz="1"/>
              <w:bottom w:val="single" w:color="CBD5E1" w:sz="1"/>
              <w:right w:val="single" w:color="CBD5E1" w:sz="1"/>
            </w:tcBorders>
            <w:shd w:fill="1E3A8A" w:val="clear"/>
            <w:tcMar>
              <w:top w:type="dxa" w:w="100"/>
              <w:left w:type="dxa" w:w="140"/>
              <w:bottom w:type="dxa" w:w="100"/>
              <w:right w:type="dxa" w:w="140"/>
            </w:tcMar>
            <w:vAlign w:val="center"/>
          </w:tcPr>
          <w:p>
            <w:r>
              <w:rPr>
                <w:rFonts w:ascii="Arial" w:cs="Arial" w:eastAsia="Arial" w:hAnsi="Arial"/>
                <w:b/>
                <w:bCs/>
                <w:color w:val="FFFFFF"/>
                <w:sz w:val="20"/>
                <w:szCs w:val="20"/>
              </w:rPr>
              <w:t xml:space="preserve">Internal Reality</w:t>
            </w:r>
          </w:p>
        </w:tc>
        <w:tc>
          <w:tcPr>
            <w:tcW w:type="dxa" w:w="3613"/>
            <w:tcBorders>
              <w:top w:val="single" w:color="CBD5E1" w:sz="1"/>
              <w:left w:val="single" w:color="CBD5E1" w:sz="1"/>
              <w:bottom w:val="single" w:color="CBD5E1" w:sz="1"/>
              <w:right w:val="single" w:color="CBD5E1" w:sz="1"/>
            </w:tcBorders>
            <w:shd w:fill="1E3A8A" w:val="clear"/>
            <w:tcMar>
              <w:top w:type="dxa" w:w="100"/>
              <w:left w:type="dxa" w:w="140"/>
              <w:bottom w:type="dxa" w:w="100"/>
              <w:right w:type="dxa" w:w="140"/>
            </w:tcMar>
            <w:vAlign w:val="center"/>
          </w:tcPr>
          <w:p>
            <w:r>
              <w:rPr>
                <w:rFonts w:ascii="Arial" w:cs="Arial" w:eastAsia="Arial" w:hAnsi="Arial"/>
                <w:b/>
                <w:bCs/>
                <w:color w:val="FFFFFF"/>
                <w:sz w:val="20"/>
                <w:szCs w:val="20"/>
              </w:rPr>
              <w:t xml:space="preserve">Market Positioning</w:t>
            </w:r>
          </w:p>
        </w:tc>
      </w:tr>
      <w:tr>
        <w:tc>
          <w:tcPr>
            <w:tcW w:type="dxa" w:w="1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Team Structure</w:t>
            </w:r>
          </w:p>
        </w:tc>
        <w:tc>
          <w:tcPr>
            <w:tcW w:type="dxa" w:w="3613"/>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Global distributed engineering (India + Sweden)</w:t>
            </w:r>
          </w:p>
        </w:tc>
        <w:tc>
          <w:tcPr>
            <w:tcW w:type="dxa" w:w="3613"/>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Expert engineering teams with rapid delivery capability</w:t>
            </w:r>
          </w:p>
        </w:tc>
      </w:tr>
      <w:tr>
        <w:tc>
          <w:tcPr>
            <w:tcW w:type="dxa" w:w="1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Speed Advantage</w:t>
            </w:r>
          </w:p>
        </w:tc>
        <w:tc>
          <w:tcPr>
            <w:tcW w:type="dxa" w:w="3613"/>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Parallel time-zone development cycles</w:t>
            </w:r>
          </w:p>
        </w:tc>
        <w:tc>
          <w:tcPr>
            <w:tcW w:type="dxa" w:w="3613"/>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3x faster time-to-value than traditional consultancies</w:t>
            </w:r>
          </w:p>
        </w:tc>
      </w:tr>
      <w:tr>
        <w:tc>
          <w:tcPr>
            <w:tcW w:type="dxa" w:w="1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Cost Structure</w:t>
            </w:r>
          </w:p>
        </w:tc>
        <w:tc>
          <w:tcPr>
            <w:tcW w:type="dxa" w:w="3613"/>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60–70% lower engineering costs</w:t>
            </w:r>
          </w:p>
        </w:tc>
        <w:tc>
          <w:tcPr>
            <w:tcW w:type="dxa" w:w="3613"/>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Discussed on calls — never in public materials</w:t>
            </w:r>
          </w:p>
        </w:tc>
      </w:tr>
      <w:tr>
        <w:tc>
          <w:tcPr>
            <w:tcW w:type="dxa" w:w="1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Data Handling</w:t>
            </w:r>
          </w:p>
        </w:tc>
        <w:tc>
          <w:tcPr>
            <w:tcW w:type="dxa" w:w="3613"/>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All client data on EU/Swedish infrastructure</w:t>
            </w:r>
          </w:p>
        </w:tc>
        <w:tc>
          <w:tcPr>
            <w:tcW w:type="dxa" w:w="3613"/>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Full digital sovereignty and GDPR compliance</w:t>
            </w:r>
          </w:p>
        </w:tc>
      </w:tr>
      <w:tr>
        <w:tc>
          <w:tcPr>
            <w:tcW w:type="dxa" w:w="1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Legal Entity</w:t>
            </w:r>
          </w:p>
        </w:tc>
        <w:tc>
          <w:tcPr>
            <w:tcW w:type="dxa" w:w="3613"/>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Swedish AB with Indian operations</w:t>
            </w:r>
          </w:p>
        </w:tc>
        <w:tc>
          <w:tcPr>
            <w:tcW w:type="dxa" w:w="3613"/>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Swedish Aktiebolag, Gothenburg</w:t>
            </w:r>
          </w:p>
        </w:tc>
      </w:tr>
    </w:tbl>
    <w:p>
      <w:pPr>
        <w:spacing w:after="200"/>
      </w:pPr>
    </w:p>
    <w:p>
      <w:pPr>
        <w:pStyle w:val="Heading2"/>
      </w:pPr>
      <w:r>
        <w:t xml:space="preserve">3.2 The Five Practice Areas</w:t>
      </w:r>
    </w:p>
    <w:p>
      <w:pPr>
        <w:spacing w:after="160" w:line="300"/>
        <w:jc w:val="both"/>
      </w:pPr>
      <w:r>
        <w:rPr>
          <w:rFonts w:ascii="Arial" w:cs="Arial" w:eastAsia="Arial" w:hAnsi="Arial"/>
          <w:color w:val="334155"/>
          <w:sz w:val="22"/>
          <w:szCs w:val="22"/>
        </w:rPr>
        <w:t xml:space="preserve">Pillar 1 (Engineering Services) is the largest pillar by scope and revenue potential. It contains four distinct practice areas, each of which can be sold independently or bundled for comprehensive engagements. Pillar 2 (Consulting) and Pillar 3 (Products) each represent a single practice area.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800"/>
        <w:gridCol w:w="2800"/>
        <w:gridCol w:w="3026"/>
      </w:tblGrid>
      <w:tr>
        <w:trPr>
          <w:tblHeader/>
        </w:trPr>
        <w:tc>
          <w:tcPr>
            <w:tcW w:type="dxa" w:w="2400"/>
            <w:tcBorders>
              <w:top w:val="single" w:color="CBD5E1" w:sz="1"/>
              <w:left w:val="single" w:color="CBD5E1" w:sz="1"/>
              <w:bottom w:val="single" w:color="CBD5E1" w:sz="1"/>
              <w:right w:val="single" w:color="CBD5E1" w:sz="1"/>
            </w:tcBorders>
            <w:shd w:fill="1E3A8A" w:val="clear"/>
            <w:tcMar>
              <w:top w:type="dxa" w:w="100"/>
              <w:left w:type="dxa" w:w="140"/>
              <w:bottom w:type="dxa" w:w="100"/>
              <w:right w:type="dxa" w:w="140"/>
            </w:tcMar>
            <w:vAlign w:val="center"/>
          </w:tcPr>
          <w:p>
            <w:r>
              <w:rPr>
                <w:rFonts w:ascii="Arial" w:cs="Arial" w:eastAsia="Arial" w:hAnsi="Arial"/>
                <w:b/>
                <w:bCs/>
                <w:color w:val="FFFFFF"/>
                <w:sz w:val="20"/>
                <w:szCs w:val="20"/>
              </w:rPr>
              <w:t xml:space="preserve">Practice Area</w:t>
            </w:r>
          </w:p>
        </w:tc>
        <w:tc>
          <w:tcPr>
            <w:tcW w:type="dxa" w:w="800"/>
            <w:tcBorders>
              <w:top w:val="single" w:color="CBD5E1" w:sz="1"/>
              <w:left w:val="single" w:color="CBD5E1" w:sz="1"/>
              <w:bottom w:val="single" w:color="CBD5E1" w:sz="1"/>
              <w:right w:val="single" w:color="CBD5E1" w:sz="1"/>
            </w:tcBorders>
            <w:shd w:fill="1E3A8A" w:val="clear"/>
            <w:tcMar>
              <w:top w:type="dxa" w:w="100"/>
              <w:left w:type="dxa" w:w="140"/>
              <w:bottom w:type="dxa" w:w="100"/>
              <w:right w:type="dxa" w:w="140"/>
            </w:tcMar>
            <w:vAlign w:val="center"/>
          </w:tcPr>
          <w:p>
            <w:r>
              <w:rPr>
                <w:rFonts w:ascii="Arial" w:cs="Arial" w:eastAsia="Arial" w:hAnsi="Arial"/>
                <w:b/>
                <w:bCs/>
                <w:color w:val="FFFFFF"/>
                <w:sz w:val="20"/>
                <w:szCs w:val="20"/>
              </w:rPr>
              <w:t xml:space="preserve">Pillar</w:t>
            </w:r>
          </w:p>
        </w:tc>
        <w:tc>
          <w:tcPr>
            <w:tcW w:type="dxa" w:w="2800"/>
            <w:tcBorders>
              <w:top w:val="single" w:color="CBD5E1" w:sz="1"/>
              <w:left w:val="single" w:color="CBD5E1" w:sz="1"/>
              <w:bottom w:val="single" w:color="CBD5E1" w:sz="1"/>
              <w:right w:val="single" w:color="CBD5E1" w:sz="1"/>
            </w:tcBorders>
            <w:shd w:fill="1E3A8A" w:val="clear"/>
            <w:tcMar>
              <w:top w:type="dxa" w:w="100"/>
              <w:left w:type="dxa" w:w="140"/>
              <w:bottom w:type="dxa" w:w="100"/>
              <w:right w:type="dxa" w:w="140"/>
            </w:tcMar>
            <w:vAlign w:val="center"/>
          </w:tcPr>
          <w:p>
            <w:r>
              <w:rPr>
                <w:rFonts w:ascii="Arial" w:cs="Arial" w:eastAsia="Arial" w:hAnsi="Arial"/>
                <w:b/>
                <w:bCs/>
                <w:color w:val="FFFFFF"/>
                <w:sz w:val="20"/>
                <w:szCs w:val="20"/>
              </w:rPr>
              <w:t xml:space="preserve">Entry Point</w:t>
            </w:r>
          </w:p>
        </w:tc>
        <w:tc>
          <w:tcPr>
            <w:tcW w:type="dxa" w:w="3026"/>
            <w:tcBorders>
              <w:top w:val="single" w:color="CBD5E1" w:sz="1"/>
              <w:left w:val="single" w:color="CBD5E1" w:sz="1"/>
              <w:bottom w:val="single" w:color="CBD5E1" w:sz="1"/>
              <w:right w:val="single" w:color="CBD5E1" w:sz="1"/>
            </w:tcBorders>
            <w:shd w:fill="1E3A8A" w:val="clear"/>
            <w:tcMar>
              <w:top w:type="dxa" w:w="100"/>
              <w:left w:type="dxa" w:w="140"/>
              <w:bottom w:type="dxa" w:w="100"/>
              <w:right w:type="dxa" w:w="140"/>
            </w:tcMar>
            <w:vAlign w:val="center"/>
          </w:tcPr>
          <w:p>
            <w:r>
              <w:rPr>
                <w:rFonts w:ascii="Arial" w:cs="Arial" w:eastAsia="Arial" w:hAnsi="Arial"/>
                <w:b/>
                <w:bCs/>
                <w:color w:val="FFFFFF"/>
                <w:sz w:val="20"/>
                <w:szCs w:val="20"/>
              </w:rPr>
              <w:t xml:space="preserve">Upsell Path</w:t>
            </w:r>
          </w:p>
        </w:tc>
      </w:tr>
      <w:tr>
        <w:tc>
          <w:tcPr>
            <w:tcW w:type="dxa" w:w="2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Generative AI Solutions</w:t>
            </w:r>
          </w:p>
        </w:tc>
        <w:tc>
          <w:tcPr>
            <w:tcW w:type="dxa" w:w="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1</w:t>
            </w:r>
          </w:p>
        </w:tc>
        <w:tc>
          <w:tcPr>
            <w:tcW w:type="dxa" w:w="2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Sovereign RAG, Agentic systems</w:t>
            </w:r>
          </w:p>
        </w:tc>
        <w:tc>
          <w:tcPr>
            <w:tcW w:type="dxa" w:w="3026"/>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Expands into custom AI platforms</w:t>
            </w:r>
          </w:p>
        </w:tc>
      </w:tr>
      <w:tr>
        <w:tc>
          <w:tcPr>
            <w:tcW w:type="dxa" w:w="2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Data Engineering &amp; Analytics</w:t>
            </w:r>
          </w:p>
        </w:tc>
        <w:tc>
          <w:tcPr>
            <w:tcW w:type="dxa" w:w="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1</w:t>
            </w:r>
          </w:p>
        </w:tc>
        <w:tc>
          <w:tcPr>
            <w:tcW w:type="dxa" w:w="2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Power BI dashboards, ETL pipelines</w:t>
            </w:r>
          </w:p>
        </w:tc>
        <w:tc>
          <w:tcPr>
            <w:tcW w:type="dxa" w:w="3026"/>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Foundation for AI — upsells to Gen AI</w:t>
            </w:r>
          </w:p>
        </w:tc>
      </w:tr>
      <w:tr>
        <w:tc>
          <w:tcPr>
            <w:tcW w:type="dxa" w:w="2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AI Growth &amp; Marketing</w:t>
            </w:r>
          </w:p>
        </w:tc>
        <w:tc>
          <w:tcPr>
            <w:tcW w:type="dxa" w:w="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1</w:t>
            </w:r>
          </w:p>
        </w:tc>
        <w:tc>
          <w:tcPr>
            <w:tcW w:type="dxa" w:w="2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GEO audit, AI video for marketing</w:t>
            </w:r>
          </w:p>
        </w:tc>
        <w:tc>
          <w:tcPr>
            <w:tcW w:type="dxa" w:w="3026"/>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Leads to web engine + full growth stack</w:t>
            </w:r>
          </w:p>
        </w:tc>
      </w:tr>
      <w:tr>
        <w:tc>
          <w:tcPr>
            <w:tcW w:type="dxa" w:w="2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Custom AI Platforms</w:t>
            </w:r>
          </w:p>
        </w:tc>
        <w:tc>
          <w:tcPr>
            <w:tcW w:type="dxa" w:w="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1</w:t>
            </w:r>
          </w:p>
        </w:tc>
        <w:tc>
          <w:tcPr>
            <w:tcW w:type="dxa" w:w="2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Private chat UI, model selection</w:t>
            </w:r>
          </w:p>
        </w:tc>
        <w:tc>
          <w:tcPr>
            <w:tcW w:type="dxa" w:w="3026"/>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Evolves into enterprise AI workspace</w:t>
            </w:r>
          </w:p>
        </w:tc>
      </w:tr>
      <w:tr>
        <w:tc>
          <w:tcPr>
            <w:tcW w:type="dxa" w:w="2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Strategic Consulting &amp; Talent</w:t>
            </w:r>
          </w:p>
        </w:tc>
        <w:tc>
          <w:tcPr>
            <w:tcW w:type="dxa" w:w="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2</w:t>
            </w:r>
          </w:p>
        </w:tc>
        <w:tc>
          <w:tcPr>
            <w:tcW w:type="dxa" w:w="2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IT advisory, team augmentation</w:t>
            </w:r>
          </w:p>
        </w:tc>
        <w:tc>
          <w:tcPr>
            <w:tcW w:type="dxa" w:w="3026"/>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Converts to managed project delivery</w:t>
            </w:r>
          </w:p>
        </w:tc>
      </w:tr>
      <w:tr>
        <w:tc>
          <w:tcPr>
            <w:tcW w:type="dxa" w:w="2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Products (FAMANT + SaaS)</w:t>
            </w:r>
          </w:p>
        </w:tc>
        <w:tc>
          <w:tcPr>
            <w:tcW w:type="dxa" w:w="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3</w:t>
            </w:r>
          </w:p>
        </w:tc>
        <w:tc>
          <w:tcPr>
            <w:tcW w:type="dxa" w:w="2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FAMANT free tier, SaaS trials</w:t>
            </w:r>
          </w:p>
        </w:tc>
        <w:tc>
          <w:tcPr>
            <w:tcW w:type="dxa" w:w="3026"/>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Subscription upgrades, enterprise plans</w:t>
            </w:r>
          </w:p>
        </w:tc>
      </w:tr>
    </w:tbl>
    <w:p>
      <w:pPr>
        <w:spacing w:after="200"/>
      </w:pPr>
    </w:p>
    <w:p>
      <w:pPr>
        <w:pStyle w:val="Heading2"/>
      </w:pPr>
      <w:r>
        <w:t xml:space="preserve">3.3 Positioning Language Guide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CBD5E1" w:sz="1"/>
              <w:left w:val="single" w:color="CBD5E1" w:sz="1"/>
              <w:bottom w:val="single" w:color="CBD5E1" w:sz="1"/>
              <w:right w:val="single" w:color="CBD5E1" w:sz="1"/>
            </w:tcBorders>
            <w:shd w:fill="1E3A8A" w:val="clear"/>
            <w:tcMar>
              <w:top w:type="dxa" w:w="100"/>
              <w:left w:type="dxa" w:w="140"/>
              <w:bottom w:type="dxa" w:w="100"/>
              <w:right w:type="dxa" w:w="140"/>
            </w:tcMar>
            <w:vAlign w:val="center"/>
          </w:tcPr>
          <w:p>
            <w:r>
              <w:rPr>
                <w:rFonts w:ascii="Arial" w:cs="Arial" w:eastAsia="Arial" w:hAnsi="Arial"/>
                <w:b/>
                <w:bCs/>
                <w:color w:val="FFFFFF"/>
                <w:sz w:val="20"/>
                <w:szCs w:val="20"/>
              </w:rPr>
              <w:t xml:space="preserve">Never Use</w:t>
            </w:r>
          </w:p>
        </w:tc>
        <w:tc>
          <w:tcPr>
            <w:tcW w:type="dxa" w:w="4513"/>
            <w:tcBorders>
              <w:top w:val="single" w:color="CBD5E1" w:sz="1"/>
              <w:left w:val="single" w:color="CBD5E1" w:sz="1"/>
              <w:bottom w:val="single" w:color="CBD5E1" w:sz="1"/>
              <w:right w:val="single" w:color="CBD5E1" w:sz="1"/>
            </w:tcBorders>
            <w:shd w:fill="1E3A8A" w:val="clear"/>
            <w:tcMar>
              <w:top w:type="dxa" w:w="100"/>
              <w:left w:type="dxa" w:w="140"/>
              <w:bottom w:type="dxa" w:w="100"/>
              <w:right w:type="dxa" w:w="140"/>
            </w:tcMar>
            <w:vAlign w:val="center"/>
          </w:tcPr>
          <w:p>
            <w:r>
              <w:rPr>
                <w:rFonts w:ascii="Arial" w:cs="Arial" w:eastAsia="Arial" w:hAnsi="Arial"/>
                <w:b/>
                <w:bCs/>
                <w:color w:val="FFFFFF"/>
                <w:sz w:val="20"/>
                <w:szCs w:val="20"/>
              </w:rPr>
              <w:t xml:space="preserve">Always Use</w:t>
            </w:r>
          </w:p>
        </w:tc>
      </w:tr>
      <w:tr>
        <w:tc>
          <w:tcPr>
            <w:tcW w:type="dxa" w:w="4513"/>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Offshore / Offshoring</w:t>
            </w:r>
          </w:p>
        </w:tc>
        <w:tc>
          <w:tcPr>
            <w:tcW w:type="dxa" w:w="4513"/>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Distributed engineering / Global delivery model</w:t>
            </w:r>
          </w:p>
        </w:tc>
      </w:tr>
      <w:tr>
        <w:tc>
          <w:tcPr>
            <w:tcW w:type="dxa" w:w="4513"/>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India team / Indian developers</w:t>
            </w:r>
          </w:p>
        </w:tc>
        <w:tc>
          <w:tcPr>
            <w:tcW w:type="dxa" w:w="4513"/>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Specialised engineering teams</w:t>
            </w:r>
          </w:p>
        </w:tc>
      </w:tr>
      <w:tr>
        <w:tc>
          <w:tcPr>
            <w:tcW w:type="dxa" w:w="4513"/>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Cheap / Low-cost / Cost-effective</w:t>
            </w:r>
          </w:p>
        </w:tc>
        <w:tc>
          <w:tcPr>
            <w:tcW w:type="dxa" w:w="4513"/>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Accelerated delivery / Speed advantage</w:t>
            </w:r>
          </w:p>
        </w:tc>
      </w:tr>
      <w:tr>
        <w:tc>
          <w:tcPr>
            <w:tcW w:type="dxa" w:w="4513"/>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Body shopping / Staff leasing</w:t>
            </w:r>
          </w:p>
        </w:tc>
        <w:tc>
          <w:tcPr>
            <w:tcW w:type="dxa" w:w="4513"/>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Managed engineering teams / Dedicated capacity</w:t>
            </w:r>
          </w:p>
        </w:tc>
      </w:tr>
      <w:tr>
        <w:tc>
          <w:tcPr>
            <w:tcW w:type="dxa" w:w="4513"/>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Nearshore</w:t>
            </w:r>
          </w:p>
        </w:tc>
        <w:tc>
          <w:tcPr>
            <w:tcW w:type="dxa" w:w="4513"/>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EU-governed engineering operations</w:t>
            </w:r>
          </w:p>
        </w:tc>
      </w:tr>
      <w:tr>
        <w:tc>
          <w:tcPr>
            <w:tcW w:type="dxa" w:w="4513"/>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AI video maker / video tool</w:t>
            </w:r>
          </w:p>
        </w:tc>
        <w:tc>
          <w:tcPr>
            <w:tcW w:type="dxa" w:w="4513"/>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AI-powered content production studio</w:t>
            </w:r>
          </w:p>
        </w:tc>
      </w:tr>
      <w:tr>
        <w:tc>
          <w:tcPr>
            <w:tcW w:type="dxa" w:w="4513"/>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Chatbot builder</w:t>
            </w:r>
          </w:p>
        </w:tc>
        <w:tc>
          <w:tcPr>
            <w:tcW w:type="dxa" w:w="4513"/>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Custom AI workspace / Sovereign AI interface</w:t>
            </w:r>
          </w:p>
        </w:tc>
      </w:tr>
    </w:tbl>
    <w:p>
      <w:pPr>
        <w:spacing w:after="200"/>
      </w:pPr>
    </w:p>
    <w:p>
      <w:r>
        <w:br w:type="page"/>
      </w:r>
    </w:p>
    <w:p>
      <w:pPr>
        <w:pStyle w:val="Heading1"/>
      </w:pPr>
      <w:r>
        <w:t xml:space="preserve">4. Pillar 1: Engineering Services</w:t>
      </w:r>
    </w:p>
    <w:p>
      <w:pPr>
        <w:pBdr>
          <w:bottom w:val="single" w:color="D4A017" w:sz="4" w:space="8"/>
        </w:pBdr>
        <w:spacing w:after="200" w:before="100"/>
      </w:pPr>
    </w:p>
    <w:p>
      <w:pPr>
        <w:spacing w:after="160" w:line="300"/>
        <w:jc w:val="both"/>
      </w:pPr>
      <w:r>
        <w:rPr>
          <w:rFonts w:ascii="Arial" w:cs="Arial" w:eastAsia="Arial" w:hAnsi="Arial"/>
          <w:color w:val="334155"/>
          <w:sz w:val="22"/>
          <w:szCs w:val="22"/>
        </w:rPr>
        <w:t xml:space="preserve">Engineering Services is ANTUTIVE’s primary revenue engine and market entry point. It encompasses four interconnected practice areas. Each follows the ANTUTIVE Delivery Method (Section 8) and is positioned as a problem-solving engagement rather than a technology sale.</w:t>
      </w:r>
    </w:p>
    <w:p>
      <w:pPr>
        <w:pStyle w:val="Heading2"/>
      </w:pPr>
      <w:r>
        <w:t xml:space="preserve">4.1 Generative AI Solutions</w:t>
      </w:r>
    </w:p>
    <w:p>
      <w:pPr>
        <w:spacing w:after="160" w:line="300"/>
        <w:jc w:val="both"/>
      </w:pPr>
      <w:r>
        <w:rPr>
          <w:rFonts w:ascii="Arial" w:cs="Arial" w:eastAsia="Arial" w:hAnsi="Arial"/>
          <w:color w:val="334155"/>
          <w:sz w:val="22"/>
          <w:szCs w:val="22"/>
        </w:rPr>
        <w:t xml:space="preserve">Custom AI product development that begins with deep business problem understanding. ANTUTIVE does not sell “AI tools” — it engineers intelligent systems that solve specific operational bottlenecks. Every solution is built with the client’s data sovereignty as a non-negotiable requirement.</w:t>
      </w:r>
    </w:p>
    <w:p>
      <w:pPr>
        <w:pStyle w:val="Heading3"/>
      </w:pPr>
      <w:r>
        <w:t xml:space="preserve">Service Scope</w:t>
      </w:r>
    </w:p>
    <w:p>
      <w:pPr>
        <w:pStyle w:val="ListParagraph"/>
        <w:numPr>
          <w:ilvl w:val="0"/>
          <w:numId w:val="2"/>
        </w:numPr>
        <w:spacing w:after="120" w:line="280"/>
      </w:pPr>
      <w:r>
        <w:rPr>
          <w:rFonts w:ascii="Arial" w:cs="Arial" w:eastAsia="Arial" w:hAnsi="Arial"/>
          <w:color w:val="334155"/>
          <w:sz w:val="21"/>
          <w:szCs w:val="21"/>
        </w:rPr>
        <w:t xml:space="preserve">Agentic AI Systems — Autonomous agents that execute multi-step business processes (invoice matching, support ticket resolution, document classification, approval workflows) without human intervention.</w:t>
      </w:r>
    </w:p>
    <w:p>
      <w:pPr>
        <w:pStyle w:val="ListParagraph"/>
        <w:numPr>
          <w:ilvl w:val="0"/>
          <w:numId w:val="2"/>
        </w:numPr>
        <w:spacing w:after="120" w:line="280"/>
      </w:pPr>
      <w:r>
        <w:rPr>
          <w:rFonts w:ascii="Arial" w:cs="Arial" w:eastAsia="Arial" w:hAnsi="Arial"/>
          <w:color w:val="334155"/>
          <w:sz w:val="21"/>
          <w:szCs w:val="21"/>
        </w:rPr>
        <w:t xml:space="preserve">Sovereign RAG (Retrieval-Augmented Generation) — Private knowledge systems deployed on the client’s infrastructure or EU-hosted cloud. Corporate documents, policies, product manuals, and historical data become queryable through natural language — including Swedish language support.</w:t>
      </w:r>
    </w:p>
    <w:p>
      <w:pPr>
        <w:pStyle w:val="ListParagraph"/>
        <w:numPr>
          <w:ilvl w:val="0"/>
          <w:numId w:val="2"/>
        </w:numPr>
        <w:spacing w:after="120" w:line="280"/>
      </w:pPr>
      <w:r>
        <w:rPr>
          <w:rFonts w:ascii="Arial" w:cs="Arial" w:eastAsia="Arial" w:hAnsi="Arial"/>
          <w:color w:val="334155"/>
          <w:sz w:val="21"/>
          <w:szCs w:val="21"/>
        </w:rPr>
        <w:t xml:space="preserve">Knowledge Graphs and Second Brain Architecture — Structured representation of organisational knowledge connecting entities, relationships, and context. Built using open-source frameworks (Neo4j, Apache Jena) or proprietary architectures depending on scale.</w:t>
      </w:r>
    </w:p>
    <w:p>
      <w:pPr>
        <w:pStyle w:val="ListParagraph"/>
        <w:numPr>
          <w:ilvl w:val="0"/>
          <w:numId w:val="2"/>
        </w:numPr>
        <w:spacing w:after="120" w:line="280"/>
      </w:pPr>
      <w:r>
        <w:rPr>
          <w:rFonts w:ascii="Arial" w:cs="Arial" w:eastAsia="Arial" w:hAnsi="Arial"/>
          <w:color w:val="334155"/>
          <w:sz w:val="21"/>
          <w:szCs w:val="21"/>
        </w:rPr>
        <w:t xml:space="preserve">Conversational AI Interfaces — Voice-first and chat-based interfaces for internal tools and customer-facing applications, powered by open-weight models (LLaMA, Mistral) or commercial APIs (Claude, GPT) based on client preference and compliance needs.</w:t>
      </w:r>
    </w:p>
    <w:p>
      <w:pPr>
        <w:spacing w:after="200"/>
      </w:pPr>
    </w:p>
    <w:p>
      <w:pPr>
        <w:pStyle w:val="Heading3"/>
      </w:pPr>
      <w:r>
        <w:t xml:space="preserve">Target Use Cases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4626"/>
      </w:tblGrid>
      <w:tr>
        <w:trPr>
          <w:tblHeader/>
        </w:trPr>
        <w:tc>
          <w:tcPr>
            <w:tcW w:type="dxa" w:w="1600"/>
            <w:tcBorders>
              <w:top w:val="single" w:color="CBD5E1" w:sz="1"/>
              <w:left w:val="single" w:color="CBD5E1" w:sz="1"/>
              <w:bottom w:val="single" w:color="CBD5E1" w:sz="1"/>
              <w:right w:val="single" w:color="CBD5E1" w:sz="1"/>
            </w:tcBorders>
            <w:shd w:fill="1E3A8A" w:val="clear"/>
            <w:tcMar>
              <w:top w:type="dxa" w:w="100"/>
              <w:left w:type="dxa" w:w="140"/>
              <w:bottom w:type="dxa" w:w="100"/>
              <w:right w:type="dxa" w:w="140"/>
            </w:tcMar>
            <w:vAlign w:val="center"/>
          </w:tcPr>
          <w:p>
            <w:r>
              <w:rPr>
                <w:rFonts w:ascii="Arial" w:cs="Arial" w:eastAsia="Arial" w:hAnsi="Arial"/>
                <w:b/>
                <w:bCs/>
                <w:color w:val="FFFFFF"/>
                <w:sz w:val="20"/>
                <w:szCs w:val="20"/>
              </w:rPr>
              <w:t xml:space="preserve">Industry</w:t>
            </w:r>
          </w:p>
        </w:tc>
        <w:tc>
          <w:tcPr>
            <w:tcW w:type="dxa" w:w="2800"/>
            <w:tcBorders>
              <w:top w:val="single" w:color="CBD5E1" w:sz="1"/>
              <w:left w:val="single" w:color="CBD5E1" w:sz="1"/>
              <w:bottom w:val="single" w:color="CBD5E1" w:sz="1"/>
              <w:right w:val="single" w:color="CBD5E1" w:sz="1"/>
            </w:tcBorders>
            <w:shd w:fill="1E3A8A" w:val="clear"/>
            <w:tcMar>
              <w:top w:type="dxa" w:w="100"/>
              <w:left w:type="dxa" w:w="140"/>
              <w:bottom w:type="dxa" w:w="100"/>
              <w:right w:type="dxa" w:w="140"/>
            </w:tcMar>
            <w:vAlign w:val="center"/>
          </w:tcPr>
          <w:p>
            <w:r>
              <w:rPr>
                <w:rFonts w:ascii="Arial" w:cs="Arial" w:eastAsia="Arial" w:hAnsi="Arial"/>
                <w:b/>
                <w:bCs/>
                <w:color w:val="FFFFFF"/>
                <w:sz w:val="20"/>
                <w:szCs w:val="20"/>
              </w:rPr>
              <w:t xml:space="preserve">Problem</w:t>
            </w:r>
          </w:p>
        </w:tc>
        <w:tc>
          <w:tcPr>
            <w:tcW w:type="dxa" w:w="4626"/>
            <w:tcBorders>
              <w:top w:val="single" w:color="CBD5E1" w:sz="1"/>
              <w:left w:val="single" w:color="CBD5E1" w:sz="1"/>
              <w:bottom w:val="single" w:color="CBD5E1" w:sz="1"/>
              <w:right w:val="single" w:color="CBD5E1" w:sz="1"/>
            </w:tcBorders>
            <w:shd w:fill="1E3A8A" w:val="clear"/>
            <w:tcMar>
              <w:top w:type="dxa" w:w="100"/>
              <w:left w:type="dxa" w:w="140"/>
              <w:bottom w:type="dxa" w:w="100"/>
              <w:right w:type="dxa" w:w="140"/>
            </w:tcMar>
            <w:vAlign w:val="center"/>
          </w:tcPr>
          <w:p>
            <w:r>
              <w:rPr>
                <w:rFonts w:ascii="Arial" w:cs="Arial" w:eastAsia="Arial" w:hAnsi="Arial"/>
                <w:b/>
                <w:bCs/>
                <w:color w:val="FFFFFF"/>
                <w:sz w:val="20"/>
                <w:szCs w:val="20"/>
              </w:rPr>
              <w:t xml:space="preserve">ANTUTIVE Solution</w:t>
            </w:r>
          </w:p>
        </w:tc>
      </w:tr>
      <w:tr>
        <w:tc>
          <w:tcPr>
            <w:tcW w:type="dxa" w:w="1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Logistics / 3PL</w:t>
            </w:r>
          </w:p>
        </w:tc>
        <w:tc>
          <w:tcPr>
            <w:tcW w:type="dxa" w:w="2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Manual shipment tracking and exception handling</w:t>
            </w:r>
          </w:p>
        </w:tc>
        <w:tc>
          <w:tcPr>
            <w:tcW w:type="dxa" w:w="4626"/>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Agentic system that monitors, detects delays, and autonomously notifies stakeholders</w:t>
            </w:r>
          </w:p>
        </w:tc>
      </w:tr>
      <w:tr>
        <w:tc>
          <w:tcPr>
            <w:tcW w:type="dxa" w:w="1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Professional Services</w:t>
            </w:r>
          </w:p>
        </w:tc>
        <w:tc>
          <w:tcPr>
            <w:tcW w:type="dxa" w:w="2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Knowledge locked in individual consultants</w:t>
            </w:r>
          </w:p>
        </w:tc>
        <w:tc>
          <w:tcPr>
            <w:tcW w:type="dxa" w:w="4626"/>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Sovereign RAG making firm-wide expertise searchable</w:t>
            </w:r>
          </w:p>
        </w:tc>
      </w:tr>
      <w:tr>
        <w:tc>
          <w:tcPr>
            <w:tcW w:type="dxa" w:w="1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Manufacturing</w:t>
            </w:r>
          </w:p>
        </w:tc>
        <w:tc>
          <w:tcPr>
            <w:tcW w:type="dxa" w:w="2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Quality documentation scattered across systems</w:t>
            </w:r>
          </w:p>
        </w:tc>
        <w:tc>
          <w:tcPr>
            <w:tcW w:type="dxa" w:w="4626"/>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Knowledge graph connecting specs, defect reports, and supplier data</w:t>
            </w:r>
          </w:p>
        </w:tc>
      </w:tr>
      <w:tr>
        <w:tc>
          <w:tcPr>
            <w:tcW w:type="dxa" w:w="1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E-commerce</w:t>
            </w:r>
          </w:p>
        </w:tc>
        <w:tc>
          <w:tcPr>
            <w:tcW w:type="dxa" w:w="2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Customer support cannot scale with orders</w:t>
            </w:r>
          </w:p>
        </w:tc>
        <w:tc>
          <w:tcPr>
            <w:tcW w:type="dxa" w:w="4626"/>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Conversational AI with full order system integration for autonomous resolution</w:t>
            </w:r>
          </w:p>
        </w:tc>
      </w:tr>
    </w:tbl>
    <w:p>
      <w:pPr>
        <w:spacing w:after="200"/>
      </w:pPr>
    </w:p>
    <w:p>
      <w:pPr>
        <w:pStyle w:val="Heading2"/>
      </w:pPr>
      <w:r>
        <w:t xml:space="preserve">4.2 Data Engineering &amp; Analytics</w:t>
      </w:r>
    </w:p>
    <w:p>
      <w:pPr>
        <w:spacing w:after="160" w:line="300"/>
        <w:jc w:val="both"/>
      </w:pPr>
      <w:r>
        <w:rPr>
          <w:rFonts w:ascii="Arial" w:cs="Arial" w:eastAsia="Arial" w:hAnsi="Arial"/>
          <w:color w:val="334155"/>
          <w:sz w:val="22"/>
          <w:szCs w:val="22"/>
        </w:rPr>
        <w:t xml:space="preserve">The analytics practice is the foundation that every AI initiative requires. Most companies approaching ANTUTIVE for AI capabilities discover that their underlying data infrastructure is insufficient. This makes Data Engineering and Analytics both a standalone service and a natural entry point that leads to larger AI engagements.</w:t>
      </w:r>
    </w:p>
    <w:p>
      <w:pPr>
        <w:pStyle w:val="Heading3"/>
      </w:pPr>
      <w:r>
        <w:t xml:space="preserve">Service Scope</w:t>
      </w:r>
    </w:p>
    <w:p>
      <w:pPr>
        <w:pStyle w:val="ListParagraph"/>
        <w:numPr>
          <w:ilvl w:val="0"/>
          <w:numId w:val="3"/>
        </w:numPr>
        <w:spacing w:after="120" w:line="280"/>
      </w:pPr>
      <w:r>
        <w:rPr>
          <w:rFonts w:ascii="Arial" w:cs="Arial" w:eastAsia="Arial" w:hAnsi="Arial"/>
          <w:color w:val="334155"/>
          <w:sz w:val="21"/>
          <w:szCs w:val="21"/>
        </w:rPr>
        <w:t xml:space="preserve">ETL Pipeline Design — Extracting data from ERP systems (Fortnox, Visma, SAP Business One), CRM platforms (HubSpot, Salesforce, Lime), banking feeds, and operational databases into unified, analysis-ready data warehouses.</w:t>
      </w:r>
    </w:p>
    <w:p>
      <w:pPr>
        <w:pStyle w:val="ListParagraph"/>
        <w:numPr>
          <w:ilvl w:val="0"/>
          <w:numId w:val="3"/>
        </w:numPr>
        <w:spacing w:after="120" w:line="280"/>
      </w:pPr>
      <w:r>
        <w:rPr>
          <w:rFonts w:ascii="Arial" w:cs="Arial" w:eastAsia="Arial" w:hAnsi="Arial"/>
          <w:color w:val="334155"/>
          <w:sz w:val="21"/>
          <w:szCs w:val="21"/>
        </w:rPr>
        <w:t xml:space="preserve">Power BI Dashboard Engineering — Custom-engineered analytical environments with automated refresh, role-based access, and embedded business logic. Designed for board presentations, operational management, and regulatory reporting.</w:t>
      </w:r>
    </w:p>
    <w:p>
      <w:pPr>
        <w:pStyle w:val="ListParagraph"/>
        <w:numPr>
          <w:ilvl w:val="0"/>
          <w:numId w:val="3"/>
        </w:numPr>
        <w:spacing w:after="120" w:line="280"/>
      </w:pPr>
      <w:r>
        <w:rPr>
          <w:rFonts w:ascii="Arial" w:cs="Arial" w:eastAsia="Arial" w:hAnsi="Arial"/>
          <w:color w:val="334155"/>
          <w:sz w:val="21"/>
          <w:szCs w:val="21"/>
        </w:rPr>
        <w:t xml:space="preserve">Predictive Analytics and Modelling — Financial forecasting compliant with K3/K4 Swedish accounting standards, demand prediction, churn analysis, and resource planning models.</w:t>
      </w:r>
    </w:p>
    <w:p>
      <w:pPr>
        <w:pStyle w:val="ListParagraph"/>
        <w:numPr>
          <w:ilvl w:val="0"/>
          <w:numId w:val="3"/>
        </w:numPr>
        <w:spacing w:after="120" w:line="280"/>
      </w:pPr>
      <w:r>
        <w:rPr>
          <w:rFonts w:ascii="Arial" w:cs="Arial" w:eastAsia="Arial" w:hAnsi="Arial"/>
          <w:color w:val="334155"/>
          <w:sz w:val="21"/>
          <w:szCs w:val="21"/>
        </w:rPr>
        <w:t xml:space="preserve">Data Quality and Governance — Automated data validation frameworks, lineage tracking for audit compliance, and master data management across fragmented source systems.</w:t>
      </w:r>
    </w:p>
    <w:p>
      <w:pPr>
        <w:spacing w:after="200"/>
      </w:pPr>
    </w:p>
    <w:p>
      <w:pPr>
        <w:pStyle w:val="Heading3"/>
      </w:pPr>
      <w:r>
        <w:t xml:space="preserve">The Analytics Maturity Path</w:t>
      </w:r>
    </w:p>
    <w:p>
      <w:pPr>
        <w:spacing w:after="160" w:line="300"/>
        <w:jc w:val="both"/>
      </w:pPr>
      <w:r>
        <w:rPr>
          <w:rFonts w:ascii="Arial" w:cs="Arial" w:eastAsia="Arial" w:hAnsi="Arial"/>
          <w:color w:val="334155"/>
          <w:sz w:val="22"/>
          <w:szCs w:val="22"/>
        </w:rPr>
        <w:t xml:space="preserve">ANTUTIVE uses a maturity framework to diagnose where a prospect sits and recommend the appropriate engagement level. This also serves as an upsell pathway from basic analytics to full AI implementation.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2600"/>
        <w:gridCol w:w="2426"/>
      </w:tblGrid>
      <w:tr>
        <w:trPr>
          <w:tblHeader/>
        </w:trPr>
        <w:tc>
          <w:tcPr>
            <w:tcW w:type="dxa" w:w="1400"/>
            <w:tcBorders>
              <w:top w:val="single" w:color="CBD5E1" w:sz="1"/>
              <w:left w:val="single" w:color="CBD5E1" w:sz="1"/>
              <w:bottom w:val="single" w:color="CBD5E1" w:sz="1"/>
              <w:right w:val="single" w:color="CBD5E1" w:sz="1"/>
            </w:tcBorders>
            <w:shd w:fill="1E3A8A" w:val="clear"/>
            <w:tcMar>
              <w:top w:type="dxa" w:w="100"/>
              <w:left w:type="dxa" w:w="140"/>
              <w:bottom w:type="dxa" w:w="100"/>
              <w:right w:type="dxa" w:w="140"/>
            </w:tcMar>
            <w:vAlign w:val="center"/>
          </w:tcPr>
          <w:p>
            <w:r>
              <w:rPr>
                <w:rFonts w:ascii="Arial" w:cs="Arial" w:eastAsia="Arial" w:hAnsi="Arial"/>
                <w:b/>
                <w:bCs/>
                <w:color w:val="FFFFFF"/>
                <w:sz w:val="20"/>
                <w:szCs w:val="20"/>
              </w:rPr>
              <w:t xml:space="preserve">Level</w:t>
            </w:r>
          </w:p>
        </w:tc>
        <w:tc>
          <w:tcPr>
            <w:tcW w:type="dxa" w:w="2600"/>
            <w:tcBorders>
              <w:top w:val="single" w:color="CBD5E1" w:sz="1"/>
              <w:left w:val="single" w:color="CBD5E1" w:sz="1"/>
              <w:bottom w:val="single" w:color="CBD5E1" w:sz="1"/>
              <w:right w:val="single" w:color="CBD5E1" w:sz="1"/>
            </w:tcBorders>
            <w:shd w:fill="1E3A8A" w:val="clear"/>
            <w:tcMar>
              <w:top w:type="dxa" w:w="100"/>
              <w:left w:type="dxa" w:w="140"/>
              <w:bottom w:type="dxa" w:w="100"/>
              <w:right w:type="dxa" w:w="140"/>
            </w:tcMar>
            <w:vAlign w:val="center"/>
          </w:tcPr>
          <w:p>
            <w:r>
              <w:rPr>
                <w:rFonts w:ascii="Arial" w:cs="Arial" w:eastAsia="Arial" w:hAnsi="Arial"/>
                <w:b/>
                <w:bCs/>
                <w:color w:val="FFFFFF"/>
                <w:sz w:val="20"/>
                <w:szCs w:val="20"/>
              </w:rPr>
              <w:t xml:space="preserve">Client State</w:t>
            </w:r>
          </w:p>
        </w:tc>
        <w:tc>
          <w:tcPr>
            <w:tcW w:type="dxa" w:w="2600"/>
            <w:tcBorders>
              <w:top w:val="single" w:color="CBD5E1" w:sz="1"/>
              <w:left w:val="single" w:color="CBD5E1" w:sz="1"/>
              <w:bottom w:val="single" w:color="CBD5E1" w:sz="1"/>
              <w:right w:val="single" w:color="CBD5E1" w:sz="1"/>
            </w:tcBorders>
            <w:shd w:fill="1E3A8A" w:val="clear"/>
            <w:tcMar>
              <w:top w:type="dxa" w:w="100"/>
              <w:left w:type="dxa" w:w="140"/>
              <w:bottom w:type="dxa" w:w="100"/>
              <w:right w:type="dxa" w:w="140"/>
            </w:tcMar>
            <w:vAlign w:val="center"/>
          </w:tcPr>
          <w:p>
            <w:r>
              <w:rPr>
                <w:rFonts w:ascii="Arial" w:cs="Arial" w:eastAsia="Arial" w:hAnsi="Arial"/>
                <w:b/>
                <w:bCs/>
                <w:color w:val="FFFFFF"/>
                <w:sz w:val="20"/>
                <w:szCs w:val="20"/>
              </w:rPr>
              <w:t xml:space="preserve">ANTUTIVE Engagement</w:t>
            </w:r>
          </w:p>
        </w:tc>
        <w:tc>
          <w:tcPr>
            <w:tcW w:type="dxa" w:w="2426"/>
            <w:tcBorders>
              <w:top w:val="single" w:color="CBD5E1" w:sz="1"/>
              <w:left w:val="single" w:color="CBD5E1" w:sz="1"/>
              <w:bottom w:val="single" w:color="CBD5E1" w:sz="1"/>
              <w:right w:val="single" w:color="CBD5E1" w:sz="1"/>
            </w:tcBorders>
            <w:shd w:fill="1E3A8A" w:val="clear"/>
            <w:tcMar>
              <w:top w:type="dxa" w:w="100"/>
              <w:left w:type="dxa" w:w="140"/>
              <w:bottom w:type="dxa" w:w="100"/>
              <w:right w:type="dxa" w:w="140"/>
            </w:tcMar>
            <w:vAlign w:val="center"/>
          </w:tcPr>
          <w:p>
            <w:r>
              <w:rPr>
                <w:rFonts w:ascii="Arial" w:cs="Arial" w:eastAsia="Arial" w:hAnsi="Arial"/>
                <w:b/>
                <w:bCs/>
                <w:color w:val="FFFFFF"/>
                <w:sz w:val="20"/>
                <w:szCs w:val="20"/>
              </w:rPr>
              <w:t xml:space="preserve">Duration</w:t>
            </w:r>
          </w:p>
        </w:tc>
      </w:tr>
      <w:tr>
        <w:tc>
          <w:tcPr>
            <w:tcW w:type="dxa" w:w="1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1: Fragmented</w:t>
            </w:r>
          </w:p>
        </w:tc>
        <w:tc>
          <w:tcPr>
            <w:tcW w:type="dxa" w:w="2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Data in Excel, manual reporting, no single source of truth</w:t>
            </w:r>
          </w:p>
        </w:tc>
        <w:tc>
          <w:tcPr>
            <w:tcW w:type="dxa" w:w="2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ETL pipeline + unified data warehouse</w:t>
            </w:r>
          </w:p>
        </w:tc>
        <w:tc>
          <w:tcPr>
            <w:tcW w:type="dxa" w:w="2426"/>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4–6 weeks</w:t>
            </w:r>
          </w:p>
        </w:tc>
      </w:tr>
      <w:tr>
        <w:tc>
          <w:tcPr>
            <w:tcW w:type="dxa" w:w="1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2: Structured</w:t>
            </w:r>
          </w:p>
        </w:tc>
        <w:tc>
          <w:tcPr>
            <w:tcW w:type="dxa" w:w="2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Central database exists but reporting is static or manual</w:t>
            </w:r>
          </w:p>
        </w:tc>
        <w:tc>
          <w:tcPr>
            <w:tcW w:type="dxa" w:w="2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Power BI dashboards with automated refresh</w:t>
            </w:r>
          </w:p>
        </w:tc>
        <w:tc>
          <w:tcPr>
            <w:tcW w:type="dxa" w:w="2426"/>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3–4 weeks</w:t>
            </w:r>
          </w:p>
        </w:tc>
      </w:tr>
      <w:tr>
        <w:tc>
          <w:tcPr>
            <w:tcW w:type="dxa" w:w="1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3: Analytical</w:t>
            </w:r>
          </w:p>
        </w:tc>
        <w:tc>
          <w:tcPr>
            <w:tcW w:type="dxa" w:w="2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Dashboards exist but no predictive capability</w:t>
            </w:r>
          </w:p>
        </w:tc>
        <w:tc>
          <w:tcPr>
            <w:tcW w:type="dxa" w:w="2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Predictive models and advanced analytics</w:t>
            </w:r>
          </w:p>
        </w:tc>
        <w:tc>
          <w:tcPr>
            <w:tcW w:type="dxa" w:w="2426"/>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6–8 weeks</w:t>
            </w:r>
          </w:p>
        </w:tc>
      </w:tr>
      <w:tr>
        <w:tc>
          <w:tcPr>
            <w:tcW w:type="dxa" w:w="1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4: Intelligent</w:t>
            </w:r>
          </w:p>
        </w:tc>
        <w:tc>
          <w:tcPr>
            <w:tcW w:type="dxa" w:w="2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Analytics mature, ready for AI-driven automation</w:t>
            </w:r>
          </w:p>
        </w:tc>
        <w:tc>
          <w:tcPr>
            <w:tcW w:type="dxa" w:w="2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Agentic AI and knowledge systems</w:t>
            </w:r>
          </w:p>
        </w:tc>
        <w:tc>
          <w:tcPr>
            <w:tcW w:type="dxa" w:w="2426"/>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8–12 weeks</w:t>
            </w:r>
          </w:p>
        </w:tc>
      </w:tr>
    </w:tbl>
    <w:p>
      <w:pPr>
        <w:spacing w:after="200"/>
      </w:pPr>
    </w:p>
    <w:p>
      <w:r>
        <w:br w:type="page"/>
      </w:r>
    </w:p>
    <w:p>
      <w:pPr>
        <w:pStyle w:val="Heading2"/>
      </w:pPr>
      <w:r>
        <w:t xml:space="preserve">4.3 AI Growth &amp; Marketing Services</w:t>
      </w:r>
    </w:p>
    <w:p>
      <w:pPr>
        <w:spacing w:after="160" w:line="300"/>
        <w:jc w:val="both"/>
      </w:pPr>
      <w:r>
        <w:rPr>
          <w:rFonts w:ascii="Arial" w:cs="Arial" w:eastAsia="Arial" w:hAnsi="Arial"/>
          <w:color w:val="334155"/>
          <w:sz w:val="22"/>
          <w:szCs w:val="22"/>
        </w:rPr>
        <w:t xml:space="preserve">This practice area addresses a critical blind spot for most SMEs: their marketing and sales functions have not been touched by AI. While companies invest in operational AI, their customer acquisition still relies on manual content creation, traditional SEO, and human-driven outreach. ANTUTIVE builds AI-powered growth engines that automate and accelerate the entire visibility-to-revenue pipeline.</w:t>
      </w:r>
    </w:p>
    <w:p>
      <w:pPr>
        <w:pStyle w:val="Heading3"/>
      </w:pPr>
      <w:r>
        <w:t xml:space="preserve">4.3.1 Generative Engine Optimisation (GEO) — As a Service</w:t>
      </w:r>
    </w:p>
    <w:p>
      <w:pPr>
        <w:spacing w:after="160" w:line="300"/>
        <w:jc w:val="both"/>
      </w:pPr>
      <w:r>
        <w:rPr>
          <w:rFonts w:ascii="Arial" w:cs="Arial" w:eastAsia="Arial" w:hAnsi="Arial"/>
          <w:color w:val="334155"/>
          <w:sz w:val="22"/>
          <w:szCs w:val="22"/>
        </w:rPr>
        <w:t xml:space="preserve">GEO is the 2026 evolution of SEO. Instead of optimising for Google’s link-based algorithm alone, GEO ensures that AI models — ChatGPT, Gemini, Perplexity, Claude, Copilot — recommend the client’s brand when users ask for services in their niche. As AI search becomes the primary discovery channel for B2B buyers, companies without GEO become invisible to the fastest-growing segment of qualified traffic.</w:t>
      </w:r>
    </w:p>
    <w:p>
      <w:pPr>
        <w:pStyle w:val="Heading3"/>
      </w:pPr>
      <w:r>
        <w:t xml:space="preserve">GEO Service Deliverables</w:t>
      </w:r>
    </w:p>
    <w:p>
      <w:pPr>
        <w:pStyle w:val="ListParagraph"/>
        <w:numPr>
          <w:ilvl w:val="0"/>
          <w:numId w:val="4"/>
        </w:numPr>
        <w:spacing w:after="120" w:line="280"/>
      </w:pPr>
      <w:r>
        <w:rPr>
          <w:rFonts w:ascii="Arial" w:cs="Arial" w:eastAsia="Arial" w:hAnsi="Arial"/>
          <w:color w:val="334155"/>
          <w:sz w:val="21"/>
          <w:szCs w:val="21"/>
        </w:rPr>
        <w:t xml:space="preserve">GEO Audit — Comprehensive analysis of how the client’s brand currently appears (or does not appear) in AI model responses. Benchmarking against competitors for the same query categories.</w:t>
      </w:r>
    </w:p>
    <w:p>
      <w:pPr>
        <w:pStyle w:val="ListParagraph"/>
        <w:numPr>
          <w:ilvl w:val="0"/>
          <w:numId w:val="4"/>
        </w:numPr>
        <w:spacing w:after="120" w:line="280"/>
      </w:pPr>
      <w:r>
        <w:rPr>
          <w:rFonts w:ascii="Arial" w:cs="Arial" w:eastAsia="Arial" w:hAnsi="Arial"/>
          <w:color w:val="334155"/>
          <w:sz w:val="21"/>
          <w:szCs w:val="21"/>
        </w:rPr>
        <w:t xml:space="preserve">Structured Data Implementation — Schema.org Organisation, Service, Product, and FAQ markup deployed across the client’s website to make content machine-readable for AI knowledge graphs.</w:t>
      </w:r>
    </w:p>
    <w:p>
      <w:pPr>
        <w:pStyle w:val="ListParagraph"/>
        <w:numPr>
          <w:ilvl w:val="0"/>
          <w:numId w:val="4"/>
        </w:numPr>
        <w:spacing w:after="120" w:line="280"/>
      </w:pPr>
      <w:r>
        <w:rPr>
          <w:rFonts w:ascii="Arial" w:cs="Arial" w:eastAsia="Arial" w:hAnsi="Arial"/>
          <w:color w:val="334155"/>
          <w:sz w:val="21"/>
          <w:szCs w:val="21"/>
        </w:rPr>
        <w:t xml:space="preserve">AI-Optimised Content Strategy — Creation of authoritative long-form content designed to be cited by AI models. This includes factual density, entity-rich writing, and citation-worthy formatting.</w:t>
      </w:r>
    </w:p>
    <w:p>
      <w:pPr>
        <w:pStyle w:val="ListParagraph"/>
        <w:numPr>
          <w:ilvl w:val="0"/>
          <w:numId w:val="4"/>
        </w:numPr>
        <w:spacing w:after="120" w:line="280"/>
      </w:pPr>
      <w:r>
        <w:rPr>
          <w:rFonts w:ascii="Arial" w:cs="Arial" w:eastAsia="Arial" w:hAnsi="Arial"/>
          <w:color w:val="334155"/>
          <w:sz w:val="21"/>
          <w:szCs w:val="21"/>
        </w:rPr>
        <w:t xml:space="preserve">Entity Consistency Management — Ensuring the client’s brand appears with identical name, description, and attributes across Google Business Profile, LinkedIn, industry directories, and relevant databases.</w:t>
      </w:r>
    </w:p>
    <w:p>
      <w:pPr>
        <w:pStyle w:val="ListParagraph"/>
        <w:numPr>
          <w:ilvl w:val="0"/>
          <w:numId w:val="4"/>
        </w:numPr>
        <w:spacing w:after="120" w:line="280"/>
      </w:pPr>
      <w:r>
        <w:rPr>
          <w:rFonts w:ascii="Arial" w:cs="Arial" w:eastAsia="Arial" w:hAnsi="Arial"/>
          <w:color w:val="334155"/>
          <w:sz w:val="21"/>
          <w:szCs w:val="21"/>
        </w:rPr>
        <w:t xml:space="preserve">Ongoing Monitoring — Monthly tracking of the client’s visibility in AI model responses, with strategy adjustments based on algorithm changes and competitive movements.</w:t>
      </w:r>
    </w:p>
    <w:p>
      <w:pPr>
        <w:spacing w:after="200"/>
      </w:pPr>
    </w:p>
    <w:p>
      <w:pPr>
        <w:pStyle w:val="Heading3"/>
      </w:pPr>
      <w:r>
        <w:t xml:space="preserve">4.3.2 AI Marketing Video Production</w:t>
      </w:r>
    </w:p>
    <w:p>
      <w:pPr>
        <w:spacing w:after="160" w:line="300"/>
        <w:jc w:val="both"/>
      </w:pPr>
      <w:r>
        <w:rPr>
          <w:rFonts w:ascii="Arial" w:cs="Arial" w:eastAsia="Arial" w:hAnsi="Arial"/>
          <w:color w:val="334155"/>
          <w:sz w:val="22"/>
          <w:szCs w:val="22"/>
        </w:rPr>
        <w:t xml:space="preserve">Video content is the highest-converting marketing format, but traditional production is expensive, slow, and difficult to iterate. ANTUTIVE provides AI-powered video production that turns ideas into professional marketing videos at a fraction of the time and cost of traditional production houses.</w:t>
      </w:r>
    </w:p>
    <w:p>
      <w:pPr>
        <w:pStyle w:val="Heading3"/>
      </w:pPr>
      <w:r>
        <w:t xml:space="preserve">Video Service Deliverables</w:t>
      </w:r>
    </w:p>
    <w:p>
      <w:pPr>
        <w:pStyle w:val="ListParagraph"/>
        <w:numPr>
          <w:ilvl w:val="0"/>
          <w:numId w:val="5"/>
        </w:numPr>
        <w:spacing w:after="120" w:line="280"/>
      </w:pPr>
      <w:r>
        <w:rPr>
          <w:rFonts w:ascii="Arial" w:cs="Arial" w:eastAsia="Arial" w:hAnsi="Arial"/>
          <w:color w:val="334155"/>
          <w:sz w:val="21"/>
          <w:szCs w:val="21"/>
        </w:rPr>
        <w:t xml:space="preserve">AI Script Generation — From a brief or product description, generate compelling video scripts optimised for specific platforms (LinkedIn, YouTube, Instagram, website landing pages).</w:t>
      </w:r>
    </w:p>
    <w:p>
      <w:pPr>
        <w:pStyle w:val="ListParagraph"/>
        <w:numPr>
          <w:ilvl w:val="0"/>
          <w:numId w:val="5"/>
        </w:numPr>
        <w:spacing w:after="120" w:line="280"/>
      </w:pPr>
      <w:r>
        <w:rPr>
          <w:rFonts w:ascii="Arial" w:cs="Arial" w:eastAsia="Arial" w:hAnsi="Arial"/>
          <w:color w:val="334155"/>
          <w:sz w:val="21"/>
          <w:szCs w:val="21"/>
        </w:rPr>
        <w:t xml:space="preserve">AI Video Production — Using tools like Synthesia, HeyGen, RunwayML, and Pika, produce professional-quality videos with AI presenters, motion graphics, and product demonstrations.</w:t>
      </w:r>
    </w:p>
    <w:p>
      <w:pPr>
        <w:pStyle w:val="ListParagraph"/>
        <w:numPr>
          <w:ilvl w:val="0"/>
          <w:numId w:val="5"/>
        </w:numPr>
        <w:spacing w:after="120" w:line="280"/>
      </w:pPr>
      <w:r>
        <w:rPr>
          <w:rFonts w:ascii="Arial" w:cs="Arial" w:eastAsia="Arial" w:hAnsi="Arial"/>
          <w:color w:val="334155"/>
          <w:sz w:val="21"/>
          <w:szCs w:val="21"/>
        </w:rPr>
        <w:t xml:space="preserve">Multilingual Localisation — Automatic translation and voice dubbing for Nordic and EU markets (Swedish, English, German, French) from a single source video.</w:t>
      </w:r>
    </w:p>
    <w:p>
      <w:pPr>
        <w:pStyle w:val="ListParagraph"/>
        <w:numPr>
          <w:ilvl w:val="0"/>
          <w:numId w:val="5"/>
        </w:numPr>
        <w:spacing w:after="120" w:line="280"/>
      </w:pPr>
      <w:r>
        <w:rPr>
          <w:rFonts w:ascii="Arial" w:cs="Arial" w:eastAsia="Arial" w:hAnsi="Arial"/>
          <w:color w:val="334155"/>
          <w:sz w:val="21"/>
          <w:szCs w:val="21"/>
        </w:rPr>
        <w:t xml:space="preserve">Performance-Optimised Formats — Videos produced in multiple aspect ratios and lengths optimised for each distribution channel, with A/B testing variants.</w:t>
      </w:r>
    </w:p>
    <w:p>
      <w:pPr>
        <w:pStyle w:val="ListParagraph"/>
        <w:numPr>
          <w:ilvl w:val="0"/>
          <w:numId w:val="5"/>
        </w:numPr>
        <w:spacing w:after="120" w:line="280"/>
      </w:pPr>
      <w:r>
        <w:rPr>
          <w:rFonts w:ascii="Arial" w:cs="Arial" w:eastAsia="Arial" w:hAnsi="Arial"/>
          <w:color w:val="334155"/>
          <w:sz w:val="21"/>
          <w:szCs w:val="21"/>
        </w:rPr>
        <w:t xml:space="preserve">Brand Video Libraries — Building a reusable library of AI-generated brand assets (intro sequences, explainers, testimonial formats) that can be rapidly customised for new campaigns.</w:t>
      </w:r>
    </w:p>
    <w:p>
      <w:pPr>
        <w:spacing w:after="200"/>
      </w:pPr>
    </w:p>
    <w:p>
      <w:pPr>
        <w:pStyle w:val="Heading3"/>
      </w:pPr>
      <w:r>
        <w:t xml:space="preserve">4.3.3 AI Sales &amp; Growth Automation</w:t>
      </w:r>
    </w:p>
    <w:p>
      <w:pPr>
        <w:spacing w:after="160" w:line="300"/>
        <w:jc w:val="both"/>
      </w:pPr>
      <w:r>
        <w:rPr>
          <w:rFonts w:ascii="Arial" w:cs="Arial" w:eastAsia="Arial" w:hAnsi="Arial"/>
          <w:color w:val="334155"/>
          <w:sz w:val="22"/>
          <w:szCs w:val="22"/>
        </w:rPr>
        <w:t xml:space="preserve">Beyond marketing content, ANTUTIVE builds AI systems that directly accelerate the sales pipeline and customer acquisition process.</w:t>
      </w:r>
    </w:p>
    <w:p>
      <w:pPr>
        <w:pStyle w:val="ListParagraph"/>
        <w:numPr>
          <w:ilvl w:val="0"/>
          <w:numId w:val="6"/>
        </w:numPr>
        <w:spacing w:after="120" w:line="280"/>
      </w:pPr>
      <w:r>
        <w:rPr>
          <w:rFonts w:ascii="Arial" w:cs="Arial" w:eastAsia="Arial" w:hAnsi="Arial"/>
          <w:color w:val="334155"/>
          <w:sz w:val="21"/>
          <w:szCs w:val="21"/>
        </w:rPr>
        <w:t xml:space="preserve">AI Lead Scoring — Machine learning models that analyse prospect behaviour, engagement patterns, and firmographic data to prioritise sales efforts on the highest-probability leads.</w:t>
      </w:r>
    </w:p>
    <w:p>
      <w:pPr>
        <w:pStyle w:val="ListParagraph"/>
        <w:numPr>
          <w:ilvl w:val="0"/>
          <w:numId w:val="6"/>
        </w:numPr>
        <w:spacing w:after="120" w:line="280"/>
      </w:pPr>
      <w:r>
        <w:rPr>
          <w:rFonts w:ascii="Arial" w:cs="Arial" w:eastAsia="Arial" w:hAnsi="Arial"/>
          <w:color w:val="334155"/>
          <w:sz w:val="21"/>
          <w:szCs w:val="21"/>
        </w:rPr>
        <w:t xml:space="preserve">Automated Outreach Systems — AI-powered email and LinkedIn outreach sequences that personalise messaging at scale while maintaining authentic, non-spammy communication.</w:t>
      </w:r>
    </w:p>
    <w:p>
      <w:pPr>
        <w:pStyle w:val="ListParagraph"/>
        <w:numPr>
          <w:ilvl w:val="0"/>
          <w:numId w:val="6"/>
        </w:numPr>
        <w:spacing w:after="120" w:line="280"/>
      </w:pPr>
      <w:r>
        <w:rPr>
          <w:rFonts w:ascii="Arial" w:cs="Arial" w:eastAsia="Arial" w:hAnsi="Arial"/>
          <w:color w:val="334155"/>
          <w:sz w:val="21"/>
          <w:szCs w:val="21"/>
        </w:rPr>
        <w:t xml:space="preserve">Conversational Lead Qualification — AI chat interfaces embedded on client websites that qualify visitors, answer product questions, and route qualified leads to the sales team in real-time.</w:t>
      </w:r>
    </w:p>
    <w:p>
      <w:pPr>
        <w:pStyle w:val="ListParagraph"/>
        <w:numPr>
          <w:ilvl w:val="0"/>
          <w:numId w:val="6"/>
        </w:numPr>
        <w:spacing w:after="120" w:line="280"/>
      </w:pPr>
      <w:r>
        <w:rPr>
          <w:rFonts w:ascii="Arial" w:cs="Arial" w:eastAsia="Arial" w:hAnsi="Arial"/>
          <w:color w:val="334155"/>
          <w:sz w:val="21"/>
          <w:szCs w:val="21"/>
        </w:rPr>
        <w:t xml:space="preserve">Sales Intelligence Dashboards — Power BI integrations that give sales teams real-time visibility into pipeline health, conversion rates, and revenue forecasting.</w:t>
      </w:r>
    </w:p>
    <w:p>
      <w:pPr>
        <w:pStyle w:val="ListParagraph"/>
        <w:numPr>
          <w:ilvl w:val="0"/>
          <w:numId w:val="6"/>
        </w:numPr>
        <w:spacing w:after="120" w:line="280"/>
      </w:pPr>
      <w:r>
        <w:rPr>
          <w:rFonts w:ascii="Arial" w:cs="Arial" w:eastAsia="Arial" w:hAnsi="Arial"/>
          <w:color w:val="334155"/>
          <w:sz w:val="21"/>
          <w:szCs w:val="21"/>
        </w:rPr>
        <w:t xml:space="preserve">AI Content Engines — Automated generation of blog posts, social media content, case studies, and thought leadership pieces calibrated to the client’s brand voice and target audience.</w:t>
      </w:r>
    </w:p>
    <w:p>
      <w:pPr>
        <w:spacing w:after="200"/>
      </w:pPr>
    </w:p>
    <w:p>
      <w:pPr>
        <w:pStyle w:val="Heading3"/>
      </w:pPr>
      <w:r>
        <w:t xml:space="preserve">Target Clients for AI Growth Services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200"/>
        <w:gridCol w:w="2426"/>
      </w:tblGrid>
      <w:tr>
        <w:trPr>
          <w:tblHeader/>
        </w:trPr>
        <w:tc>
          <w:tcPr>
            <w:tcW w:type="dxa" w:w="2000"/>
            <w:tcBorders>
              <w:top w:val="single" w:color="CBD5E1" w:sz="1"/>
              <w:left w:val="single" w:color="CBD5E1" w:sz="1"/>
              <w:bottom w:val="single" w:color="CBD5E1" w:sz="1"/>
              <w:right w:val="single" w:color="CBD5E1" w:sz="1"/>
            </w:tcBorders>
            <w:shd w:fill="1E3A8A" w:val="clear"/>
            <w:tcMar>
              <w:top w:type="dxa" w:w="100"/>
              <w:left w:type="dxa" w:w="140"/>
              <w:bottom w:type="dxa" w:w="100"/>
              <w:right w:type="dxa" w:w="140"/>
            </w:tcMar>
            <w:vAlign w:val="center"/>
          </w:tcPr>
          <w:p>
            <w:r>
              <w:rPr>
                <w:rFonts w:ascii="Arial" w:cs="Arial" w:eastAsia="Arial" w:hAnsi="Arial"/>
                <w:b/>
                <w:bCs/>
                <w:color w:val="FFFFFF"/>
                <w:sz w:val="20"/>
                <w:szCs w:val="20"/>
              </w:rPr>
              <w:t xml:space="preserve">Client Type</w:t>
            </w:r>
          </w:p>
        </w:tc>
        <w:tc>
          <w:tcPr>
            <w:tcW w:type="dxa" w:w="2400"/>
            <w:tcBorders>
              <w:top w:val="single" w:color="CBD5E1" w:sz="1"/>
              <w:left w:val="single" w:color="CBD5E1" w:sz="1"/>
              <w:bottom w:val="single" w:color="CBD5E1" w:sz="1"/>
              <w:right w:val="single" w:color="CBD5E1" w:sz="1"/>
            </w:tcBorders>
            <w:shd w:fill="1E3A8A" w:val="clear"/>
            <w:tcMar>
              <w:top w:type="dxa" w:w="100"/>
              <w:left w:type="dxa" w:w="140"/>
              <w:bottom w:type="dxa" w:w="100"/>
              <w:right w:type="dxa" w:w="140"/>
            </w:tcMar>
            <w:vAlign w:val="center"/>
          </w:tcPr>
          <w:p>
            <w:r>
              <w:rPr>
                <w:rFonts w:ascii="Arial" w:cs="Arial" w:eastAsia="Arial" w:hAnsi="Arial"/>
                <w:b/>
                <w:bCs/>
                <w:color w:val="FFFFFF"/>
                <w:sz w:val="20"/>
                <w:szCs w:val="20"/>
              </w:rPr>
              <w:t xml:space="preserve">Typical Pain</w:t>
            </w:r>
          </w:p>
        </w:tc>
        <w:tc>
          <w:tcPr>
            <w:tcW w:type="dxa" w:w="2200"/>
            <w:tcBorders>
              <w:top w:val="single" w:color="CBD5E1" w:sz="1"/>
              <w:left w:val="single" w:color="CBD5E1" w:sz="1"/>
              <w:bottom w:val="single" w:color="CBD5E1" w:sz="1"/>
              <w:right w:val="single" w:color="CBD5E1" w:sz="1"/>
            </w:tcBorders>
            <w:shd w:fill="1E3A8A" w:val="clear"/>
            <w:tcMar>
              <w:top w:type="dxa" w:w="100"/>
              <w:left w:type="dxa" w:w="140"/>
              <w:bottom w:type="dxa" w:w="100"/>
              <w:right w:type="dxa" w:w="140"/>
            </w:tcMar>
            <w:vAlign w:val="center"/>
          </w:tcPr>
          <w:p>
            <w:r>
              <w:rPr>
                <w:rFonts w:ascii="Arial" w:cs="Arial" w:eastAsia="Arial" w:hAnsi="Arial"/>
                <w:b/>
                <w:bCs/>
                <w:color w:val="FFFFFF"/>
                <w:sz w:val="20"/>
                <w:szCs w:val="20"/>
              </w:rPr>
              <w:t xml:space="preserve">Entry Service</w:t>
            </w:r>
          </w:p>
        </w:tc>
        <w:tc>
          <w:tcPr>
            <w:tcW w:type="dxa" w:w="2426"/>
            <w:tcBorders>
              <w:top w:val="single" w:color="CBD5E1" w:sz="1"/>
              <w:left w:val="single" w:color="CBD5E1" w:sz="1"/>
              <w:bottom w:val="single" w:color="CBD5E1" w:sz="1"/>
              <w:right w:val="single" w:color="CBD5E1" w:sz="1"/>
            </w:tcBorders>
            <w:shd w:fill="1E3A8A" w:val="clear"/>
            <w:tcMar>
              <w:top w:type="dxa" w:w="100"/>
              <w:left w:type="dxa" w:w="140"/>
              <w:bottom w:type="dxa" w:w="100"/>
              <w:right w:type="dxa" w:w="140"/>
            </w:tcMar>
            <w:vAlign w:val="center"/>
          </w:tcPr>
          <w:p>
            <w:r>
              <w:rPr>
                <w:rFonts w:ascii="Arial" w:cs="Arial" w:eastAsia="Arial" w:hAnsi="Arial"/>
                <w:b/>
                <w:bCs/>
                <w:color w:val="FFFFFF"/>
                <w:sz w:val="20"/>
                <w:szCs w:val="20"/>
              </w:rPr>
              <w:t xml:space="preserve">Expansion Path</w:t>
            </w:r>
          </w:p>
        </w:tc>
      </w:tr>
      <w:tr>
        <w:tc>
          <w:tcPr>
            <w:tcW w:type="dxa" w:w="2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SME (10–50 employees)</w:t>
            </w:r>
          </w:p>
        </w:tc>
        <w:tc>
          <w:tcPr>
            <w:tcW w:type="dxa" w:w="2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No marketing team, founder doing everything</w:t>
            </w:r>
          </w:p>
        </w:tc>
        <w:tc>
          <w:tcPr>
            <w:tcW w:type="dxa" w:w="2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GEO audit + 3 AI videos</w:t>
            </w:r>
          </w:p>
        </w:tc>
        <w:tc>
          <w:tcPr>
            <w:tcW w:type="dxa" w:w="2426"/>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Full growth stack with lead automation</w:t>
            </w:r>
          </w:p>
        </w:tc>
      </w:tr>
      <w:tr>
        <w:tc>
          <w:tcPr>
            <w:tcW w:type="dxa" w:w="2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Scale-up (50–250)</w:t>
            </w:r>
          </w:p>
        </w:tc>
        <w:tc>
          <w:tcPr>
            <w:tcW w:type="dxa" w:w="2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Marketing team exists but no AI capabilities</w:t>
            </w:r>
          </w:p>
        </w:tc>
        <w:tc>
          <w:tcPr>
            <w:tcW w:type="dxa" w:w="2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AI content engine + GEO</w:t>
            </w:r>
          </w:p>
        </w:tc>
        <w:tc>
          <w:tcPr>
            <w:tcW w:type="dxa" w:w="2426"/>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Sales intelligence + automated outreach</w:t>
            </w:r>
          </w:p>
        </w:tc>
      </w:tr>
      <w:tr>
        <w:tc>
          <w:tcPr>
            <w:tcW w:type="dxa" w:w="2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E-commerce</w:t>
            </w:r>
          </w:p>
        </w:tc>
        <w:tc>
          <w:tcPr>
            <w:tcW w:type="dxa" w:w="2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High ad costs, low organic visibility</w:t>
            </w:r>
          </w:p>
        </w:tc>
        <w:tc>
          <w:tcPr>
            <w:tcW w:type="dxa" w:w="2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GEO + product video library</w:t>
            </w:r>
          </w:p>
        </w:tc>
        <w:tc>
          <w:tcPr>
            <w:tcW w:type="dxa" w:w="2426"/>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AI lead scoring + conversion optimisation</w:t>
            </w:r>
          </w:p>
        </w:tc>
      </w:tr>
      <w:tr>
        <w:tc>
          <w:tcPr>
            <w:tcW w:type="dxa" w:w="2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Professional Services</w:t>
            </w:r>
          </w:p>
        </w:tc>
        <w:tc>
          <w:tcPr>
            <w:tcW w:type="dxa" w:w="2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Reputation-dependent, no content strategy</w:t>
            </w:r>
          </w:p>
        </w:tc>
        <w:tc>
          <w:tcPr>
            <w:tcW w:type="dxa" w:w="2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Thought leadership content engine</w:t>
            </w:r>
          </w:p>
        </w:tc>
        <w:tc>
          <w:tcPr>
            <w:tcW w:type="dxa" w:w="2426"/>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GEO + AI video for recruitment/marketing</w:t>
            </w:r>
          </w:p>
        </w:tc>
      </w:tr>
    </w:tbl>
    <w:p>
      <w:pPr>
        <w:spacing w:after="200"/>
      </w:pPr>
    </w:p>
    <w:p>
      <w:r>
        <w:br w:type="page"/>
      </w:r>
    </w:p>
    <w:p>
      <w:pPr>
        <w:pStyle w:val="Heading2"/>
      </w:pPr>
      <w:r>
        <w:t xml:space="preserve">4.4 Custom AI Platforms</w:t>
      </w:r>
    </w:p>
    <w:p>
      <w:pPr>
        <w:spacing w:after="160" w:line="300"/>
        <w:jc w:val="both"/>
      </w:pPr>
      <w:r>
        <w:rPr>
          <w:rFonts w:ascii="Arial" w:cs="Arial" w:eastAsia="Arial" w:hAnsi="Arial"/>
          <w:color w:val="334155"/>
          <w:sz w:val="22"/>
          <w:szCs w:val="22"/>
        </w:rPr>
        <w:t xml:space="preserve">This is ANTUTIVE’s most technically advanced and strategically important practice area. It addresses the growing demand from companies that want to use AI internally but cannot accept the data leakage risk of sending proprietary information to third-party AI services like ChatGPT or Gemini.</w:t>
      </w:r>
    </w:p>
    <w:p>
      <w:pPr>
        <w:spacing w:after="160" w:line="300"/>
        <w:jc w:val="both"/>
      </w:pPr>
      <w:r>
        <w:rPr>
          <w:rFonts w:ascii="Arial" w:cs="Arial" w:eastAsia="Arial" w:hAnsi="Arial"/>
          <w:color w:val="334155"/>
          <w:sz w:val="22"/>
          <w:szCs w:val="22"/>
        </w:rPr>
        <w:t xml:space="preserve">ANTUTIVE builds private, model-agnostic AI workspaces where the client’s data never leaves their environment. Users interact with a custom-branded chat interface that connects to the AI model of their choice through secure SDK integrations. The client owns everything: the data, the interface, the conversation history, and the deployment infrastructure.</w:t>
      </w:r>
    </w:p>
    <w:p>
      <w:pPr>
        <w:pStyle w:val="Heading3"/>
      </w:pPr>
      <w:r>
        <w:t xml:space="preserve">4.4.1 Architecture Philosophy</w:t>
      </w:r>
    </w:p>
    <w:p>
      <w:pPr>
        <w:spacing w:after="160" w:line="300"/>
        <w:jc w:val="both"/>
      </w:pPr>
      <w:r>
        <w:rPr>
          <w:rFonts w:ascii="Arial" w:cs="Arial" w:eastAsia="Arial" w:hAnsi="Arial"/>
          <w:color w:val="334155"/>
          <w:sz w:val="22"/>
          <w:szCs w:val="22"/>
        </w:rPr>
        <w:t xml:space="preserve">The Custom AI Platform is built on three principles:</w:t>
      </w:r>
    </w:p>
    <w:p>
      <w:pPr>
        <w:pStyle w:val="ListParagraph"/>
        <w:numPr>
          <w:ilvl w:val="0"/>
          <w:numId w:val="7"/>
        </w:numPr>
        <w:spacing w:after="120" w:line="280"/>
      </w:pPr>
      <w:r>
        <w:rPr>
          <w:rFonts w:ascii="Arial" w:cs="Arial" w:eastAsia="Arial" w:hAnsi="Arial"/>
          <w:color w:val="334155"/>
          <w:sz w:val="21"/>
          <w:szCs w:val="21"/>
        </w:rPr>
        <w:t xml:space="preserve">Data Sovereignty — All data processing happens within the client’s own infrastructure (on-premise servers, private cloud, or EU-hosted environments). No corporate data is transmitted to external AI provider servers unless the client explicitly configures it. Conversation logs, uploaded documents, and generated outputs remain under the client’s complete control.</w:t>
      </w:r>
    </w:p>
    <w:p>
      <w:pPr>
        <w:pStyle w:val="ListParagraph"/>
        <w:numPr>
          <w:ilvl w:val="0"/>
          <w:numId w:val="7"/>
        </w:numPr>
        <w:spacing w:after="120" w:line="280"/>
      </w:pPr>
      <w:r>
        <w:rPr>
          <w:rFonts w:ascii="Arial" w:cs="Arial" w:eastAsia="Arial" w:hAnsi="Arial"/>
          <w:color w:val="334155"/>
          <w:sz w:val="21"/>
          <w:szCs w:val="21"/>
        </w:rPr>
        <w:t xml:space="preserve">Model Agnosticism — The platform is not locked to any single AI provider. Clients can select from commercial APIs (Claude via Anthropic SDK, GPT via OpenAI SDK, Gemini via Google SDK) or deploy open-weight models (LLaMA, Mistral, Mixtral, Phi) locally. The interface remains identical regardless of the underlying model, allowing clients to switch providers based on cost, capability, or compliance requirements.</w:t>
      </w:r>
    </w:p>
    <w:p>
      <w:pPr>
        <w:pStyle w:val="ListParagraph"/>
        <w:numPr>
          <w:ilvl w:val="0"/>
          <w:numId w:val="7"/>
        </w:numPr>
        <w:spacing w:after="120" w:line="280"/>
      </w:pPr>
      <w:r>
        <w:rPr>
          <w:rFonts w:ascii="Arial" w:cs="Arial" w:eastAsia="Arial" w:hAnsi="Arial"/>
          <w:color w:val="334155"/>
          <w:sz w:val="21"/>
          <w:szCs w:val="21"/>
        </w:rPr>
        <w:t xml:space="preserve">Custom Interface — Every deployment gets a tailored UI built to the client’s brand, workflow requirements, and user roles. This is not a white-label chatbot — it is a purpose-built AI workspace designed around how that specific organisation works.</w:t>
      </w:r>
    </w:p>
    <w:p>
      <w:pPr>
        <w:spacing w:after="200"/>
      </w:pPr>
    </w:p>
    <w:p>
      <w:pPr>
        <w:pStyle w:val="Heading3"/>
      </w:pPr>
      <w:r>
        <w:t xml:space="preserve">4.4.2 Platform Capabilities</w:t>
      </w:r>
    </w:p>
    <w:p>
      <w:pPr>
        <w:pStyle w:val="ListParagraph"/>
        <w:numPr>
          <w:ilvl w:val="0"/>
          <w:numId w:val="8"/>
        </w:numPr>
        <w:spacing w:after="120" w:line="280"/>
      </w:pPr>
      <w:r>
        <w:rPr>
          <w:rFonts w:ascii="Arial" w:cs="Arial" w:eastAsia="Arial" w:hAnsi="Arial"/>
          <w:color w:val="334155"/>
          <w:sz w:val="21"/>
          <w:szCs w:val="21"/>
        </w:rPr>
        <w:t xml:space="preserve">Multi-Model Chat Interface — Users can switch between AI models within the same conversation or assign specific models to specific tasks. A legal team might use Claude for contract review while the engineering team uses an open-weight model for code assistance.</w:t>
      </w:r>
    </w:p>
    <w:p>
      <w:pPr>
        <w:pStyle w:val="ListParagraph"/>
        <w:numPr>
          <w:ilvl w:val="0"/>
          <w:numId w:val="8"/>
        </w:numPr>
        <w:spacing w:after="120" w:line="280"/>
      </w:pPr>
      <w:r>
        <w:rPr>
          <w:rFonts w:ascii="Arial" w:cs="Arial" w:eastAsia="Arial" w:hAnsi="Arial"/>
          <w:color w:val="334155"/>
          <w:sz w:val="21"/>
          <w:szCs w:val="21"/>
        </w:rPr>
        <w:t xml:space="preserve">Document Intelligence — Upload, index, and query internal documents through the AI interface. Supports PDF, Word, Excel, email archives, and structured databases. All indexing happens on the client’s infrastructure.</w:t>
      </w:r>
    </w:p>
    <w:p>
      <w:pPr>
        <w:pStyle w:val="ListParagraph"/>
        <w:numPr>
          <w:ilvl w:val="0"/>
          <w:numId w:val="8"/>
        </w:numPr>
        <w:spacing w:after="120" w:line="280"/>
      </w:pPr>
      <w:r>
        <w:rPr>
          <w:rFonts w:ascii="Arial" w:cs="Arial" w:eastAsia="Arial" w:hAnsi="Arial"/>
          <w:color w:val="334155"/>
          <w:sz w:val="21"/>
          <w:szCs w:val="21"/>
        </w:rPr>
        <w:t xml:space="preserve">Role-Based Access Control — Different user groups see different AI capabilities and have access to different data sets. An executive might have access to financial analysis while a customer service agent only accesses product documentation.</w:t>
      </w:r>
    </w:p>
    <w:p>
      <w:pPr>
        <w:pStyle w:val="ListParagraph"/>
        <w:numPr>
          <w:ilvl w:val="0"/>
          <w:numId w:val="8"/>
        </w:numPr>
        <w:spacing w:after="120" w:line="280"/>
      </w:pPr>
      <w:r>
        <w:rPr>
          <w:rFonts w:ascii="Arial" w:cs="Arial" w:eastAsia="Arial" w:hAnsi="Arial"/>
          <w:color w:val="334155"/>
          <w:sz w:val="21"/>
          <w:szCs w:val="21"/>
        </w:rPr>
        <w:t xml:space="preserve">SDK Integration Layer — Pre-built connectors for Anthropic, OpenAI, Google, Azure OpenAI, Hugging Face Inference API, and self-hosted model endpoints (vLLM, Ollama, LocalAI). New model providers can be added through a standardised adapter pattern.</w:t>
      </w:r>
    </w:p>
    <w:p>
      <w:pPr>
        <w:pStyle w:val="ListParagraph"/>
        <w:numPr>
          <w:ilvl w:val="0"/>
          <w:numId w:val="8"/>
        </w:numPr>
        <w:spacing w:after="120" w:line="280"/>
      </w:pPr>
      <w:r>
        <w:rPr>
          <w:rFonts w:ascii="Arial" w:cs="Arial" w:eastAsia="Arial" w:hAnsi="Arial"/>
          <w:color w:val="334155"/>
          <w:sz w:val="21"/>
          <w:szCs w:val="21"/>
        </w:rPr>
        <w:t xml:space="preserve">Audit and Compliance Logging — Every AI interaction is logged with user identity, model used, tokens consumed, and response generated. Logs are stored on the client’s infrastructure and exportable for regulatory review.</w:t>
      </w:r>
    </w:p>
    <w:p>
      <w:pPr>
        <w:pStyle w:val="ListParagraph"/>
        <w:numPr>
          <w:ilvl w:val="0"/>
          <w:numId w:val="8"/>
        </w:numPr>
        <w:spacing w:after="120" w:line="280"/>
      </w:pPr>
      <w:r>
        <w:rPr>
          <w:rFonts w:ascii="Arial" w:cs="Arial" w:eastAsia="Arial" w:hAnsi="Arial"/>
          <w:color w:val="334155"/>
          <w:sz w:val="21"/>
          <w:szCs w:val="21"/>
        </w:rPr>
        <w:t xml:space="preserve">Custom Tool Integration — The AI interface can be connected to the client’s internal systems (ERP, CRM, ticketing, HR) through function-calling capabilities, allowing the AI to not just answer questions but take actions.</w:t>
      </w:r>
    </w:p>
    <w:p>
      <w:pPr>
        <w:pStyle w:val="ListParagraph"/>
        <w:numPr>
          <w:ilvl w:val="0"/>
          <w:numId w:val="8"/>
        </w:numPr>
        <w:spacing w:after="120" w:line="280"/>
      </w:pPr>
      <w:r>
        <w:rPr>
          <w:rFonts w:ascii="Arial" w:cs="Arial" w:eastAsia="Arial" w:hAnsi="Arial"/>
          <w:color w:val="334155"/>
          <w:sz w:val="21"/>
          <w:szCs w:val="21"/>
        </w:rPr>
        <w:t xml:space="preserve">On-Premise Deployment Option — For clients with strict data residency requirements, the entire platform can be deployed on their own servers with no external network dependencies (air-gapped mode using local models).</w:t>
      </w:r>
    </w:p>
    <w:p>
      <w:pPr>
        <w:spacing w:after="200"/>
      </w:pPr>
    </w:p>
    <w:p>
      <w:pPr>
        <w:pStyle w:val="Heading3"/>
      </w:pPr>
      <w:r>
        <w:t xml:space="preserve">4.4.3 Deployment Models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2000"/>
        <w:gridCol w:w="1800"/>
        <w:gridCol w:w="1826"/>
      </w:tblGrid>
      <w:tr>
        <w:trPr>
          <w:tblHeader/>
        </w:trPr>
        <w:tc>
          <w:tcPr>
            <w:tcW w:type="dxa" w:w="1400"/>
            <w:tcBorders>
              <w:top w:val="single" w:color="CBD5E1" w:sz="1"/>
              <w:left w:val="single" w:color="CBD5E1" w:sz="1"/>
              <w:bottom w:val="single" w:color="CBD5E1" w:sz="1"/>
              <w:right w:val="single" w:color="CBD5E1" w:sz="1"/>
            </w:tcBorders>
            <w:shd w:fill="1E3A8A" w:val="clear"/>
            <w:tcMar>
              <w:top w:type="dxa" w:w="100"/>
              <w:left w:type="dxa" w:w="140"/>
              <w:bottom w:type="dxa" w:w="100"/>
              <w:right w:type="dxa" w:w="140"/>
            </w:tcMar>
            <w:vAlign w:val="center"/>
          </w:tcPr>
          <w:p>
            <w:r>
              <w:rPr>
                <w:rFonts w:ascii="Arial" w:cs="Arial" w:eastAsia="Arial" w:hAnsi="Arial"/>
                <w:b/>
                <w:bCs/>
                <w:color w:val="FFFFFF"/>
                <w:sz w:val="20"/>
                <w:szCs w:val="20"/>
              </w:rPr>
              <w:t xml:space="preserve">Model</w:t>
            </w:r>
          </w:p>
        </w:tc>
        <w:tc>
          <w:tcPr>
            <w:tcW w:type="dxa" w:w="2000"/>
            <w:tcBorders>
              <w:top w:val="single" w:color="CBD5E1" w:sz="1"/>
              <w:left w:val="single" w:color="CBD5E1" w:sz="1"/>
              <w:bottom w:val="single" w:color="CBD5E1" w:sz="1"/>
              <w:right w:val="single" w:color="CBD5E1" w:sz="1"/>
            </w:tcBorders>
            <w:shd w:fill="1E3A8A" w:val="clear"/>
            <w:tcMar>
              <w:top w:type="dxa" w:w="100"/>
              <w:left w:type="dxa" w:w="140"/>
              <w:bottom w:type="dxa" w:w="100"/>
              <w:right w:type="dxa" w:w="140"/>
            </w:tcMar>
            <w:vAlign w:val="center"/>
          </w:tcPr>
          <w:p>
            <w:r>
              <w:rPr>
                <w:rFonts w:ascii="Arial" w:cs="Arial" w:eastAsia="Arial" w:hAnsi="Arial"/>
                <w:b/>
                <w:bCs/>
                <w:color w:val="FFFFFF"/>
                <w:sz w:val="20"/>
                <w:szCs w:val="20"/>
              </w:rPr>
              <w:t xml:space="preserve">Infrastructure</w:t>
            </w:r>
          </w:p>
        </w:tc>
        <w:tc>
          <w:tcPr>
            <w:tcW w:type="dxa" w:w="2000"/>
            <w:tcBorders>
              <w:top w:val="single" w:color="CBD5E1" w:sz="1"/>
              <w:left w:val="single" w:color="CBD5E1" w:sz="1"/>
              <w:bottom w:val="single" w:color="CBD5E1" w:sz="1"/>
              <w:right w:val="single" w:color="CBD5E1" w:sz="1"/>
            </w:tcBorders>
            <w:shd w:fill="1E3A8A" w:val="clear"/>
            <w:tcMar>
              <w:top w:type="dxa" w:w="100"/>
              <w:left w:type="dxa" w:w="140"/>
              <w:bottom w:type="dxa" w:w="100"/>
              <w:right w:type="dxa" w:w="140"/>
            </w:tcMar>
            <w:vAlign w:val="center"/>
          </w:tcPr>
          <w:p>
            <w:r>
              <w:rPr>
                <w:rFonts w:ascii="Arial" w:cs="Arial" w:eastAsia="Arial" w:hAnsi="Arial"/>
                <w:b/>
                <w:bCs/>
                <w:color w:val="FFFFFF"/>
                <w:sz w:val="20"/>
                <w:szCs w:val="20"/>
              </w:rPr>
              <w:t xml:space="preserve">AI Models Available</w:t>
            </w:r>
          </w:p>
        </w:tc>
        <w:tc>
          <w:tcPr>
            <w:tcW w:type="dxa" w:w="1800"/>
            <w:tcBorders>
              <w:top w:val="single" w:color="CBD5E1" w:sz="1"/>
              <w:left w:val="single" w:color="CBD5E1" w:sz="1"/>
              <w:bottom w:val="single" w:color="CBD5E1" w:sz="1"/>
              <w:right w:val="single" w:color="CBD5E1" w:sz="1"/>
            </w:tcBorders>
            <w:shd w:fill="1E3A8A" w:val="clear"/>
            <w:tcMar>
              <w:top w:type="dxa" w:w="100"/>
              <w:left w:type="dxa" w:w="140"/>
              <w:bottom w:type="dxa" w:w="100"/>
              <w:right w:type="dxa" w:w="140"/>
            </w:tcMar>
            <w:vAlign w:val="center"/>
          </w:tcPr>
          <w:p>
            <w:r>
              <w:rPr>
                <w:rFonts w:ascii="Arial" w:cs="Arial" w:eastAsia="Arial" w:hAnsi="Arial"/>
                <w:b/>
                <w:bCs/>
                <w:color w:val="FFFFFF"/>
                <w:sz w:val="20"/>
                <w:szCs w:val="20"/>
              </w:rPr>
              <w:t xml:space="preserve">Data Residency</w:t>
            </w:r>
          </w:p>
        </w:tc>
        <w:tc>
          <w:tcPr>
            <w:tcW w:type="dxa" w:w="1826"/>
            <w:tcBorders>
              <w:top w:val="single" w:color="CBD5E1" w:sz="1"/>
              <w:left w:val="single" w:color="CBD5E1" w:sz="1"/>
              <w:bottom w:val="single" w:color="CBD5E1" w:sz="1"/>
              <w:right w:val="single" w:color="CBD5E1" w:sz="1"/>
            </w:tcBorders>
            <w:shd w:fill="1E3A8A" w:val="clear"/>
            <w:tcMar>
              <w:top w:type="dxa" w:w="100"/>
              <w:left w:type="dxa" w:w="140"/>
              <w:bottom w:type="dxa" w:w="100"/>
              <w:right w:type="dxa" w:w="140"/>
            </w:tcMar>
            <w:vAlign w:val="center"/>
          </w:tcPr>
          <w:p>
            <w:r>
              <w:rPr>
                <w:rFonts w:ascii="Arial" w:cs="Arial" w:eastAsia="Arial" w:hAnsi="Arial"/>
                <w:b/>
                <w:bCs/>
                <w:color w:val="FFFFFF"/>
                <w:sz w:val="20"/>
                <w:szCs w:val="20"/>
              </w:rPr>
              <w:t xml:space="preserve">Best For</w:t>
            </w:r>
          </w:p>
        </w:tc>
      </w:tr>
      <w:tr>
        <w:tc>
          <w:tcPr>
            <w:tcW w:type="dxa" w:w="1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Cloud Private</w:t>
            </w:r>
          </w:p>
        </w:tc>
        <w:tc>
          <w:tcPr>
            <w:tcW w:type="dxa" w:w="2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Client’s cloud account (AWS/Azure/GCP)</w:t>
            </w:r>
          </w:p>
        </w:tc>
        <w:tc>
          <w:tcPr>
            <w:tcW w:type="dxa" w:w="2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All commercial + open-weight</w:t>
            </w:r>
          </w:p>
        </w:tc>
        <w:tc>
          <w:tcPr>
            <w:tcW w:type="dxa" w:w="1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Client-controlled cloud region</w:t>
            </w:r>
          </w:p>
        </w:tc>
        <w:tc>
          <w:tcPr>
            <w:tcW w:type="dxa" w:w="1826"/>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Most companies</w:t>
            </w:r>
          </w:p>
        </w:tc>
      </w:tr>
      <w:tr>
        <w:tc>
          <w:tcPr>
            <w:tcW w:type="dxa" w:w="1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EU Managed</w:t>
            </w:r>
          </w:p>
        </w:tc>
        <w:tc>
          <w:tcPr>
            <w:tcW w:type="dxa" w:w="2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ANTUTIVE-managed EU infrastructure</w:t>
            </w:r>
          </w:p>
        </w:tc>
        <w:tc>
          <w:tcPr>
            <w:tcW w:type="dxa" w:w="2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All commercial + open-weight</w:t>
            </w:r>
          </w:p>
        </w:tc>
        <w:tc>
          <w:tcPr>
            <w:tcW w:type="dxa" w:w="1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EU data centres (Sweden, Germany)</w:t>
            </w:r>
          </w:p>
        </w:tc>
        <w:tc>
          <w:tcPr>
            <w:tcW w:type="dxa" w:w="1826"/>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Companies wanting hands-off</w:t>
            </w:r>
          </w:p>
        </w:tc>
      </w:tr>
      <w:tr>
        <w:tc>
          <w:tcPr>
            <w:tcW w:type="dxa" w:w="1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On-Premise</w:t>
            </w:r>
          </w:p>
        </w:tc>
        <w:tc>
          <w:tcPr>
            <w:tcW w:type="dxa" w:w="2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Client’s physical servers</w:t>
            </w:r>
          </w:p>
        </w:tc>
        <w:tc>
          <w:tcPr>
            <w:tcW w:type="dxa" w:w="2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Open-weight models only</w:t>
            </w:r>
          </w:p>
        </w:tc>
        <w:tc>
          <w:tcPr>
            <w:tcW w:type="dxa" w:w="1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Client’s own facility</w:t>
            </w:r>
          </w:p>
        </w:tc>
        <w:tc>
          <w:tcPr>
            <w:tcW w:type="dxa" w:w="1826"/>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Defence, healthcare, finance</w:t>
            </w:r>
          </w:p>
        </w:tc>
      </w:tr>
      <w:tr>
        <w:tc>
          <w:tcPr>
            <w:tcW w:type="dxa" w:w="1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Hybrid</w:t>
            </w:r>
          </w:p>
        </w:tc>
        <w:tc>
          <w:tcPr>
            <w:tcW w:type="dxa" w:w="2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Mix of cloud and local</w:t>
            </w:r>
          </w:p>
        </w:tc>
        <w:tc>
          <w:tcPr>
            <w:tcW w:type="dxa" w:w="2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Commercial API for general, local for sensitive</w:t>
            </w:r>
          </w:p>
        </w:tc>
        <w:tc>
          <w:tcPr>
            <w:tcW w:type="dxa" w:w="1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Split by data sensitivity</w:t>
            </w:r>
          </w:p>
        </w:tc>
        <w:tc>
          <w:tcPr>
            <w:tcW w:type="dxa" w:w="1826"/>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Regulated industries</w:t>
            </w:r>
          </w:p>
        </w:tc>
      </w:tr>
    </w:tbl>
    <w:p>
      <w:pPr>
        <w:spacing w:after="200"/>
      </w:pPr>
    </w:p>
    <w:p>
      <w:pPr>
        <w:pStyle w:val="Heading3"/>
      </w:pPr>
      <w:r>
        <w:t xml:space="preserve">4.4.4 Revenue Model for Custom AI Platforms</w:t>
      </w:r>
    </w:p>
    <w:p>
      <w:pPr>
        <w:pStyle w:val="ListParagraph"/>
        <w:numPr>
          <w:ilvl w:val="0"/>
          <w:numId w:val="9"/>
        </w:numPr>
        <w:spacing w:after="120" w:line="280"/>
      </w:pPr>
      <w:r>
        <w:rPr>
          <w:rFonts w:ascii="Arial" w:cs="Arial" w:eastAsia="Arial" w:hAnsi="Arial"/>
          <w:color w:val="334155"/>
          <w:sz w:val="21"/>
          <w:szCs w:val="21"/>
        </w:rPr>
        <w:t xml:space="preserve">Setup Fee — One-time fee for platform design, customisation, integration, and deployment. Varies by complexity.</w:t>
      </w:r>
    </w:p>
    <w:p>
      <w:pPr>
        <w:pStyle w:val="ListParagraph"/>
        <w:numPr>
          <w:ilvl w:val="0"/>
          <w:numId w:val="9"/>
        </w:numPr>
        <w:spacing w:after="120" w:line="280"/>
      </w:pPr>
      <w:r>
        <w:rPr>
          <w:rFonts w:ascii="Arial" w:cs="Arial" w:eastAsia="Arial" w:hAnsi="Arial"/>
          <w:color w:val="334155"/>
          <w:sz w:val="21"/>
          <w:szCs w:val="21"/>
        </w:rPr>
        <w:t xml:space="preserve">Monthly Platform Fee — Recurring fee covering hosting (if ANTUTIVE-managed), maintenance, security updates, and support.</w:t>
      </w:r>
    </w:p>
    <w:p>
      <w:pPr>
        <w:pStyle w:val="ListParagraph"/>
        <w:numPr>
          <w:ilvl w:val="0"/>
          <w:numId w:val="9"/>
        </w:numPr>
        <w:spacing w:after="120" w:line="280"/>
      </w:pPr>
      <w:r>
        <w:rPr>
          <w:rFonts w:ascii="Arial" w:cs="Arial" w:eastAsia="Arial" w:hAnsi="Arial"/>
          <w:color w:val="334155"/>
          <w:sz w:val="21"/>
          <w:szCs w:val="21"/>
        </w:rPr>
        <w:t xml:space="preserve">Per-Seat Licensing — Optional per-user pricing for larger deployments where the platform serves hundreds of users.</w:t>
      </w:r>
    </w:p>
    <w:p>
      <w:pPr>
        <w:pStyle w:val="ListParagraph"/>
        <w:numPr>
          <w:ilvl w:val="0"/>
          <w:numId w:val="9"/>
        </w:numPr>
        <w:spacing w:after="120" w:line="280"/>
      </w:pPr>
      <w:r>
        <w:rPr>
          <w:rFonts w:ascii="Arial" w:cs="Arial" w:eastAsia="Arial" w:hAnsi="Arial"/>
          <w:color w:val="334155"/>
          <w:sz w:val="21"/>
          <w:szCs w:val="21"/>
        </w:rPr>
        <w:t xml:space="preserve">Model Cost Pass-Through — Commercial API costs (Claude, GPT tokens) are passed through to the client at cost or with a small management margin. Open-weight models running on client infrastructure have no per-use cost.</w:t>
      </w:r>
    </w:p>
    <w:p>
      <w:pPr>
        <w:spacing w:after="200"/>
      </w:pPr>
    </w:p>
    <w:p>
      <w:pPr>
        <w:pStyle w:val="Heading3"/>
      </w:pPr>
      <w:r>
        <w:t xml:space="preserve">4.4.5 Competitive Differentiation</w:t>
      </w:r>
    </w:p>
    <w:p>
      <w:pPr>
        <w:spacing w:after="160" w:line="300"/>
        <w:jc w:val="both"/>
      </w:pPr>
      <w:r>
        <w:rPr>
          <w:rFonts w:ascii="Arial" w:cs="Arial" w:eastAsia="Arial" w:hAnsi="Arial"/>
          <w:color w:val="334155"/>
          <w:sz w:val="22"/>
          <w:szCs w:val="22"/>
        </w:rPr>
        <w:t xml:space="preserve">The Custom AI Platform competes against three categories of alternatives: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626"/>
      </w:tblGrid>
      <w:tr>
        <w:trPr>
          <w:tblHeader/>
        </w:trPr>
        <w:tc>
          <w:tcPr>
            <w:tcW w:type="dxa" w:w="2400"/>
            <w:tcBorders>
              <w:top w:val="single" w:color="CBD5E1" w:sz="1"/>
              <w:left w:val="single" w:color="CBD5E1" w:sz="1"/>
              <w:bottom w:val="single" w:color="CBD5E1" w:sz="1"/>
              <w:right w:val="single" w:color="CBD5E1" w:sz="1"/>
            </w:tcBorders>
            <w:shd w:fill="1E3A8A" w:val="clear"/>
            <w:tcMar>
              <w:top w:type="dxa" w:w="100"/>
              <w:left w:type="dxa" w:w="140"/>
              <w:bottom w:type="dxa" w:w="100"/>
              <w:right w:type="dxa" w:w="140"/>
            </w:tcMar>
            <w:vAlign w:val="center"/>
          </w:tcPr>
          <w:p>
            <w:r>
              <w:rPr>
                <w:rFonts w:ascii="Arial" w:cs="Arial" w:eastAsia="Arial" w:hAnsi="Arial"/>
                <w:b/>
                <w:bCs/>
                <w:color w:val="FFFFFF"/>
                <w:sz w:val="20"/>
                <w:szCs w:val="20"/>
              </w:rPr>
              <w:t xml:space="preserve">Alternative</w:t>
            </w:r>
          </w:p>
        </w:tc>
        <w:tc>
          <w:tcPr>
            <w:tcW w:type="dxa" w:w="3000"/>
            <w:tcBorders>
              <w:top w:val="single" w:color="CBD5E1" w:sz="1"/>
              <w:left w:val="single" w:color="CBD5E1" w:sz="1"/>
              <w:bottom w:val="single" w:color="CBD5E1" w:sz="1"/>
              <w:right w:val="single" w:color="CBD5E1" w:sz="1"/>
            </w:tcBorders>
            <w:shd w:fill="1E3A8A" w:val="clear"/>
            <w:tcMar>
              <w:top w:type="dxa" w:w="100"/>
              <w:left w:type="dxa" w:w="140"/>
              <w:bottom w:type="dxa" w:w="100"/>
              <w:right w:type="dxa" w:w="140"/>
            </w:tcMar>
            <w:vAlign w:val="center"/>
          </w:tcPr>
          <w:p>
            <w:r>
              <w:rPr>
                <w:rFonts w:ascii="Arial" w:cs="Arial" w:eastAsia="Arial" w:hAnsi="Arial"/>
                <w:b/>
                <w:bCs/>
                <w:color w:val="FFFFFF"/>
                <w:sz w:val="20"/>
                <w:szCs w:val="20"/>
              </w:rPr>
              <w:t xml:space="preserve">Their Limitation</w:t>
            </w:r>
          </w:p>
        </w:tc>
        <w:tc>
          <w:tcPr>
            <w:tcW w:type="dxa" w:w="3626"/>
            <w:tcBorders>
              <w:top w:val="single" w:color="CBD5E1" w:sz="1"/>
              <w:left w:val="single" w:color="CBD5E1" w:sz="1"/>
              <w:bottom w:val="single" w:color="CBD5E1" w:sz="1"/>
              <w:right w:val="single" w:color="CBD5E1" w:sz="1"/>
            </w:tcBorders>
            <w:shd w:fill="1E3A8A" w:val="clear"/>
            <w:tcMar>
              <w:top w:type="dxa" w:w="100"/>
              <w:left w:type="dxa" w:w="140"/>
              <w:bottom w:type="dxa" w:w="100"/>
              <w:right w:type="dxa" w:w="140"/>
            </w:tcMar>
            <w:vAlign w:val="center"/>
          </w:tcPr>
          <w:p>
            <w:r>
              <w:rPr>
                <w:rFonts w:ascii="Arial" w:cs="Arial" w:eastAsia="Arial" w:hAnsi="Arial"/>
                <w:b/>
                <w:bCs/>
                <w:color w:val="FFFFFF"/>
                <w:sz w:val="20"/>
                <w:szCs w:val="20"/>
              </w:rPr>
              <w:t xml:space="preserve">ANTUTIVE Advantage</w:t>
            </w:r>
          </w:p>
        </w:tc>
      </w:tr>
      <w:tr>
        <w:tc>
          <w:tcPr>
            <w:tcW w:type="dxa" w:w="2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Direct API Usage (DIY)</w:t>
            </w:r>
          </w:p>
        </w:tc>
        <w:tc>
          <w:tcPr>
            <w:tcW w:type="dxa" w:w="3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Requires in-house AI engineering team</w:t>
            </w:r>
          </w:p>
        </w:tc>
        <w:tc>
          <w:tcPr>
            <w:tcW w:type="dxa" w:w="3626"/>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ANTUTIVE provides the full stack: UI, integration, deployment, support</w:t>
            </w:r>
          </w:p>
        </w:tc>
      </w:tr>
      <w:tr>
        <w:tc>
          <w:tcPr>
            <w:tcW w:type="dxa" w:w="2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ChatGPT Enterprise / Teams</w:t>
            </w:r>
          </w:p>
        </w:tc>
        <w:tc>
          <w:tcPr>
            <w:tcW w:type="dxa" w:w="3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Data goes to OpenAI servers, single model lock-in</w:t>
            </w:r>
          </w:p>
        </w:tc>
        <w:tc>
          <w:tcPr>
            <w:tcW w:type="dxa" w:w="3626"/>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Data stays on-premise, any model, fully customised UI</w:t>
            </w:r>
          </w:p>
        </w:tc>
      </w:tr>
      <w:tr>
        <w:tc>
          <w:tcPr>
            <w:tcW w:type="dxa" w:w="2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Generic AI Platform SaaS</w:t>
            </w:r>
          </w:p>
        </w:tc>
        <w:tc>
          <w:tcPr>
            <w:tcW w:type="dxa" w:w="3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One-size-fits-all interface, limited customisation</w:t>
            </w:r>
          </w:p>
        </w:tc>
        <w:tc>
          <w:tcPr>
            <w:tcW w:type="dxa" w:w="3626"/>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Purpose-built for each client’s workflow and brand</w:t>
            </w:r>
          </w:p>
        </w:tc>
      </w:tr>
      <w:tr>
        <w:tc>
          <w:tcPr>
            <w:tcW w:type="dxa" w:w="2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Open-Source Deployments</w:t>
            </w:r>
          </w:p>
        </w:tc>
        <w:tc>
          <w:tcPr>
            <w:tcW w:type="dxa" w:w="3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Complex to deploy and maintain, no support</w:t>
            </w:r>
          </w:p>
        </w:tc>
        <w:tc>
          <w:tcPr>
            <w:tcW w:type="dxa" w:w="3626"/>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Managed service with SLA, ongoing development, and training</w:t>
            </w:r>
          </w:p>
        </w:tc>
      </w:tr>
    </w:tbl>
    <w:p>
      <w:pPr>
        <w:spacing w:after="200"/>
      </w:pPr>
    </w:p>
    <w:p>
      <w:r>
        <w:br w:type="page"/>
      </w:r>
    </w:p>
    <w:p>
      <w:pPr>
        <w:pStyle w:val="Heading1"/>
      </w:pPr>
      <w:r>
        <w:t xml:space="preserve">5. Pillar 2: Strategic Consulting &amp; Talent</w:t>
      </w:r>
    </w:p>
    <w:p>
      <w:pPr>
        <w:pBdr>
          <w:bottom w:val="single" w:color="D4A017" w:sz="4" w:space="8"/>
        </w:pBdr>
        <w:spacing w:after="200" w:before="100"/>
      </w:pPr>
    </w:p>
    <w:p>
      <w:pPr>
        <w:spacing w:after="160" w:line="300"/>
        <w:jc w:val="both"/>
      </w:pPr>
      <w:r>
        <w:rPr>
          <w:rFonts w:ascii="Arial" w:cs="Arial" w:eastAsia="Arial" w:hAnsi="Arial"/>
          <w:color w:val="334155"/>
          <w:sz w:val="22"/>
          <w:szCs w:val="22"/>
        </w:rPr>
        <w:t xml:space="preserve">Pillar 2 is the public-facing version of ANTUTIVE’s staff augmentation and IT consulting capability. On the website and in marketing, this is presented as “IT Consulting and Distributed Engineering Teams” — never as offshoring.</w:t>
      </w:r>
    </w:p>
    <w:p>
      <w:pPr>
        <w:pStyle w:val="Heading2"/>
      </w:pPr>
      <w:r>
        <w:t xml:space="preserve">5.1 Service Models</w:t>
      </w:r>
    </w:p>
    <w:p>
      <w:pPr>
        <w:pStyle w:val="Heading3"/>
      </w:pPr>
      <w:r>
        <w:t xml:space="preserve">Model A: Strategic IT Consulting</w:t>
      </w:r>
    </w:p>
    <w:p>
      <w:pPr>
        <w:spacing w:after="160" w:line="300"/>
        <w:jc w:val="both"/>
      </w:pPr>
      <w:r>
        <w:rPr>
          <w:rFonts w:ascii="Arial" w:cs="Arial" w:eastAsia="Arial" w:hAnsi="Arial"/>
          <w:color w:val="334155"/>
          <w:sz w:val="22"/>
          <w:szCs w:val="22"/>
        </w:rPr>
        <w:t xml:space="preserve">Senior-level consulting directly in Sweden and across the EU. Includes technology strategy, architecture reviews, AI readiness assessments, data governance planning, and digital transformation advisory.</w:t>
      </w:r>
    </w:p>
    <w:p>
      <w:pPr>
        <w:spacing w:after="160" w:line="300"/>
        <w:jc w:val="both"/>
      </w:pPr>
      <w:r>
        <w:rPr>
          <w:rFonts w:ascii="Arial" w:cs="Arial" w:eastAsia="Arial" w:hAnsi="Arial"/>
          <w:b/>
          <w:bCs/>
          <w:color w:val="0F172A"/>
          <w:sz w:val="22"/>
          <w:szCs w:val="22"/>
        </w:rPr>
        <w:t xml:space="preserve">Billing: </w:t>
      </w:r>
      <w:r>
        <w:rPr>
          <w:rFonts w:ascii="Arial" w:cs="Arial" w:eastAsia="Arial" w:hAnsi="Arial"/>
          <w:color w:val="334155"/>
          <w:sz w:val="22"/>
          <w:szCs w:val="22"/>
        </w:rPr>
        <w:t xml:space="preserve">Time and materials, billed in SEK or EUR through ANTUTIVE AB.</w:t>
      </w:r>
    </w:p>
    <w:p>
      <w:pPr>
        <w:spacing w:after="200"/>
      </w:pPr>
    </w:p>
    <w:p>
      <w:pPr>
        <w:pStyle w:val="Heading3"/>
      </w:pPr>
      <w:r>
        <w:t xml:space="preserve">Model B: Managed Engineering Teams</w:t>
      </w:r>
    </w:p>
    <w:p>
      <w:pPr>
        <w:spacing w:after="160" w:line="300"/>
        <w:jc w:val="both"/>
      </w:pPr>
      <w:r>
        <w:rPr>
          <w:rFonts w:ascii="Arial" w:cs="Arial" w:eastAsia="Arial" w:hAnsi="Arial"/>
          <w:color w:val="334155"/>
          <w:sz w:val="22"/>
          <w:szCs w:val="22"/>
        </w:rPr>
        <w:t xml:space="preserve">Dedicated development teams for specific projects or ongoing product development. The client contracts exclusively with ANTUTIVE AB. Team composition, management, and QA are handled by ANTUTIVE. Single point of contact, regular sprint reviews, full IP ownership.</w:t>
      </w:r>
    </w:p>
    <w:p>
      <w:pPr>
        <w:spacing w:after="160" w:line="300"/>
        <w:jc w:val="both"/>
      </w:pPr>
      <w:r>
        <w:rPr>
          <w:rFonts w:ascii="Arial" w:cs="Arial" w:eastAsia="Arial" w:hAnsi="Arial"/>
          <w:b/>
          <w:bCs/>
          <w:color w:val="0F172A"/>
          <w:sz w:val="22"/>
          <w:szCs w:val="22"/>
        </w:rPr>
        <w:t xml:space="preserve">Billing: </w:t>
      </w:r>
      <w:r>
        <w:rPr>
          <w:rFonts w:ascii="Arial" w:cs="Arial" w:eastAsia="Arial" w:hAnsi="Arial"/>
          <w:color w:val="334155"/>
          <w:sz w:val="22"/>
          <w:szCs w:val="22"/>
        </w:rPr>
        <w:t xml:space="preserve">Monthly retainer per team member or fixed-scope project pricing.</w:t>
      </w:r>
    </w:p>
    <w:p>
      <w:pPr>
        <w:spacing w:after="200"/>
      </w:pPr>
    </w:p>
    <w:p>
      <w:pPr>
        <w:pStyle w:val="Heading3"/>
      </w:pPr>
      <w:r>
        <w:t xml:space="preserve">Model C: Project-Based Delivery</w:t>
      </w:r>
    </w:p>
    <w:p>
      <w:pPr>
        <w:spacing w:after="160" w:line="300"/>
        <w:jc w:val="both"/>
      </w:pPr>
      <w:r>
        <w:rPr>
          <w:rFonts w:ascii="Arial" w:cs="Arial" w:eastAsia="Arial" w:hAnsi="Arial"/>
          <w:color w:val="334155"/>
          <w:sz w:val="22"/>
          <w:szCs w:val="22"/>
        </w:rPr>
        <w:t xml:space="preserve">End-to-end software development: web applications, mobile apps, enterprise integrations, API development, cloud migrations, legacy modernisation. Each project follows the ANTUTIVE Delivery Method.</w:t>
      </w:r>
    </w:p>
    <w:p>
      <w:pPr>
        <w:spacing w:after="160" w:line="300"/>
        <w:jc w:val="both"/>
      </w:pPr>
      <w:r>
        <w:rPr>
          <w:rFonts w:ascii="Arial" w:cs="Arial" w:eastAsia="Arial" w:hAnsi="Arial"/>
          <w:b/>
          <w:bCs/>
          <w:color w:val="0F172A"/>
          <w:sz w:val="22"/>
          <w:szCs w:val="22"/>
        </w:rPr>
        <w:t xml:space="preserve">Billing: </w:t>
      </w:r>
      <w:r>
        <w:rPr>
          <w:rFonts w:ascii="Arial" w:cs="Arial" w:eastAsia="Arial" w:hAnsi="Arial"/>
          <w:color w:val="334155"/>
          <w:sz w:val="22"/>
          <w:szCs w:val="22"/>
        </w:rPr>
        <w:t xml:space="preserve">Fixed-scope quotation with milestone-based payments.</w:t>
      </w:r>
    </w:p>
    <w:p>
      <w:pPr>
        <w:spacing w:after="200"/>
      </w:pPr>
    </w:p>
    <w:p>
      <w:pPr>
        <w:pStyle w:val="Heading2"/>
      </w:pPr>
      <w:r>
        <w:t xml:space="preserve">5.2 Technology Coverage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CBD5E1" w:sz="1"/>
              <w:left w:val="single" w:color="CBD5E1" w:sz="1"/>
              <w:bottom w:val="single" w:color="CBD5E1" w:sz="1"/>
              <w:right w:val="single" w:color="CBD5E1" w:sz="1"/>
            </w:tcBorders>
            <w:shd w:fill="1E3A8A" w:val="clear"/>
            <w:tcMar>
              <w:top w:type="dxa" w:w="100"/>
              <w:left w:type="dxa" w:w="140"/>
              <w:bottom w:type="dxa" w:w="100"/>
              <w:right w:type="dxa" w:w="140"/>
            </w:tcMar>
            <w:vAlign w:val="center"/>
          </w:tcPr>
          <w:p>
            <w:r>
              <w:rPr>
                <w:rFonts w:ascii="Arial" w:cs="Arial" w:eastAsia="Arial" w:hAnsi="Arial"/>
                <w:b/>
                <w:bCs/>
                <w:color w:val="FFFFFF"/>
                <w:sz w:val="20"/>
                <w:szCs w:val="20"/>
              </w:rPr>
              <w:t xml:space="preserve">Domain</w:t>
            </w:r>
          </w:p>
        </w:tc>
        <w:tc>
          <w:tcPr>
            <w:tcW w:type="dxa" w:w="6626"/>
            <w:tcBorders>
              <w:top w:val="single" w:color="CBD5E1" w:sz="1"/>
              <w:left w:val="single" w:color="CBD5E1" w:sz="1"/>
              <w:bottom w:val="single" w:color="CBD5E1" w:sz="1"/>
              <w:right w:val="single" w:color="CBD5E1" w:sz="1"/>
            </w:tcBorders>
            <w:shd w:fill="1E3A8A" w:val="clear"/>
            <w:tcMar>
              <w:top w:type="dxa" w:w="100"/>
              <w:left w:type="dxa" w:w="140"/>
              <w:bottom w:type="dxa" w:w="100"/>
              <w:right w:type="dxa" w:w="140"/>
            </w:tcMar>
            <w:vAlign w:val="center"/>
          </w:tcPr>
          <w:p>
            <w:r>
              <w:rPr>
                <w:rFonts w:ascii="Arial" w:cs="Arial" w:eastAsia="Arial" w:hAnsi="Arial"/>
                <w:b/>
                <w:bCs/>
                <w:color w:val="FFFFFF"/>
                <w:sz w:val="20"/>
                <w:szCs w:val="20"/>
              </w:rPr>
              <w:t xml:space="preserve">Technologies and Platforms</w:t>
            </w:r>
          </w:p>
        </w:tc>
      </w:tr>
      <w:tr>
        <w:tc>
          <w:tcPr>
            <w:tcW w:type="dxa" w:w="2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Frontend</w:t>
            </w:r>
          </w:p>
        </w:tc>
        <w:tc>
          <w:tcPr>
            <w:tcW w:type="dxa" w:w="6626"/>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React, Next.js, Vue.js, React Native, Flutter</w:t>
            </w:r>
          </w:p>
        </w:tc>
      </w:tr>
      <w:tr>
        <w:tc>
          <w:tcPr>
            <w:tcW w:type="dxa" w:w="2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Backend</w:t>
            </w:r>
          </w:p>
        </w:tc>
        <w:tc>
          <w:tcPr>
            <w:tcW w:type="dxa" w:w="6626"/>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Python, Node.js, Java, .NET, Go</w:t>
            </w:r>
          </w:p>
        </w:tc>
      </w:tr>
      <w:tr>
        <w:tc>
          <w:tcPr>
            <w:tcW w:type="dxa" w:w="2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Cloud &amp; DevOps</w:t>
            </w:r>
          </w:p>
        </w:tc>
        <w:tc>
          <w:tcPr>
            <w:tcW w:type="dxa" w:w="6626"/>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AWS, Azure, GCP, Kubernetes, Terraform, CI/CD</w:t>
            </w:r>
          </w:p>
        </w:tc>
      </w:tr>
      <w:tr>
        <w:tc>
          <w:tcPr>
            <w:tcW w:type="dxa" w:w="2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Data</w:t>
            </w:r>
          </w:p>
        </w:tc>
        <w:tc>
          <w:tcPr>
            <w:tcW w:type="dxa" w:w="6626"/>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PostgreSQL, MongoDB, Snowflake, Spark, Airflow, dbt</w:t>
            </w:r>
          </w:p>
        </w:tc>
      </w:tr>
      <w:tr>
        <w:tc>
          <w:tcPr>
            <w:tcW w:type="dxa" w:w="2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AI / ML</w:t>
            </w:r>
          </w:p>
        </w:tc>
        <w:tc>
          <w:tcPr>
            <w:tcW w:type="dxa" w:w="6626"/>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PyTorch, TensorFlow, LangChain, LlamaIndex, HuggingFace, OpenAI/Anthropic SDKs</w:t>
            </w:r>
          </w:p>
        </w:tc>
      </w:tr>
      <w:tr>
        <w:tc>
          <w:tcPr>
            <w:tcW w:type="dxa" w:w="2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Enterprise</w:t>
            </w:r>
          </w:p>
        </w:tc>
        <w:tc>
          <w:tcPr>
            <w:tcW w:type="dxa" w:w="6626"/>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SAP Integration, Salesforce, Microsoft 365, Fortnox, Visma</w:t>
            </w:r>
          </w:p>
        </w:tc>
      </w:tr>
    </w:tbl>
    <w:p>
      <w:pPr>
        <w:spacing w:after="200"/>
      </w:pPr>
    </w:p>
    <w:p>
      <w:r>
        <w:br w:type="page"/>
      </w:r>
    </w:p>
    <w:p>
      <w:pPr>
        <w:pStyle w:val="Heading1"/>
      </w:pPr>
      <w:r>
        <w:t xml:space="preserve">6. Pillar 3: Products</w:t>
      </w:r>
    </w:p>
    <w:p>
      <w:pPr>
        <w:pBdr>
          <w:bottom w:val="single" w:color="D4A017" w:sz="4" w:space="8"/>
        </w:pBdr>
        <w:spacing w:after="200" w:before="100"/>
      </w:pPr>
    </w:p>
    <w:p>
      <w:pPr>
        <w:spacing w:after="160" w:line="300"/>
        <w:jc w:val="both"/>
      </w:pPr>
      <w:r>
        <w:rPr>
          <w:rFonts w:ascii="Arial" w:cs="Arial" w:eastAsia="Arial" w:hAnsi="Arial"/>
          <w:color w:val="334155"/>
          <w:sz w:val="22"/>
          <w:szCs w:val="22"/>
        </w:rPr>
        <w:t xml:space="preserve">Pillar 3 represents ANTUTIVE’s scalable revenue stream. Unlike services (which trade time for money), products generate recurring revenue through licensing and can scale without linear headcount growth.</w:t>
      </w:r>
    </w:p>
    <w:p>
      <w:pPr>
        <w:pStyle w:val="Heading2"/>
      </w:pPr>
      <w:r>
        <w:t xml:space="preserve">6.1 FAMANT home OS</w:t>
      </w:r>
    </w:p>
    <w:p>
      <w:pPr>
        <w:pStyle w:val="Heading3"/>
      </w:pPr>
      <w:r>
        <w:t xml:space="preserve">Product Definition</w:t>
      </w:r>
    </w:p>
    <w:p>
      <w:pPr>
        <w:spacing w:after="160" w:line="300"/>
        <w:jc w:val="both"/>
      </w:pPr>
      <w:r>
        <w:rPr>
          <w:rFonts w:ascii="Arial" w:cs="Arial" w:eastAsia="Arial" w:hAnsi="Arial"/>
          <w:color w:val="334155"/>
          <w:sz w:val="22"/>
          <w:szCs w:val="22"/>
        </w:rPr>
        <w:t xml:space="preserve">FAMANT is a voice-first, agentic home operating system that unifies calendar management, task coordination, meal planning, and document management into a single AI-powered platform with conversational interface as the primary interaction mode.</w:t>
      </w:r>
    </w:p>
    <w:p>
      <w:pPr>
        <w:pStyle w:val="Heading3"/>
      </w:pPr>
      <w:r>
        <w:t xml:space="preserve">Core Capabilities</w:t>
      </w:r>
    </w:p>
    <w:p>
      <w:pPr>
        <w:pStyle w:val="ListParagraph"/>
        <w:numPr>
          <w:ilvl w:val="0"/>
          <w:numId w:val="10"/>
        </w:numPr>
        <w:spacing w:after="120" w:line="280"/>
      </w:pPr>
      <w:r>
        <w:rPr>
          <w:rFonts w:ascii="Arial" w:cs="Arial" w:eastAsia="Arial" w:hAnsi="Arial"/>
          <w:color w:val="334155"/>
          <w:sz w:val="21"/>
          <w:szCs w:val="21"/>
        </w:rPr>
        <w:t xml:space="preserve">Unified Family Calendar — Aggregates individual calendars (Google, Outlook, Apple) into a shared family view with intelligent conflict detection, scheduling suggestions, and voice-based event creation.</w:t>
      </w:r>
    </w:p>
    <w:p>
      <w:pPr>
        <w:pStyle w:val="ListParagraph"/>
        <w:numPr>
          <w:ilvl w:val="0"/>
          <w:numId w:val="10"/>
        </w:numPr>
        <w:spacing w:after="120" w:line="280"/>
      </w:pPr>
      <w:r>
        <w:rPr>
          <w:rFonts w:ascii="Arial" w:cs="Arial" w:eastAsia="Arial" w:hAnsi="Arial"/>
          <w:color w:val="334155"/>
          <w:sz w:val="21"/>
          <w:szCs w:val="21"/>
        </w:rPr>
        <w:t xml:space="preserve">Agentic Task Management — Tasks assigned, tracked, and completed through voice commands. Proactive reminders, escalation, and adaptation based on completion patterns.</w:t>
      </w:r>
    </w:p>
    <w:p>
      <w:pPr>
        <w:pStyle w:val="ListParagraph"/>
        <w:numPr>
          <w:ilvl w:val="0"/>
          <w:numId w:val="10"/>
        </w:numPr>
        <w:spacing w:after="120" w:line="280"/>
      </w:pPr>
      <w:r>
        <w:rPr>
          <w:rFonts w:ascii="Arial" w:cs="Arial" w:eastAsia="Arial" w:hAnsi="Arial"/>
          <w:color w:val="334155"/>
          <w:sz w:val="21"/>
          <w:szCs w:val="21"/>
        </w:rPr>
        <w:t xml:space="preserve">Meal Planning Engine — Weekly meal planning with recipe management, dietary preference tracking, automatic grocery list generation, and delivery service integration.</w:t>
      </w:r>
    </w:p>
    <w:p>
      <w:pPr>
        <w:pStyle w:val="ListParagraph"/>
        <w:numPr>
          <w:ilvl w:val="0"/>
          <w:numId w:val="10"/>
        </w:numPr>
        <w:spacing w:after="120" w:line="280"/>
      </w:pPr>
      <w:r>
        <w:rPr>
          <w:rFonts w:ascii="Arial" w:cs="Arial" w:eastAsia="Arial" w:hAnsi="Arial"/>
          <w:color w:val="334155"/>
          <w:sz w:val="21"/>
          <w:szCs w:val="21"/>
        </w:rPr>
        <w:t xml:space="preserve">Document Vault — Secure storage and intelligent retrieval of family documents (school forms, medical records, insurance, travel docs) with OCR and natural language search.</w:t>
      </w:r>
    </w:p>
    <w:p>
      <w:pPr>
        <w:pStyle w:val="ListParagraph"/>
        <w:numPr>
          <w:ilvl w:val="0"/>
          <w:numId w:val="10"/>
        </w:numPr>
        <w:spacing w:after="120" w:line="280"/>
      </w:pPr>
      <w:r>
        <w:rPr>
          <w:rFonts w:ascii="Arial" w:cs="Arial" w:eastAsia="Arial" w:hAnsi="Arial"/>
          <w:color w:val="334155"/>
          <w:sz w:val="21"/>
          <w:szCs w:val="21"/>
        </w:rPr>
        <w:t xml:space="preserve">Voice-First Interface — Every function accessible through conversational voice interaction, reducing screen dependency.</w:t>
      </w:r>
    </w:p>
    <w:p>
      <w:pPr>
        <w:spacing w:after="200"/>
      </w:pPr>
    </w:p>
    <w:p>
      <w:pPr>
        <w:pStyle w:val="Heading3"/>
      </w:pPr>
      <w:r>
        <w:t xml:space="preserve">Revenue Model</w:t>
      </w:r>
    </w:p>
    <w:p>
      <w:pPr>
        <w:spacing w:after="160" w:line="300"/>
        <w:jc w:val="both"/>
      </w:pPr>
      <w:r>
        <w:rPr>
          <w:rFonts w:ascii="Arial" w:cs="Arial" w:eastAsia="Arial" w:hAnsi="Arial"/>
          <w:color w:val="334155"/>
          <w:sz w:val="22"/>
          <w:szCs w:val="22"/>
        </w:rPr>
        <w:t xml:space="preserve">Freemium SaaS: free tier for basic calendar and tasks, premium subscription (79–129 SEK/month) for full AI capabilities, document vault, meal planning, and multi-device support. Family plans with 2–6 member seats.</w:t>
      </w:r>
    </w:p>
    <w:p>
      <w:pPr>
        <w:pStyle w:val="Heading3"/>
      </w:pPr>
      <w:r>
        <w:t xml:space="preserve">Development Roadmap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5226"/>
        <w:gridCol w:w="2400"/>
      </w:tblGrid>
      <w:tr>
        <w:trPr>
          <w:tblHeader/>
        </w:trPr>
        <w:tc>
          <w:tcPr>
            <w:tcW w:type="dxa" w:w="1400"/>
            <w:tcBorders>
              <w:top w:val="single" w:color="CBD5E1" w:sz="1"/>
              <w:left w:val="single" w:color="CBD5E1" w:sz="1"/>
              <w:bottom w:val="single" w:color="CBD5E1" w:sz="1"/>
              <w:right w:val="single" w:color="CBD5E1" w:sz="1"/>
            </w:tcBorders>
            <w:shd w:fill="1E3A8A" w:val="clear"/>
            <w:tcMar>
              <w:top w:type="dxa" w:w="100"/>
              <w:left w:type="dxa" w:w="140"/>
              <w:bottom w:type="dxa" w:w="100"/>
              <w:right w:type="dxa" w:w="140"/>
            </w:tcMar>
            <w:vAlign w:val="center"/>
          </w:tcPr>
          <w:p>
            <w:r>
              <w:rPr>
                <w:rFonts w:ascii="Arial" w:cs="Arial" w:eastAsia="Arial" w:hAnsi="Arial"/>
                <w:b/>
                <w:bCs/>
                <w:color w:val="FFFFFF"/>
                <w:sz w:val="20"/>
                <w:szCs w:val="20"/>
              </w:rPr>
              <w:t xml:space="preserve">Phase</w:t>
            </w:r>
          </w:p>
        </w:tc>
        <w:tc>
          <w:tcPr>
            <w:tcW w:type="dxa" w:w="5226"/>
            <w:tcBorders>
              <w:top w:val="single" w:color="CBD5E1" w:sz="1"/>
              <w:left w:val="single" w:color="CBD5E1" w:sz="1"/>
              <w:bottom w:val="single" w:color="CBD5E1" w:sz="1"/>
              <w:right w:val="single" w:color="CBD5E1" w:sz="1"/>
            </w:tcBorders>
            <w:shd w:fill="1E3A8A" w:val="clear"/>
            <w:tcMar>
              <w:top w:type="dxa" w:w="100"/>
              <w:left w:type="dxa" w:w="140"/>
              <w:bottom w:type="dxa" w:w="100"/>
              <w:right w:type="dxa" w:w="140"/>
            </w:tcMar>
            <w:vAlign w:val="center"/>
          </w:tcPr>
          <w:p>
            <w:r>
              <w:rPr>
                <w:rFonts w:ascii="Arial" w:cs="Arial" w:eastAsia="Arial" w:hAnsi="Arial"/>
                <w:b/>
                <w:bCs/>
                <w:color w:val="FFFFFF"/>
                <w:sz w:val="20"/>
                <w:szCs w:val="20"/>
              </w:rPr>
              <w:t xml:space="preserve">Scope</w:t>
            </w:r>
          </w:p>
        </w:tc>
        <w:tc>
          <w:tcPr>
            <w:tcW w:type="dxa" w:w="2400"/>
            <w:tcBorders>
              <w:top w:val="single" w:color="CBD5E1" w:sz="1"/>
              <w:left w:val="single" w:color="CBD5E1" w:sz="1"/>
              <w:bottom w:val="single" w:color="CBD5E1" w:sz="1"/>
              <w:right w:val="single" w:color="CBD5E1" w:sz="1"/>
            </w:tcBorders>
            <w:shd w:fill="1E3A8A" w:val="clear"/>
            <w:tcMar>
              <w:top w:type="dxa" w:w="100"/>
              <w:left w:type="dxa" w:w="140"/>
              <w:bottom w:type="dxa" w:w="100"/>
              <w:right w:type="dxa" w:w="140"/>
            </w:tcMar>
            <w:vAlign w:val="center"/>
          </w:tcPr>
          <w:p>
            <w:r>
              <w:rPr>
                <w:rFonts w:ascii="Arial" w:cs="Arial" w:eastAsia="Arial" w:hAnsi="Arial"/>
                <w:b/>
                <w:bCs/>
                <w:color w:val="FFFFFF"/>
                <w:sz w:val="20"/>
                <w:szCs w:val="20"/>
              </w:rPr>
              <w:t xml:space="preserve">Target</w:t>
            </w:r>
          </w:p>
        </w:tc>
      </w:tr>
      <w:tr>
        <w:tc>
          <w:tcPr>
            <w:tcW w:type="dxa" w:w="1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MVP</w:t>
            </w:r>
          </w:p>
        </w:tc>
        <w:tc>
          <w:tcPr>
            <w:tcW w:type="dxa" w:w="5226"/>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Calendar + Tasks + Voice interface (Swedish, English)</w:t>
            </w:r>
          </w:p>
        </w:tc>
        <w:tc>
          <w:tcPr>
            <w:tcW w:type="dxa" w:w="2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Q3 2026</w:t>
            </w:r>
          </w:p>
        </w:tc>
      </w:tr>
      <w:tr>
        <w:tc>
          <w:tcPr>
            <w:tcW w:type="dxa" w:w="1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V1.0</w:t>
            </w:r>
          </w:p>
        </w:tc>
        <w:tc>
          <w:tcPr>
            <w:tcW w:type="dxa" w:w="5226"/>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Add Meal Planning + Document Vault</w:t>
            </w:r>
          </w:p>
        </w:tc>
        <w:tc>
          <w:tcPr>
            <w:tcW w:type="dxa" w:w="2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Q4 2026</w:t>
            </w:r>
          </w:p>
        </w:tc>
      </w:tr>
      <w:tr>
        <w:tc>
          <w:tcPr>
            <w:tcW w:type="dxa" w:w="1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V1.5</w:t>
            </w:r>
          </w:p>
        </w:tc>
        <w:tc>
          <w:tcPr>
            <w:tcW w:type="dxa" w:w="5226"/>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Grocery delivery integrations + Smart home connectors</w:t>
            </w:r>
          </w:p>
        </w:tc>
        <w:tc>
          <w:tcPr>
            <w:tcW w:type="dxa" w:w="2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Q1 2027</w:t>
            </w:r>
          </w:p>
        </w:tc>
      </w:tr>
      <w:tr>
        <w:tc>
          <w:tcPr>
            <w:tcW w:type="dxa" w:w="1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V2.0</w:t>
            </w:r>
          </w:p>
        </w:tc>
        <w:tc>
          <w:tcPr>
            <w:tcW w:type="dxa" w:w="5226"/>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Full agentic automation + Family analytics</w:t>
            </w:r>
          </w:p>
        </w:tc>
        <w:tc>
          <w:tcPr>
            <w:tcW w:type="dxa" w:w="2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Q2 2027</w:t>
            </w:r>
          </w:p>
        </w:tc>
      </w:tr>
    </w:tbl>
    <w:p>
      <w:pPr>
        <w:spacing w:after="200"/>
      </w:pPr>
    </w:p>
    <w:p>
      <w:pPr>
        <w:pStyle w:val="Heading2"/>
      </w:pPr>
      <w:r>
        <w:t xml:space="preserve">6.2 EU SaaS Distribution Model</w:t>
      </w:r>
    </w:p>
    <w:p>
      <w:pPr>
        <w:pStyle w:val="Heading3"/>
      </w:pPr>
      <w:r>
        <w:t xml:space="preserve">Strategy</w:t>
      </w:r>
    </w:p>
    <w:p>
      <w:pPr>
        <w:spacing w:after="160" w:line="300"/>
        <w:jc w:val="both"/>
      </w:pPr>
      <w:r>
        <w:rPr>
          <w:rFonts w:ascii="Arial" w:cs="Arial" w:eastAsia="Arial" w:hAnsi="Arial"/>
          <w:color w:val="334155"/>
          <w:sz w:val="22"/>
          <w:szCs w:val="22"/>
        </w:rPr>
        <w:t xml:space="preserve">ANTUTIVE identifies proven SaaS products built by development partners that serve validated business needs but lack EU market presence. ANTUTIVE acquires exclusive EU distribution rights, rebrands with European identity, ensures GDPR and EU AI Act compliance, provides localisation, and handles all EU sales, support, and billing through the Swedish AB entity.</w:t>
      </w:r>
    </w:p>
    <w:p>
      <w:pPr>
        <w:pStyle w:val="Heading3"/>
      </w:pPr>
      <w:r>
        <w:t xml:space="preserve">Commercial Structure</w:t>
      </w:r>
    </w:p>
    <w:p>
      <w:pPr>
        <w:pStyle w:val="ListParagraph"/>
        <w:numPr>
          <w:ilvl w:val="0"/>
          <w:numId w:val="11"/>
        </w:numPr>
        <w:spacing w:after="120" w:line="280"/>
      </w:pPr>
      <w:r>
        <w:rPr>
          <w:rFonts w:ascii="Arial" w:cs="Arial" w:eastAsia="Arial" w:hAnsi="Arial"/>
          <w:color w:val="334155"/>
          <w:sz w:val="21"/>
          <w:szCs w:val="21"/>
        </w:rPr>
        <w:t xml:space="preserve">Licensing: ANTUTIVE pays the original developer a per-seat or revenue-share fee (typically 20–40% of end-customer price).</w:t>
      </w:r>
    </w:p>
    <w:p>
      <w:pPr>
        <w:pStyle w:val="ListParagraph"/>
        <w:numPr>
          <w:ilvl w:val="0"/>
          <w:numId w:val="11"/>
        </w:numPr>
        <w:spacing w:after="120" w:line="280"/>
      </w:pPr>
      <w:r>
        <w:rPr>
          <w:rFonts w:ascii="Arial" w:cs="Arial" w:eastAsia="Arial" w:hAnsi="Arial"/>
          <w:color w:val="334155"/>
          <w:sz w:val="21"/>
          <w:szCs w:val="21"/>
        </w:rPr>
        <w:t xml:space="preserve">Margin: ANTUTIVE retains the balance as gross margin after operational costs.</w:t>
      </w:r>
    </w:p>
    <w:p>
      <w:pPr>
        <w:pStyle w:val="ListParagraph"/>
        <w:numPr>
          <w:ilvl w:val="0"/>
          <w:numId w:val="11"/>
        </w:numPr>
        <w:spacing w:after="120" w:line="280"/>
      </w:pPr>
      <w:r>
        <w:rPr>
          <w:rFonts w:ascii="Arial" w:cs="Arial" w:eastAsia="Arial" w:hAnsi="Arial"/>
          <w:color w:val="334155"/>
          <w:sz w:val="21"/>
          <w:szCs w:val="21"/>
        </w:rPr>
        <w:t xml:space="preserve">IP: Underlying code remains with the original developer. ANTUTIVE holds the brand, customer relationships, and EU market rights.</w:t>
      </w:r>
    </w:p>
    <w:p>
      <w:pPr>
        <w:pStyle w:val="ListParagraph"/>
        <w:numPr>
          <w:ilvl w:val="0"/>
          <w:numId w:val="11"/>
        </w:numPr>
        <w:spacing w:after="120" w:line="280"/>
      </w:pPr>
      <w:r>
        <w:rPr>
          <w:rFonts w:ascii="Arial" w:cs="Arial" w:eastAsia="Arial" w:hAnsi="Arial"/>
          <w:color w:val="334155"/>
          <w:sz w:val="21"/>
          <w:szCs w:val="21"/>
        </w:rPr>
        <w:t xml:space="preserve">Compliance: ANTUTIVE handles all EU regulatory compliance, data hosting on EU infrastructure, and local customer support.</w:t>
      </w:r>
    </w:p>
    <w:p>
      <w:pPr>
        <w:spacing w:after="200"/>
      </w:pPr>
    </w:p>
    <w:p>
      <w:pPr>
        <w:pStyle w:val="Heading3"/>
      </w:pPr>
      <w:r>
        <w:t xml:space="preserve">Product Evaluation Criteria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CBD5E1" w:sz="1"/>
              <w:left w:val="single" w:color="CBD5E1" w:sz="1"/>
              <w:bottom w:val="single" w:color="CBD5E1" w:sz="1"/>
              <w:right w:val="single" w:color="CBD5E1" w:sz="1"/>
            </w:tcBorders>
            <w:shd w:fill="1E3A8A" w:val="clear"/>
            <w:tcMar>
              <w:top w:type="dxa" w:w="100"/>
              <w:left w:type="dxa" w:w="140"/>
              <w:bottom w:type="dxa" w:w="100"/>
              <w:right w:type="dxa" w:w="140"/>
            </w:tcMar>
            <w:vAlign w:val="center"/>
          </w:tcPr>
          <w:p>
            <w:r>
              <w:rPr>
                <w:rFonts w:ascii="Arial" w:cs="Arial" w:eastAsia="Arial" w:hAnsi="Arial"/>
                <w:b/>
                <w:bCs/>
                <w:color w:val="FFFFFF"/>
                <w:sz w:val="20"/>
                <w:szCs w:val="20"/>
              </w:rPr>
              <w:t xml:space="preserve">Criterion</w:t>
            </w:r>
          </w:p>
        </w:tc>
        <w:tc>
          <w:tcPr>
            <w:tcW w:type="dxa" w:w="6626"/>
            <w:tcBorders>
              <w:top w:val="single" w:color="CBD5E1" w:sz="1"/>
              <w:left w:val="single" w:color="CBD5E1" w:sz="1"/>
              <w:bottom w:val="single" w:color="CBD5E1" w:sz="1"/>
              <w:right w:val="single" w:color="CBD5E1" w:sz="1"/>
            </w:tcBorders>
            <w:shd w:fill="1E3A8A" w:val="clear"/>
            <w:tcMar>
              <w:top w:type="dxa" w:w="100"/>
              <w:left w:type="dxa" w:w="140"/>
              <w:bottom w:type="dxa" w:w="100"/>
              <w:right w:type="dxa" w:w="140"/>
            </w:tcMar>
            <w:vAlign w:val="center"/>
          </w:tcPr>
          <w:p>
            <w:r>
              <w:rPr>
                <w:rFonts w:ascii="Arial" w:cs="Arial" w:eastAsia="Arial" w:hAnsi="Arial"/>
                <w:b/>
                <w:bCs/>
                <w:color w:val="FFFFFF"/>
                <w:sz w:val="20"/>
                <w:szCs w:val="20"/>
              </w:rPr>
              <w:t xml:space="preserve">Minimum Standard</w:t>
            </w:r>
          </w:p>
        </w:tc>
      </w:tr>
      <w:tr>
        <w:tc>
          <w:tcPr>
            <w:tcW w:type="dxa" w:w="2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Market Validation</w:t>
            </w:r>
          </w:p>
        </w:tc>
        <w:tc>
          <w:tcPr>
            <w:tcW w:type="dxa" w:w="6626"/>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Active customer base with proven product-market fit</w:t>
            </w:r>
          </w:p>
        </w:tc>
      </w:tr>
      <w:tr>
        <w:tc>
          <w:tcPr>
            <w:tcW w:type="dxa" w:w="2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GDPR Readiness</w:t>
            </w:r>
          </w:p>
        </w:tc>
        <w:tc>
          <w:tcPr>
            <w:tcW w:type="dxa" w:w="6626"/>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Architecture supports EU data residency or adaptable within 30 days</w:t>
            </w:r>
          </w:p>
        </w:tc>
      </w:tr>
      <w:tr>
        <w:tc>
          <w:tcPr>
            <w:tcW w:type="dxa" w:w="2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Localisation</w:t>
            </w:r>
          </w:p>
        </w:tc>
        <w:tc>
          <w:tcPr>
            <w:tcW w:type="dxa" w:w="6626"/>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UI and docs localisable to English and Swedish within 4 weeks</w:t>
            </w:r>
          </w:p>
        </w:tc>
      </w:tr>
      <w:tr>
        <w:tc>
          <w:tcPr>
            <w:tcW w:type="dxa" w:w="2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Competition</w:t>
            </w:r>
          </w:p>
        </w:tc>
        <w:tc>
          <w:tcPr>
            <w:tcW w:type="dxa" w:w="6626"/>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No dominant incumbent in EU for the same niche</w:t>
            </w:r>
          </w:p>
        </w:tc>
      </w:tr>
      <w:tr>
        <w:tc>
          <w:tcPr>
            <w:tcW w:type="dxa" w:w="2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Revenue Potential</w:t>
            </w:r>
          </w:p>
        </w:tc>
        <w:tc>
          <w:tcPr>
            <w:tcW w:type="dxa" w:w="6626"/>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Minimum projected ARR of 500,000 SEK within 18 months</w:t>
            </w:r>
          </w:p>
        </w:tc>
      </w:tr>
      <w:tr>
        <w:tc>
          <w:tcPr>
            <w:tcW w:type="dxa" w:w="2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Technical Quality</w:t>
            </w:r>
          </w:p>
        </w:tc>
        <w:tc>
          <w:tcPr>
            <w:tcW w:type="dxa" w:w="6626"/>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Clean codebase, API-first architecture, adequate documentation</w:t>
            </w:r>
          </w:p>
        </w:tc>
      </w:tr>
    </w:tbl>
    <w:p>
      <w:pPr>
        <w:spacing w:after="200"/>
      </w:pPr>
    </w:p>
    <w:p>
      <w:r>
        <w:br w:type="page"/>
      </w:r>
    </w:p>
    <w:p>
      <w:pPr>
        <w:pStyle w:val="Heading1"/>
      </w:pPr>
      <w:r>
        <w:t xml:space="preserve">7. Service Integration Map</w:t>
      </w:r>
    </w:p>
    <w:p>
      <w:pPr>
        <w:pBdr>
          <w:bottom w:val="single" w:color="D4A017" w:sz="4" w:space="8"/>
        </w:pBdr>
        <w:spacing w:after="200" w:before="100"/>
      </w:pPr>
    </w:p>
    <w:p>
      <w:pPr>
        <w:spacing w:after="160" w:line="300"/>
        <w:jc w:val="both"/>
      </w:pPr>
      <w:r>
        <w:rPr>
          <w:rFonts w:ascii="Arial" w:cs="Arial" w:eastAsia="Arial" w:hAnsi="Arial"/>
          <w:color w:val="334155"/>
          <w:sz w:val="22"/>
          <w:szCs w:val="22"/>
        </w:rPr>
        <w:t xml:space="preserve">The five practice areas are not isolated offerings — they form an interconnected ecosystem where each service naturally leads to the next. Understanding these connections is essential for account expansion strategy and for structuring the website to guide prospects through a logical discovery path.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426"/>
      </w:tblGrid>
      <w:tr>
        <w:trPr>
          <w:tblHeader/>
        </w:trPr>
        <w:tc>
          <w:tcPr>
            <w:tcW w:type="dxa" w:w="2200"/>
            <w:tcBorders>
              <w:top w:val="single" w:color="CBD5E1" w:sz="1"/>
              <w:left w:val="single" w:color="CBD5E1" w:sz="1"/>
              <w:bottom w:val="single" w:color="CBD5E1" w:sz="1"/>
              <w:right w:val="single" w:color="CBD5E1" w:sz="1"/>
            </w:tcBorders>
            <w:shd w:fill="1E3A8A" w:val="clear"/>
            <w:tcMar>
              <w:top w:type="dxa" w:w="100"/>
              <w:left w:type="dxa" w:w="140"/>
              <w:bottom w:type="dxa" w:w="100"/>
              <w:right w:type="dxa" w:w="140"/>
            </w:tcMar>
            <w:vAlign w:val="center"/>
          </w:tcPr>
          <w:p>
            <w:r>
              <w:rPr>
                <w:rFonts w:ascii="Arial" w:cs="Arial" w:eastAsia="Arial" w:hAnsi="Arial"/>
                <w:b/>
                <w:bCs/>
                <w:color w:val="FFFFFF"/>
                <w:sz w:val="20"/>
                <w:szCs w:val="20"/>
              </w:rPr>
              <w:t xml:space="preserve">Starting Service</w:t>
            </w:r>
          </w:p>
        </w:tc>
        <w:tc>
          <w:tcPr>
            <w:tcW w:type="dxa" w:w="3400"/>
            <w:tcBorders>
              <w:top w:val="single" w:color="CBD5E1" w:sz="1"/>
              <w:left w:val="single" w:color="CBD5E1" w:sz="1"/>
              <w:bottom w:val="single" w:color="CBD5E1" w:sz="1"/>
              <w:right w:val="single" w:color="CBD5E1" w:sz="1"/>
            </w:tcBorders>
            <w:shd w:fill="1E3A8A" w:val="clear"/>
            <w:tcMar>
              <w:top w:type="dxa" w:w="100"/>
              <w:left w:type="dxa" w:w="140"/>
              <w:bottom w:type="dxa" w:w="100"/>
              <w:right w:type="dxa" w:w="140"/>
            </w:tcMar>
            <w:vAlign w:val="center"/>
          </w:tcPr>
          <w:p>
            <w:r>
              <w:rPr>
                <w:rFonts w:ascii="Arial" w:cs="Arial" w:eastAsia="Arial" w:hAnsi="Arial"/>
                <w:b/>
                <w:bCs/>
                <w:color w:val="FFFFFF"/>
                <w:sz w:val="20"/>
                <w:szCs w:val="20"/>
              </w:rPr>
              <w:t xml:space="preserve">Natural Expansion</w:t>
            </w:r>
          </w:p>
        </w:tc>
        <w:tc>
          <w:tcPr>
            <w:tcW w:type="dxa" w:w="3426"/>
            <w:tcBorders>
              <w:top w:val="single" w:color="CBD5E1" w:sz="1"/>
              <w:left w:val="single" w:color="CBD5E1" w:sz="1"/>
              <w:bottom w:val="single" w:color="CBD5E1" w:sz="1"/>
              <w:right w:val="single" w:color="CBD5E1" w:sz="1"/>
            </w:tcBorders>
            <w:shd w:fill="1E3A8A" w:val="clear"/>
            <w:tcMar>
              <w:top w:type="dxa" w:w="100"/>
              <w:left w:type="dxa" w:w="140"/>
              <w:bottom w:type="dxa" w:w="100"/>
              <w:right w:type="dxa" w:w="140"/>
            </w:tcMar>
            <w:vAlign w:val="center"/>
          </w:tcPr>
          <w:p>
            <w:r>
              <w:rPr>
                <w:rFonts w:ascii="Arial" w:cs="Arial" w:eastAsia="Arial" w:hAnsi="Arial"/>
                <w:b/>
                <w:bCs/>
                <w:color w:val="FFFFFF"/>
                <w:sz w:val="20"/>
                <w:szCs w:val="20"/>
              </w:rPr>
              <w:t xml:space="preserve">Logic</w:t>
            </w:r>
          </w:p>
        </w:tc>
      </w:tr>
      <w:tr>
        <w:tc>
          <w:tcPr>
            <w:tcW w:type="dxa" w:w="2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Power BI Dashboards</w:t>
            </w:r>
          </w:p>
        </w:tc>
        <w:tc>
          <w:tcPr>
            <w:tcW w:type="dxa" w:w="3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ETL Pipelines → Sovereign RAG</w:t>
            </w:r>
          </w:p>
        </w:tc>
        <w:tc>
          <w:tcPr>
            <w:tcW w:type="dxa" w:w="3426"/>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Clean data enables AI; AI makes dashboards intelligent</w:t>
            </w:r>
          </w:p>
        </w:tc>
      </w:tr>
      <w:tr>
        <w:tc>
          <w:tcPr>
            <w:tcW w:type="dxa" w:w="2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GEO Audit</w:t>
            </w:r>
          </w:p>
        </w:tc>
        <w:tc>
          <w:tcPr>
            <w:tcW w:type="dxa" w:w="3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AI Content Engine → AI Video → AI Web Engine</w:t>
            </w:r>
          </w:p>
        </w:tc>
        <w:tc>
          <w:tcPr>
            <w:tcW w:type="dxa" w:w="3426"/>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Visibility requires content; content requires automation</w:t>
            </w:r>
          </w:p>
        </w:tc>
      </w:tr>
      <w:tr>
        <w:tc>
          <w:tcPr>
            <w:tcW w:type="dxa" w:w="2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Custom AI Platform</w:t>
            </w:r>
          </w:p>
        </w:tc>
        <w:tc>
          <w:tcPr>
            <w:tcW w:type="dxa" w:w="3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Sovereign RAG → Agentic AI</w:t>
            </w:r>
          </w:p>
        </w:tc>
        <w:tc>
          <w:tcPr>
            <w:tcW w:type="dxa" w:w="3426"/>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Private AI workspace becomes the foundation for automation</w:t>
            </w:r>
          </w:p>
        </w:tc>
      </w:tr>
      <w:tr>
        <w:tc>
          <w:tcPr>
            <w:tcW w:type="dxa" w:w="2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IT Consulting (advisory)</w:t>
            </w:r>
          </w:p>
        </w:tc>
        <w:tc>
          <w:tcPr>
            <w:tcW w:type="dxa" w:w="3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Managed Dev Team → Project Delivery</w:t>
            </w:r>
          </w:p>
        </w:tc>
        <w:tc>
          <w:tcPr>
            <w:tcW w:type="dxa" w:w="3426"/>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Strategy engagements convert to execution contracts</w:t>
            </w:r>
          </w:p>
        </w:tc>
      </w:tr>
      <w:tr>
        <w:tc>
          <w:tcPr>
            <w:tcW w:type="dxa" w:w="2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AI Sales Automation</w:t>
            </w:r>
          </w:p>
        </w:tc>
        <w:tc>
          <w:tcPr>
            <w:tcW w:type="dxa" w:w="3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CRM Integration → Sales Intelligence Dashboard</w:t>
            </w:r>
          </w:p>
        </w:tc>
        <w:tc>
          <w:tcPr>
            <w:tcW w:type="dxa" w:w="3426"/>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Automation generates data; data needs visualisation</w:t>
            </w:r>
          </w:p>
        </w:tc>
      </w:tr>
      <w:tr>
        <w:tc>
          <w:tcPr>
            <w:tcW w:type="dxa" w:w="2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FAMANT (free tier)</w:t>
            </w:r>
          </w:p>
        </w:tc>
        <w:tc>
          <w:tcPr>
            <w:tcW w:type="dxa" w:w="3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Premium subscription → Family plan</w:t>
            </w:r>
          </w:p>
        </w:tc>
        <w:tc>
          <w:tcPr>
            <w:tcW w:type="dxa" w:w="3426"/>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Usage builds habit; features drive upgrade</w:t>
            </w:r>
          </w:p>
        </w:tc>
      </w:tr>
    </w:tbl>
    <w:p>
      <w:pPr>
        <w:spacing w:after="200"/>
      </w:pPr>
    </w:p>
    <w:p>
      <w:pPr>
        <w:spacing w:after="160" w:line="300"/>
        <w:jc w:val="both"/>
      </w:pPr>
      <w:r>
        <w:rPr>
          <w:rFonts w:ascii="Arial" w:cs="Arial" w:eastAsia="Arial" w:hAnsi="Arial"/>
          <w:color w:val="334155"/>
          <w:sz w:val="22"/>
          <w:szCs w:val="22"/>
        </w:rPr>
        <w:t xml:space="preserve">On the website, this integration is communicated through the “Operational Friction Matrix” — an interactive tool that maps business problems to solution combinations. During sales calls, account managers use this map to identify expansion opportunities within existing client relationships.</w:t>
      </w:r>
    </w:p>
    <w:p>
      <w:r>
        <w:br w:type="page"/>
      </w:r>
    </w:p>
    <w:p>
      <w:pPr>
        <w:pStyle w:val="Heading1"/>
      </w:pPr>
      <w:r>
        <w:t xml:space="preserve">8. The ANTUTIVE Delivery Method</w:t>
      </w:r>
    </w:p>
    <w:p>
      <w:pPr>
        <w:pBdr>
          <w:bottom w:val="single" w:color="D4A017" w:sz="4" w:space="8"/>
        </w:pBdr>
        <w:spacing w:after="200" w:before="100"/>
      </w:pPr>
    </w:p>
    <w:p>
      <w:pPr>
        <w:spacing w:after="160" w:line="300"/>
        <w:jc w:val="both"/>
      </w:pPr>
      <w:r>
        <w:rPr>
          <w:rFonts w:ascii="Arial" w:cs="Arial" w:eastAsia="Arial" w:hAnsi="Arial"/>
          <w:color w:val="334155"/>
          <w:sz w:val="22"/>
          <w:szCs w:val="22"/>
        </w:rPr>
        <w:t xml:space="preserve">The 6-step delivery method replaces traditional pricing pages on the website and in sales materials. It signals professional maturity, builds trust, and creates natural conversion points. This method applies to all Pillar 1 engagements and project-based Pillar 2 work.</w:t>
      </w:r>
    </w:p>
    <w:p>
      <w:pPr>
        <w:pStyle w:val="Heading3"/>
      </w:pPr>
      <w:r>
        <w:t xml:space="preserve">Step 1: Business Understanding</w:t>
      </w:r>
    </w:p>
    <w:p>
      <w:pPr>
        <w:spacing w:after="160" w:line="300"/>
        <w:jc w:val="both"/>
      </w:pPr>
      <w:r>
        <w:rPr>
          <w:rFonts w:ascii="Arial" w:cs="Arial" w:eastAsia="Arial" w:hAnsi="Arial"/>
          <w:color w:val="334155"/>
          <w:sz w:val="22"/>
          <w:szCs w:val="22"/>
        </w:rPr>
        <w:t xml:space="preserve">Deep-dive session into the client’s operational context, pain points, strategic goals, and KPIs. This is a business diagnosis, not a requirements meeting. Output: Problem Statement Document. Duration: 1–2 sessions.</w:t>
      </w:r>
    </w:p>
    <w:p>
      <w:pPr>
        <w:pStyle w:val="Heading3"/>
      </w:pPr>
      <w:r>
        <w:t xml:space="preserve">Step 2: Requirement Gathering</w:t>
      </w:r>
    </w:p>
    <w:p>
      <w:pPr>
        <w:spacing w:after="160" w:line="300"/>
        <w:jc w:val="both"/>
      </w:pPr>
      <w:r>
        <w:rPr>
          <w:rFonts w:ascii="Arial" w:cs="Arial" w:eastAsia="Arial" w:hAnsi="Arial"/>
          <w:color w:val="334155"/>
          <w:sz w:val="22"/>
          <w:szCs w:val="22"/>
        </w:rPr>
        <w:t xml:space="preserve">Technical discovery mapping all data sources, stakeholder needs, integration requirements, security constraints, and compliance obligations. Output: Technical Requirements Specification. Duration: 1–2 weeks.</w:t>
      </w:r>
    </w:p>
    <w:p>
      <w:pPr>
        <w:pStyle w:val="Heading3"/>
      </w:pPr>
      <w:r>
        <w:t xml:space="preserve">Step 3: Concept and Confirmation</w:t>
      </w:r>
    </w:p>
    <w:p>
      <w:pPr>
        <w:spacing w:after="160" w:line="300"/>
        <w:jc w:val="both"/>
      </w:pPr>
      <w:r>
        <w:rPr>
          <w:rFonts w:ascii="Arial" w:cs="Arial" w:eastAsia="Arial" w:hAnsi="Arial"/>
          <w:color w:val="334155"/>
          <w:sz w:val="22"/>
          <w:szCs w:val="22"/>
        </w:rPr>
        <w:t xml:space="preserve">Presentation of the proposed solution architecture, technology choices, and visualisation mockups or system design diagrams. Client reviews, provides feedback, and confirms direction. Output: Confirmed Solution Design. Duration: 3–5 business days.</w:t>
      </w:r>
    </w:p>
    <w:p>
      <w:pPr>
        <w:pStyle w:val="Heading3"/>
      </w:pPr>
      <w:r>
        <w:t xml:space="preserve">Step 4: Quotation and Scope</w:t>
      </w:r>
    </w:p>
    <w:p>
      <w:pPr>
        <w:spacing w:after="160" w:line="300"/>
        <w:jc w:val="both"/>
      </w:pPr>
      <w:r>
        <w:rPr>
          <w:rFonts w:ascii="Arial" w:cs="Arial" w:eastAsia="Arial" w:hAnsi="Arial"/>
          <w:color w:val="334155"/>
          <w:sz w:val="22"/>
          <w:szCs w:val="22"/>
        </w:rPr>
        <w:t xml:space="preserve">Formal commercial proposal with transparent scope, deliverables, timeline, and pricing. Two models offered: fixed-scope and retainer-based. Payment milestones tied to deliverable acceptance. Output: Commercial Agreement.</w:t>
      </w:r>
    </w:p>
    <w:p>
      <w:pPr>
        <w:pStyle w:val="Heading3"/>
      </w:pPr>
      <w:r>
        <w:t xml:space="preserve">Step 5: Development and Testing</w:t>
      </w:r>
    </w:p>
    <w:p>
      <w:pPr>
        <w:spacing w:after="160" w:line="300"/>
        <w:jc w:val="both"/>
      </w:pPr>
      <w:r>
        <w:rPr>
          <w:rFonts w:ascii="Arial" w:cs="Arial" w:eastAsia="Arial" w:hAnsi="Arial"/>
          <w:color w:val="334155"/>
          <w:sz w:val="22"/>
          <w:szCs w:val="22"/>
        </w:rPr>
        <w:t xml:space="preserve">Rapid iterative build using agile sprints (1–2 week cycles). Every sprint includes 100% QA coverage, data integrity validation, and stakeholder review. Weekly demos. Output: Production-Ready Deliverable.</w:t>
      </w:r>
    </w:p>
    <w:p>
      <w:pPr>
        <w:pStyle w:val="Heading3"/>
      </w:pPr>
      <w:r>
        <w:t xml:space="preserve">Step 6: Support and Optimisation</w:t>
      </w:r>
    </w:p>
    <w:p>
      <w:pPr>
        <w:spacing w:after="160" w:line="300"/>
        <w:jc w:val="both"/>
      </w:pPr>
      <w:r>
        <w:rPr>
          <w:rFonts w:ascii="Arial" w:cs="Arial" w:eastAsia="Arial" w:hAnsi="Arial"/>
          <w:color w:val="334155"/>
          <w:sz w:val="22"/>
          <w:szCs w:val="22"/>
        </w:rPr>
        <w:t xml:space="preserve">Post-launch maintenance, monitoring, and continuous improvement. Bug fixes, performance tuning, user training, and strategic expansion. SLA: 24h response for critical, 48h for standard. Output: Ongoing Service Agreement.</w:t>
      </w:r>
    </w:p>
    <w:p>
      <w:r>
        <w:br w:type="page"/>
      </w:r>
    </w:p>
    <w:p>
      <w:pPr>
        <w:pStyle w:val="Heading1"/>
      </w:pPr>
      <w:r>
        <w:t xml:space="preserve">9. Go-to-Market Strategy</w:t>
      </w:r>
    </w:p>
    <w:p>
      <w:pPr>
        <w:pBdr>
          <w:bottom w:val="single" w:color="D4A017" w:sz="4" w:space="8"/>
        </w:pBdr>
        <w:spacing w:after="200" w:before="100"/>
      </w:pPr>
    </w:p>
    <w:p>
      <w:pPr>
        <w:pStyle w:val="Heading2"/>
      </w:pPr>
      <w:r>
        <w:t xml:space="preserve">9.1 Target Market Segmentation</w:t>
      </w:r>
    </w:p>
    <w:p>
      <w:pPr>
        <w:pStyle w:val="Heading3"/>
      </w:pPr>
      <w:r>
        <w:t xml:space="preserve">Primary: Swedish SMEs (10–250 employees)</w:t>
      </w:r>
    </w:p>
    <w:p>
      <w:pPr>
        <w:spacing w:after="160" w:line="300"/>
        <w:jc w:val="both"/>
      </w:pPr>
      <w:r>
        <w:rPr>
          <w:rFonts w:ascii="Arial" w:cs="Arial" w:eastAsia="Arial" w:hAnsi="Arial"/>
          <w:color w:val="334155"/>
          <w:sz w:val="22"/>
          <w:szCs w:val="22"/>
        </w:rPr>
        <w:t xml:space="preserve">Companies large enough to have data complexity but too small to hire dedicated AI/data teams. Verticals: professional services, logistics, manufacturing, e-commerce, SaaS companies. Geographic priority: Västra Götaland first, then Stockholm and Malmö.</w:t>
      </w:r>
    </w:p>
    <w:p>
      <w:pPr>
        <w:pStyle w:val="Heading3"/>
      </w:pPr>
      <w:r>
        <w:t xml:space="preserve">Secondary: Nordic and EU Mid-Market</w:t>
      </w:r>
    </w:p>
    <w:p>
      <w:pPr>
        <w:spacing w:after="160" w:line="300"/>
        <w:jc w:val="both"/>
      </w:pPr>
      <w:r>
        <w:rPr>
          <w:rFonts w:ascii="Arial" w:cs="Arial" w:eastAsia="Arial" w:hAnsi="Arial"/>
          <w:color w:val="334155"/>
          <w:sz w:val="22"/>
          <w:szCs w:val="22"/>
        </w:rPr>
        <w:t xml:space="preserve">Companies in Norway, Denmark, Finland, and the broader EU seeking AI and data services from a compliant EU provider. English-language engagement with Swedish legal structure.</w:t>
      </w:r>
    </w:p>
    <w:p>
      <w:pPr>
        <w:pStyle w:val="Heading3"/>
      </w:pPr>
      <w:r>
        <w:t xml:space="preserve">Tertiary: Global SaaS Distribution</w:t>
      </w:r>
    </w:p>
    <w:p>
      <w:pPr>
        <w:spacing w:after="160" w:line="300"/>
        <w:jc w:val="both"/>
      </w:pPr>
      <w:r>
        <w:rPr>
          <w:rFonts w:ascii="Arial" w:cs="Arial" w:eastAsia="Arial" w:hAnsi="Arial"/>
          <w:color w:val="334155"/>
          <w:sz w:val="22"/>
          <w:szCs w:val="22"/>
        </w:rPr>
        <w:t xml:space="preserve">EU-wide distribution of rebranded SaaS products (Pillar 3). Digital channels, no local sales presence required.</w:t>
      </w:r>
    </w:p>
    <w:p>
      <w:pPr>
        <w:pStyle w:val="Heading2"/>
      </w:pPr>
      <w:r>
        <w:t xml:space="preserve">9.2 Sales Process</w:t>
      </w:r>
    </w:p>
    <w:p>
      <w:pPr>
        <w:pStyle w:val="ListParagraph"/>
        <w:numPr>
          <w:ilvl w:val="0"/>
          <w:numId w:val="12"/>
        </w:numPr>
        <w:spacing w:after="120" w:line="280"/>
      </w:pPr>
      <w:r>
        <w:rPr>
          <w:rFonts w:ascii="Arial" w:cs="Arial" w:eastAsia="Arial" w:hAnsi="Arial"/>
          <w:color w:val="334155"/>
          <w:sz w:val="21"/>
          <w:szCs w:val="21"/>
        </w:rPr>
        <w:t xml:space="preserve">Awareness: Prospect discovers ANTUTIVE through GEO, organic search, LinkedIn content, AI video content, or referral.</w:t>
      </w:r>
    </w:p>
    <w:p>
      <w:pPr>
        <w:pStyle w:val="ListParagraph"/>
        <w:numPr>
          <w:ilvl w:val="0"/>
          <w:numId w:val="12"/>
        </w:numPr>
        <w:spacing w:after="120" w:line="280"/>
      </w:pPr>
      <w:r>
        <w:rPr>
          <w:rFonts w:ascii="Arial" w:cs="Arial" w:eastAsia="Arial" w:hAnsi="Arial"/>
          <w:color w:val="334155"/>
          <w:sz w:val="21"/>
          <w:szCs w:val="21"/>
        </w:rPr>
        <w:t xml:space="preserve">Engagement: Prospect visits website, reviews portfolio, initiates contact.</w:t>
      </w:r>
    </w:p>
    <w:p>
      <w:pPr>
        <w:pStyle w:val="ListParagraph"/>
        <w:numPr>
          <w:ilvl w:val="0"/>
          <w:numId w:val="12"/>
        </w:numPr>
        <w:spacing w:after="120" w:line="280"/>
      </w:pPr>
      <w:r>
        <w:rPr>
          <w:rFonts w:ascii="Arial" w:cs="Arial" w:eastAsia="Arial" w:hAnsi="Arial"/>
          <w:color w:val="334155"/>
          <w:sz w:val="21"/>
          <w:szCs w:val="21"/>
        </w:rPr>
        <w:t xml:space="preserve">Discovery Call: 30-minute call to understand context and fit. Speed advantage and global delivery model discussed here.</w:t>
      </w:r>
    </w:p>
    <w:p>
      <w:pPr>
        <w:pStyle w:val="ListParagraph"/>
        <w:numPr>
          <w:ilvl w:val="0"/>
          <w:numId w:val="12"/>
        </w:numPr>
        <w:spacing w:after="120" w:line="280"/>
      </w:pPr>
      <w:r>
        <w:rPr>
          <w:rFonts w:ascii="Arial" w:cs="Arial" w:eastAsia="Arial" w:hAnsi="Arial"/>
          <w:color w:val="334155"/>
          <w:sz w:val="21"/>
          <w:szCs w:val="21"/>
        </w:rPr>
        <w:t xml:space="preserve">Business Understanding Session: First step of delivery method, conducted as a free diagnostic for qualified prospects.</w:t>
      </w:r>
    </w:p>
    <w:p>
      <w:pPr>
        <w:pStyle w:val="ListParagraph"/>
        <w:numPr>
          <w:ilvl w:val="0"/>
          <w:numId w:val="12"/>
        </w:numPr>
        <w:spacing w:after="120" w:line="280"/>
      </w:pPr>
      <w:r>
        <w:rPr>
          <w:rFonts w:ascii="Arial" w:cs="Arial" w:eastAsia="Arial" w:hAnsi="Arial"/>
          <w:color w:val="334155"/>
          <w:sz w:val="21"/>
          <w:szCs w:val="21"/>
        </w:rPr>
        <w:t xml:space="preserve">Proposal: Formal quotation based on confirmed solution design.</w:t>
      </w:r>
    </w:p>
    <w:p>
      <w:pPr>
        <w:pStyle w:val="ListParagraph"/>
        <w:numPr>
          <w:ilvl w:val="0"/>
          <w:numId w:val="12"/>
        </w:numPr>
        <w:spacing w:after="120" w:line="280"/>
      </w:pPr>
      <w:r>
        <w:rPr>
          <w:rFonts w:ascii="Arial" w:cs="Arial" w:eastAsia="Arial" w:hAnsi="Arial"/>
          <w:color w:val="334155"/>
          <w:sz w:val="21"/>
          <w:szCs w:val="21"/>
        </w:rPr>
        <w:t xml:space="preserve">Close: Contract signature, project kickoff, onboarding.</w:t>
      </w:r>
    </w:p>
    <w:p>
      <w:pPr>
        <w:spacing w:after="200"/>
      </w:pPr>
    </w:p>
    <w:p>
      <w:pPr>
        <w:pStyle w:val="Heading2"/>
      </w:pPr>
      <w:r>
        <w:t xml:space="preserve">9.3 Pricing Philosophy</w:t>
      </w:r>
    </w:p>
    <w:p>
      <w:pPr>
        <w:spacing w:after="160" w:line="300"/>
        <w:jc w:val="both"/>
      </w:pPr>
      <w:r>
        <w:rPr>
          <w:rFonts w:ascii="Arial" w:cs="Arial" w:eastAsia="Arial" w:hAnsi="Arial"/>
          <w:color w:val="334155"/>
          <w:sz w:val="22"/>
          <w:szCs w:val="22"/>
        </w:rPr>
        <w:t xml:space="preserve">ANTUTIVE does not publish prices. Pricing is project-specific and communicated during Step 4 of the delivery method. This prevents commoditisation, captures value proportional to business impact, qualifies leads naturally, and differentiates from low-cost providers. Internally, the company targets 55–70% gross margin on services and 60–80% on product distribution.</w:t>
      </w:r>
    </w:p>
    <w:p>
      <w:r>
        <w:br w:type="page"/>
      </w:r>
    </w:p>
    <w:p>
      <w:pPr>
        <w:pStyle w:val="Heading1"/>
      </w:pPr>
      <w:r>
        <w:t xml:space="preserve">10. Marketing Plan</w:t>
      </w:r>
    </w:p>
    <w:p>
      <w:pPr>
        <w:pBdr>
          <w:bottom w:val="single" w:color="D4A017" w:sz="4" w:space="8"/>
        </w:pBdr>
        <w:spacing w:after="200" w:before="100"/>
      </w:pPr>
    </w:p>
    <w:p>
      <w:pPr>
        <w:pStyle w:val="Heading2"/>
      </w:pPr>
      <w:r>
        <w:t xml:space="preserve">10.1 Website</w:t>
      </w:r>
    </w:p>
    <w:p>
      <w:pPr>
        <w:spacing w:after="160" w:line="300"/>
        <w:jc w:val="both"/>
      </w:pPr>
      <w:r>
        <w:rPr>
          <w:rFonts w:ascii="Arial" w:cs="Arial" w:eastAsia="Arial" w:hAnsi="Arial"/>
          <w:color w:val="334155"/>
          <w:sz w:val="22"/>
          <w:szCs w:val="22"/>
        </w:rPr>
        <w:t xml:space="preserve">The website is the primary sales asset. Three objectives: establish credibility, enable prospect self-qualification, and drive conversion. Built as a high-performance Next.js application.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026"/>
      </w:tblGrid>
      <w:tr>
        <w:trPr>
          <w:tblHeader/>
        </w:trPr>
        <w:tc>
          <w:tcPr>
            <w:tcW w:type="dxa" w:w="2000"/>
            <w:tcBorders>
              <w:top w:val="single" w:color="CBD5E1" w:sz="1"/>
              <w:left w:val="single" w:color="CBD5E1" w:sz="1"/>
              <w:bottom w:val="single" w:color="CBD5E1" w:sz="1"/>
              <w:right w:val="single" w:color="CBD5E1" w:sz="1"/>
            </w:tcBorders>
            <w:shd w:fill="1E3A8A" w:val="clear"/>
            <w:tcMar>
              <w:top w:type="dxa" w:w="100"/>
              <w:left w:type="dxa" w:w="140"/>
              <w:bottom w:type="dxa" w:w="100"/>
              <w:right w:type="dxa" w:w="140"/>
            </w:tcMar>
            <w:vAlign w:val="center"/>
          </w:tcPr>
          <w:p>
            <w:r>
              <w:rPr>
                <w:rFonts w:ascii="Arial" w:cs="Arial" w:eastAsia="Arial" w:hAnsi="Arial"/>
                <w:b/>
                <w:bCs/>
                <w:color w:val="FFFFFF"/>
                <w:sz w:val="20"/>
                <w:szCs w:val="20"/>
              </w:rPr>
              <w:t xml:space="preserve">Page</w:t>
            </w:r>
          </w:p>
        </w:tc>
        <w:tc>
          <w:tcPr>
            <w:tcW w:type="dxa" w:w="2000"/>
            <w:tcBorders>
              <w:top w:val="single" w:color="CBD5E1" w:sz="1"/>
              <w:left w:val="single" w:color="CBD5E1" w:sz="1"/>
              <w:bottom w:val="single" w:color="CBD5E1" w:sz="1"/>
              <w:right w:val="single" w:color="CBD5E1" w:sz="1"/>
            </w:tcBorders>
            <w:shd w:fill="1E3A8A" w:val="clear"/>
            <w:tcMar>
              <w:top w:type="dxa" w:w="100"/>
              <w:left w:type="dxa" w:w="140"/>
              <w:bottom w:type="dxa" w:w="100"/>
              <w:right w:type="dxa" w:w="140"/>
            </w:tcMar>
            <w:vAlign w:val="center"/>
          </w:tcPr>
          <w:p>
            <w:r>
              <w:rPr>
                <w:rFonts w:ascii="Arial" w:cs="Arial" w:eastAsia="Arial" w:hAnsi="Arial"/>
                <w:b/>
                <w:bCs/>
                <w:color w:val="FFFFFF"/>
                <w:sz w:val="20"/>
                <w:szCs w:val="20"/>
              </w:rPr>
              <w:t xml:space="preserve">Purpose</w:t>
            </w:r>
          </w:p>
        </w:tc>
        <w:tc>
          <w:tcPr>
            <w:tcW w:type="dxa" w:w="5026"/>
            <w:tcBorders>
              <w:top w:val="single" w:color="CBD5E1" w:sz="1"/>
              <w:left w:val="single" w:color="CBD5E1" w:sz="1"/>
              <w:bottom w:val="single" w:color="CBD5E1" w:sz="1"/>
              <w:right w:val="single" w:color="CBD5E1" w:sz="1"/>
            </w:tcBorders>
            <w:shd w:fill="1E3A8A" w:val="clear"/>
            <w:tcMar>
              <w:top w:type="dxa" w:w="100"/>
              <w:left w:type="dxa" w:w="140"/>
              <w:bottom w:type="dxa" w:w="100"/>
              <w:right w:type="dxa" w:w="140"/>
            </w:tcMar>
            <w:vAlign w:val="center"/>
          </w:tcPr>
          <w:p>
            <w:r>
              <w:rPr>
                <w:rFonts w:ascii="Arial" w:cs="Arial" w:eastAsia="Arial" w:hAnsi="Arial"/>
                <w:b/>
                <w:bCs/>
                <w:color w:val="FFFFFF"/>
                <w:sz w:val="20"/>
                <w:szCs w:val="20"/>
              </w:rPr>
              <w:t xml:space="preserve">Key Content</w:t>
            </w:r>
          </w:p>
        </w:tc>
      </w:tr>
      <w:tr>
        <w:tc>
          <w:tcPr>
            <w:tcW w:type="dxa" w:w="2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Home</w:t>
            </w:r>
          </w:p>
        </w:tc>
        <w:tc>
          <w:tcPr>
            <w:tcW w:type="dxa" w:w="2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First impression</w:t>
            </w:r>
          </w:p>
        </w:tc>
        <w:tc>
          <w:tcPr>
            <w:tcW w:type="dxa" w:w="5026"/>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Hero, five practice areas overview, trust signals</w:t>
            </w:r>
          </w:p>
        </w:tc>
      </w:tr>
      <w:tr>
        <w:tc>
          <w:tcPr>
            <w:tcW w:type="dxa" w:w="2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AI &amp; Data Services</w:t>
            </w:r>
          </w:p>
        </w:tc>
        <w:tc>
          <w:tcPr>
            <w:tcW w:type="dxa" w:w="2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Pillar 1 detail</w:t>
            </w:r>
          </w:p>
        </w:tc>
        <w:tc>
          <w:tcPr>
            <w:tcW w:type="dxa" w:w="5026"/>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Gen AI, Analytics, Growth AI, Custom Platforms — each with 6-step method</w:t>
            </w:r>
          </w:p>
        </w:tc>
      </w:tr>
      <w:tr>
        <w:tc>
          <w:tcPr>
            <w:tcW w:type="dxa" w:w="2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Growth &amp; Marketing AI</w:t>
            </w:r>
          </w:p>
        </w:tc>
        <w:tc>
          <w:tcPr>
            <w:tcW w:type="dxa" w:w="2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Dedicated practice area</w:t>
            </w:r>
          </w:p>
        </w:tc>
        <w:tc>
          <w:tcPr>
            <w:tcW w:type="dxa" w:w="5026"/>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GEO service, AI video, sales automation, content engines</w:t>
            </w:r>
          </w:p>
        </w:tc>
      </w:tr>
      <w:tr>
        <w:tc>
          <w:tcPr>
            <w:tcW w:type="dxa" w:w="2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Custom AI Platforms</w:t>
            </w:r>
          </w:p>
        </w:tc>
        <w:tc>
          <w:tcPr>
            <w:tcW w:type="dxa" w:w="2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Dedicated practice area</w:t>
            </w:r>
          </w:p>
        </w:tc>
        <w:tc>
          <w:tcPr>
            <w:tcW w:type="dxa" w:w="5026"/>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Architecture, deployment models, model selection, data sovereignty</w:t>
            </w:r>
          </w:p>
        </w:tc>
      </w:tr>
      <w:tr>
        <w:tc>
          <w:tcPr>
            <w:tcW w:type="dxa" w:w="2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Consulting</w:t>
            </w:r>
          </w:p>
        </w:tc>
        <w:tc>
          <w:tcPr>
            <w:tcW w:type="dxa" w:w="2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Pillar 2 detail</w:t>
            </w:r>
          </w:p>
        </w:tc>
        <w:tc>
          <w:tcPr>
            <w:tcW w:type="dxa" w:w="5026"/>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Service models, technology coverage, engagement process</w:t>
            </w:r>
          </w:p>
        </w:tc>
      </w:tr>
      <w:tr>
        <w:tc>
          <w:tcPr>
            <w:tcW w:type="dxa" w:w="2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Products</w:t>
            </w:r>
          </w:p>
        </w:tc>
        <w:tc>
          <w:tcPr>
            <w:tcW w:type="dxa" w:w="2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Pillar 3 detail</w:t>
            </w:r>
          </w:p>
        </w:tc>
        <w:tc>
          <w:tcPr>
            <w:tcW w:type="dxa" w:w="5026"/>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FAMANT, SaaS portfolio, sign-up flows</w:t>
            </w:r>
          </w:p>
        </w:tc>
      </w:tr>
      <w:tr>
        <w:tc>
          <w:tcPr>
            <w:tcW w:type="dxa" w:w="2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About</w:t>
            </w:r>
          </w:p>
        </w:tc>
        <w:tc>
          <w:tcPr>
            <w:tcW w:type="dxa" w:w="2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Credibility</w:t>
            </w:r>
          </w:p>
        </w:tc>
        <w:tc>
          <w:tcPr>
            <w:tcW w:type="dxa" w:w="5026"/>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Founder expertise, values, Gothenburg presence</w:t>
            </w:r>
          </w:p>
        </w:tc>
      </w:tr>
      <w:tr>
        <w:tc>
          <w:tcPr>
            <w:tcW w:type="dxa" w:w="2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Contact</w:t>
            </w:r>
          </w:p>
        </w:tc>
        <w:tc>
          <w:tcPr>
            <w:tcW w:type="dxa" w:w="2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Lead capture</w:t>
            </w:r>
          </w:p>
        </w:tc>
        <w:tc>
          <w:tcPr>
            <w:tcW w:type="dxa" w:w="5026"/>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Form, Calendly, direct email</w:t>
            </w:r>
          </w:p>
        </w:tc>
      </w:tr>
    </w:tbl>
    <w:p>
      <w:pPr>
        <w:spacing w:after="200"/>
      </w:pPr>
    </w:p>
    <w:p>
      <w:pPr>
        <w:pStyle w:val="Heading2"/>
      </w:pPr>
      <w:r>
        <w:t xml:space="preserve">10.2 GEO Strategy (Own Brand)</w:t>
      </w:r>
    </w:p>
    <w:p>
      <w:pPr>
        <w:pStyle w:val="ListParagraph"/>
        <w:numPr>
          <w:ilvl w:val="0"/>
          <w:numId w:val="13"/>
        </w:numPr>
        <w:spacing w:after="120" w:line="280"/>
      </w:pPr>
      <w:r>
        <w:rPr>
          <w:rFonts w:ascii="Arial" w:cs="Arial" w:eastAsia="Arial" w:hAnsi="Arial"/>
          <w:color w:val="334155"/>
          <w:sz w:val="21"/>
          <w:szCs w:val="21"/>
        </w:rPr>
        <w:t xml:space="preserve">Structured Data: Schema.org markup across the website for all services and products.</w:t>
      </w:r>
    </w:p>
    <w:p>
      <w:pPr>
        <w:pStyle w:val="ListParagraph"/>
        <w:numPr>
          <w:ilvl w:val="0"/>
          <w:numId w:val="13"/>
        </w:numPr>
        <w:spacing w:after="120" w:line="280"/>
      </w:pPr>
      <w:r>
        <w:rPr>
          <w:rFonts w:ascii="Arial" w:cs="Arial" w:eastAsia="Arial" w:hAnsi="Arial"/>
          <w:color w:val="334155"/>
          <w:sz w:val="21"/>
          <w:szCs w:val="21"/>
        </w:rPr>
        <w:t xml:space="preserve">Content: 2–4 long-form articles per month on target topics (Power BI for Swedish SMEs, EU AI Act, sovereign AI, GEO strategy, AI video marketing).</w:t>
      </w:r>
    </w:p>
    <w:p>
      <w:pPr>
        <w:pStyle w:val="ListParagraph"/>
        <w:numPr>
          <w:ilvl w:val="0"/>
          <w:numId w:val="13"/>
        </w:numPr>
        <w:spacing w:after="120" w:line="280"/>
      </w:pPr>
      <w:r>
        <w:rPr>
          <w:rFonts w:ascii="Arial" w:cs="Arial" w:eastAsia="Arial" w:hAnsi="Arial"/>
          <w:color w:val="334155"/>
          <w:sz w:val="21"/>
          <w:szCs w:val="21"/>
        </w:rPr>
        <w:t xml:space="preserve">Entity Consistency: Identical presence on Google Business Profile, LinkedIn, allabolag.se, proff.se, Crunchbase.</w:t>
      </w:r>
    </w:p>
    <w:p>
      <w:pPr>
        <w:pStyle w:val="ListParagraph"/>
        <w:numPr>
          <w:ilvl w:val="0"/>
          <w:numId w:val="13"/>
        </w:numPr>
        <w:spacing w:after="120" w:line="280"/>
      </w:pPr>
      <w:r>
        <w:rPr>
          <w:rFonts w:ascii="Arial" w:cs="Arial" w:eastAsia="Arial" w:hAnsi="Arial"/>
          <w:color w:val="334155"/>
          <w:sz w:val="21"/>
          <w:szCs w:val="21"/>
        </w:rPr>
        <w:t xml:space="preserve">Citation Building: Mentions on industry sites, partner directories, technology ecosystems.</w:t>
      </w:r>
    </w:p>
    <w:p>
      <w:pPr>
        <w:spacing w:after="200"/>
      </w:pPr>
    </w:p>
    <w:p>
      <w:pPr>
        <w:pStyle w:val="Heading2"/>
      </w:pPr>
      <w:r>
        <w:t xml:space="preserve">10.3 AI Video Marketing (Own Brand)</w:t>
      </w:r>
    </w:p>
    <w:p>
      <w:pPr>
        <w:spacing w:after="160" w:line="300"/>
        <w:jc w:val="both"/>
      </w:pPr>
      <w:r>
        <w:rPr>
          <w:rFonts w:ascii="Arial" w:cs="Arial" w:eastAsia="Arial" w:hAnsi="Arial"/>
          <w:color w:val="334155"/>
          <w:sz w:val="22"/>
          <w:szCs w:val="22"/>
        </w:rPr>
        <w:t xml:space="preserve">ANTUTIVE will use its own AI video production capability to market itself — demonstrating the service by using it. This creates a dual benefit: marketing content and a live portfolio of AI video work.</w:t>
      </w:r>
    </w:p>
    <w:p>
      <w:pPr>
        <w:pStyle w:val="ListParagraph"/>
        <w:numPr>
          <w:ilvl w:val="0"/>
          <w:numId w:val="14"/>
        </w:numPr>
        <w:spacing w:after="120" w:line="280"/>
      </w:pPr>
      <w:r>
        <w:rPr>
          <w:rFonts w:ascii="Arial" w:cs="Arial" w:eastAsia="Arial" w:hAnsi="Arial"/>
          <w:color w:val="334155"/>
          <w:sz w:val="21"/>
          <w:szCs w:val="21"/>
        </w:rPr>
        <w:t xml:space="preserve">Service explainer videos for each practice area (5 videos, 60–90 seconds each).</w:t>
      </w:r>
    </w:p>
    <w:p>
      <w:pPr>
        <w:pStyle w:val="ListParagraph"/>
        <w:numPr>
          <w:ilvl w:val="0"/>
          <w:numId w:val="14"/>
        </w:numPr>
        <w:spacing w:after="120" w:line="280"/>
      </w:pPr>
      <w:r>
        <w:rPr>
          <w:rFonts w:ascii="Arial" w:cs="Arial" w:eastAsia="Arial" w:hAnsi="Arial"/>
          <w:color w:val="334155"/>
          <w:sz w:val="21"/>
          <w:szCs w:val="21"/>
        </w:rPr>
        <w:t xml:space="preserve">Founder thought leadership videos for LinkedIn (2x/month, 30–60 seconds).</w:t>
      </w:r>
    </w:p>
    <w:p>
      <w:pPr>
        <w:pStyle w:val="ListParagraph"/>
        <w:numPr>
          <w:ilvl w:val="0"/>
          <w:numId w:val="14"/>
        </w:numPr>
        <w:spacing w:after="120" w:line="280"/>
      </w:pPr>
      <w:r>
        <w:rPr>
          <w:rFonts w:ascii="Arial" w:cs="Arial" w:eastAsia="Arial" w:hAnsi="Arial"/>
          <w:color w:val="334155"/>
          <w:sz w:val="21"/>
          <w:szCs w:val="21"/>
        </w:rPr>
        <w:t xml:space="preserve">Client case study videos with AI-generated visualisations (as projects complete).</w:t>
      </w:r>
    </w:p>
    <w:p>
      <w:pPr>
        <w:pStyle w:val="ListParagraph"/>
        <w:numPr>
          <w:ilvl w:val="0"/>
          <w:numId w:val="14"/>
        </w:numPr>
        <w:spacing w:after="120" w:line="280"/>
      </w:pPr>
      <w:r>
        <w:rPr>
          <w:rFonts w:ascii="Arial" w:cs="Arial" w:eastAsia="Arial" w:hAnsi="Arial"/>
          <w:color w:val="334155"/>
          <w:sz w:val="21"/>
          <w:szCs w:val="21"/>
        </w:rPr>
        <w:t xml:space="preserve">Product demo videos for FAMANT and rebranded SaaS products.</w:t>
      </w:r>
    </w:p>
    <w:p>
      <w:pPr>
        <w:spacing w:after="200"/>
      </w:pPr>
    </w:p>
    <w:p>
      <w:pPr>
        <w:pStyle w:val="Heading2"/>
      </w:pPr>
      <w:r>
        <w:t xml:space="preserve">10.4 LinkedIn Strategy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4426"/>
        <w:gridCol w:w="3000"/>
      </w:tblGrid>
      <w:tr>
        <w:trPr>
          <w:tblHeader/>
        </w:trPr>
        <w:tc>
          <w:tcPr>
            <w:tcW w:type="dxa" w:w="1600"/>
            <w:tcBorders>
              <w:top w:val="single" w:color="CBD5E1" w:sz="1"/>
              <w:left w:val="single" w:color="CBD5E1" w:sz="1"/>
              <w:bottom w:val="single" w:color="CBD5E1" w:sz="1"/>
              <w:right w:val="single" w:color="CBD5E1" w:sz="1"/>
            </w:tcBorders>
            <w:shd w:fill="1E3A8A" w:val="clear"/>
            <w:tcMar>
              <w:top w:type="dxa" w:w="100"/>
              <w:left w:type="dxa" w:w="140"/>
              <w:bottom w:type="dxa" w:w="100"/>
              <w:right w:type="dxa" w:w="140"/>
            </w:tcMar>
            <w:vAlign w:val="center"/>
          </w:tcPr>
          <w:p>
            <w:r>
              <w:rPr>
                <w:rFonts w:ascii="Arial" w:cs="Arial" w:eastAsia="Arial" w:hAnsi="Arial"/>
                <w:b/>
                <w:bCs/>
                <w:color w:val="FFFFFF"/>
                <w:sz w:val="20"/>
                <w:szCs w:val="20"/>
              </w:rPr>
              <w:t xml:space="preserve">Frequency</w:t>
            </w:r>
          </w:p>
        </w:tc>
        <w:tc>
          <w:tcPr>
            <w:tcW w:type="dxa" w:w="4426"/>
            <w:tcBorders>
              <w:top w:val="single" w:color="CBD5E1" w:sz="1"/>
              <w:left w:val="single" w:color="CBD5E1" w:sz="1"/>
              <w:bottom w:val="single" w:color="CBD5E1" w:sz="1"/>
              <w:right w:val="single" w:color="CBD5E1" w:sz="1"/>
            </w:tcBorders>
            <w:shd w:fill="1E3A8A" w:val="clear"/>
            <w:tcMar>
              <w:top w:type="dxa" w:w="100"/>
              <w:left w:type="dxa" w:w="140"/>
              <w:bottom w:type="dxa" w:w="100"/>
              <w:right w:type="dxa" w:w="140"/>
            </w:tcMar>
            <w:vAlign w:val="center"/>
          </w:tcPr>
          <w:p>
            <w:r>
              <w:rPr>
                <w:rFonts w:ascii="Arial" w:cs="Arial" w:eastAsia="Arial" w:hAnsi="Arial"/>
                <w:b/>
                <w:bCs/>
                <w:color w:val="FFFFFF"/>
                <w:sz w:val="20"/>
                <w:szCs w:val="20"/>
              </w:rPr>
              <w:t xml:space="preserve">Content Type</w:t>
            </w:r>
          </w:p>
        </w:tc>
        <w:tc>
          <w:tcPr>
            <w:tcW w:type="dxa" w:w="3000"/>
            <w:tcBorders>
              <w:top w:val="single" w:color="CBD5E1" w:sz="1"/>
              <w:left w:val="single" w:color="CBD5E1" w:sz="1"/>
              <w:bottom w:val="single" w:color="CBD5E1" w:sz="1"/>
              <w:right w:val="single" w:color="CBD5E1" w:sz="1"/>
            </w:tcBorders>
            <w:shd w:fill="1E3A8A" w:val="clear"/>
            <w:tcMar>
              <w:top w:type="dxa" w:w="100"/>
              <w:left w:type="dxa" w:w="140"/>
              <w:bottom w:type="dxa" w:w="100"/>
              <w:right w:type="dxa" w:w="140"/>
            </w:tcMar>
            <w:vAlign w:val="center"/>
          </w:tcPr>
          <w:p>
            <w:r>
              <w:rPr>
                <w:rFonts w:ascii="Arial" w:cs="Arial" w:eastAsia="Arial" w:hAnsi="Arial"/>
                <w:b/>
                <w:bCs/>
                <w:color w:val="FFFFFF"/>
                <w:sz w:val="20"/>
                <w:szCs w:val="20"/>
              </w:rPr>
              <w:t xml:space="preserve">Purpose</w:t>
            </w:r>
          </w:p>
        </w:tc>
      </w:tr>
      <w:tr>
        <w:tc>
          <w:tcPr>
            <w:tcW w:type="dxa" w:w="1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2x/week</w:t>
            </w:r>
          </w:p>
        </w:tc>
        <w:tc>
          <w:tcPr>
            <w:tcW w:type="dxa" w:w="4426"/>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Founder posts: insights, case studies, AI trends</w:t>
            </w:r>
          </w:p>
        </w:tc>
        <w:tc>
          <w:tcPr>
            <w:tcW w:type="dxa" w:w="3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Personal authority</w:t>
            </w:r>
          </w:p>
        </w:tc>
      </w:tr>
      <w:tr>
        <w:tc>
          <w:tcPr>
            <w:tcW w:type="dxa" w:w="1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1x/week</w:t>
            </w:r>
          </w:p>
        </w:tc>
        <w:tc>
          <w:tcPr>
            <w:tcW w:type="dxa" w:w="4426"/>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Company page: service highlights, AI videos</w:t>
            </w:r>
          </w:p>
        </w:tc>
        <w:tc>
          <w:tcPr>
            <w:tcW w:type="dxa" w:w="3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Website traffic</w:t>
            </w:r>
          </w:p>
        </w:tc>
      </w:tr>
      <w:tr>
        <w:tc>
          <w:tcPr>
            <w:tcW w:type="dxa" w:w="1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1x/month</w:t>
            </w:r>
          </w:p>
        </w:tc>
        <w:tc>
          <w:tcPr>
            <w:tcW w:type="dxa" w:w="4426"/>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Long-form article: deep technical or strategy</w:t>
            </w:r>
          </w:p>
        </w:tc>
        <w:tc>
          <w:tcPr>
            <w:tcW w:type="dxa" w:w="3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GEO + expertise</w:t>
            </w:r>
          </w:p>
        </w:tc>
      </w:tr>
      <w:tr>
        <w:tc>
          <w:tcPr>
            <w:tcW w:type="dxa" w:w="1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1x/month</w:t>
            </w:r>
          </w:p>
        </w:tc>
        <w:tc>
          <w:tcPr>
            <w:tcW w:type="dxa" w:w="4426"/>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AI-produced video: service demo or trend analysis</w:t>
            </w:r>
          </w:p>
        </w:tc>
        <w:tc>
          <w:tcPr>
            <w:tcW w:type="dxa" w:w="3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Engagement + portfolio</w:t>
            </w:r>
          </w:p>
        </w:tc>
      </w:tr>
    </w:tbl>
    <w:p>
      <w:pPr>
        <w:spacing w:after="200"/>
      </w:pPr>
    </w:p>
    <w:p>
      <w:pPr>
        <w:pStyle w:val="Heading2"/>
      </w:pPr>
      <w:r>
        <w:t xml:space="preserve">10.5 Partnership Strategy</w:t>
      </w:r>
    </w:p>
    <w:p>
      <w:pPr>
        <w:pStyle w:val="ListParagraph"/>
        <w:numPr>
          <w:ilvl w:val="0"/>
          <w:numId w:val="15"/>
        </w:numPr>
        <w:spacing w:after="120" w:line="280"/>
      </w:pPr>
      <w:r>
        <w:rPr>
          <w:rFonts w:ascii="Arial" w:cs="Arial" w:eastAsia="Arial" w:hAnsi="Arial"/>
          <w:color w:val="334155"/>
          <w:sz w:val="21"/>
          <w:szCs w:val="21"/>
        </w:rPr>
        <w:t xml:space="preserve">Microsoft Partner Network — Silver/Gold Data Analytics competency within 12 months.</w:t>
      </w:r>
    </w:p>
    <w:p>
      <w:pPr>
        <w:pStyle w:val="ListParagraph"/>
        <w:numPr>
          <w:ilvl w:val="0"/>
          <w:numId w:val="15"/>
        </w:numPr>
        <w:spacing w:after="120" w:line="280"/>
      </w:pPr>
      <w:r>
        <w:rPr>
          <w:rFonts w:ascii="Arial" w:cs="Arial" w:eastAsia="Arial" w:hAnsi="Arial"/>
          <w:color w:val="334155"/>
          <w:sz w:val="21"/>
          <w:szCs w:val="21"/>
        </w:rPr>
        <w:t xml:space="preserve">Fortnox / Visma Integration Partners — Access to Swedish SME customer bases.</w:t>
      </w:r>
    </w:p>
    <w:p>
      <w:pPr>
        <w:pStyle w:val="ListParagraph"/>
        <w:numPr>
          <w:ilvl w:val="0"/>
          <w:numId w:val="15"/>
        </w:numPr>
        <w:spacing w:after="120" w:line="280"/>
      </w:pPr>
      <w:r>
        <w:rPr>
          <w:rFonts w:ascii="Arial" w:cs="Arial" w:eastAsia="Arial" w:hAnsi="Arial"/>
          <w:color w:val="334155"/>
          <w:sz w:val="21"/>
          <w:szCs w:val="21"/>
        </w:rPr>
        <w:t xml:space="preserve">AWS / Azure / GCP Partner Programs — Cloud credibility and co-marketing.</w:t>
      </w:r>
    </w:p>
    <w:p>
      <w:pPr>
        <w:pStyle w:val="ListParagraph"/>
        <w:numPr>
          <w:ilvl w:val="0"/>
          <w:numId w:val="15"/>
        </w:numPr>
        <w:spacing w:after="120" w:line="280"/>
      </w:pPr>
      <w:r>
        <w:rPr>
          <w:rFonts w:ascii="Arial" w:cs="Arial" w:eastAsia="Arial" w:hAnsi="Arial"/>
          <w:color w:val="334155"/>
          <w:sz w:val="21"/>
          <w:szCs w:val="21"/>
        </w:rPr>
        <w:t xml:space="preserve">AI Model Providers — Anthropic, OpenAI partner programs for Custom AI Platform credibility.</w:t>
      </w:r>
    </w:p>
    <w:p>
      <w:pPr>
        <w:pStyle w:val="ListParagraph"/>
        <w:numPr>
          <w:ilvl w:val="0"/>
          <w:numId w:val="15"/>
        </w:numPr>
        <w:spacing w:after="120" w:line="280"/>
      </w:pPr>
      <w:r>
        <w:rPr>
          <w:rFonts w:ascii="Arial" w:cs="Arial" w:eastAsia="Arial" w:hAnsi="Arial"/>
          <w:color w:val="334155"/>
          <w:sz w:val="21"/>
          <w:szCs w:val="21"/>
        </w:rPr>
        <w:t xml:space="preserve">Swedish Trade Organisations — Svenskt Näringsliv, local Handelskammare.</w:t>
      </w:r>
    </w:p>
    <w:p>
      <w:pPr>
        <w:spacing w:after="200"/>
      </w:pPr>
    </w:p>
    <w:p>
      <w:r>
        <w:br w:type="page"/>
      </w:r>
    </w:p>
    <w:p>
      <w:pPr>
        <w:pStyle w:val="Heading1"/>
      </w:pPr>
      <w:r>
        <w:t xml:space="preserve">11. Revenue Model</w:t>
      </w:r>
    </w:p>
    <w:p>
      <w:pPr>
        <w:pBdr>
          <w:bottom w:val="single" w:color="D4A017" w:sz="4" w:space="8"/>
        </w:pBdr>
        <w:spacing w:after="200" w:before="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700"/>
        <w:gridCol w:w="2200"/>
        <w:gridCol w:w="1600"/>
        <w:gridCol w:w="2326"/>
      </w:tblGrid>
      <w:tr>
        <w:trPr>
          <w:tblHeader/>
        </w:trPr>
        <w:tc>
          <w:tcPr>
            <w:tcW w:type="dxa" w:w="2200"/>
            <w:tcBorders>
              <w:top w:val="single" w:color="CBD5E1" w:sz="1"/>
              <w:left w:val="single" w:color="CBD5E1" w:sz="1"/>
              <w:bottom w:val="single" w:color="CBD5E1" w:sz="1"/>
              <w:right w:val="single" w:color="CBD5E1" w:sz="1"/>
            </w:tcBorders>
            <w:shd w:fill="1E3A8A" w:val="clear"/>
            <w:tcMar>
              <w:top w:type="dxa" w:w="100"/>
              <w:left w:type="dxa" w:w="140"/>
              <w:bottom w:type="dxa" w:w="100"/>
              <w:right w:type="dxa" w:w="140"/>
            </w:tcMar>
            <w:vAlign w:val="center"/>
          </w:tcPr>
          <w:p>
            <w:r>
              <w:rPr>
                <w:rFonts w:ascii="Arial" w:cs="Arial" w:eastAsia="Arial" w:hAnsi="Arial"/>
                <w:b/>
                <w:bCs/>
                <w:color w:val="FFFFFF"/>
                <w:sz w:val="20"/>
                <w:szCs w:val="20"/>
              </w:rPr>
              <w:t xml:space="preserve">Revenue Stream</w:t>
            </w:r>
          </w:p>
        </w:tc>
        <w:tc>
          <w:tcPr>
            <w:tcW w:type="dxa" w:w="700"/>
            <w:tcBorders>
              <w:top w:val="single" w:color="CBD5E1" w:sz="1"/>
              <w:left w:val="single" w:color="CBD5E1" w:sz="1"/>
              <w:bottom w:val="single" w:color="CBD5E1" w:sz="1"/>
              <w:right w:val="single" w:color="CBD5E1" w:sz="1"/>
            </w:tcBorders>
            <w:shd w:fill="1E3A8A" w:val="clear"/>
            <w:tcMar>
              <w:top w:type="dxa" w:w="100"/>
              <w:left w:type="dxa" w:w="140"/>
              <w:bottom w:type="dxa" w:w="100"/>
              <w:right w:type="dxa" w:w="140"/>
            </w:tcMar>
            <w:vAlign w:val="center"/>
          </w:tcPr>
          <w:p>
            <w:r>
              <w:rPr>
                <w:rFonts w:ascii="Arial" w:cs="Arial" w:eastAsia="Arial" w:hAnsi="Arial"/>
                <w:b/>
                <w:bCs/>
                <w:color w:val="FFFFFF"/>
                <w:sz w:val="20"/>
                <w:szCs w:val="20"/>
              </w:rPr>
              <w:t xml:space="preserve">Pillar</w:t>
            </w:r>
          </w:p>
        </w:tc>
        <w:tc>
          <w:tcPr>
            <w:tcW w:type="dxa" w:w="2200"/>
            <w:tcBorders>
              <w:top w:val="single" w:color="CBD5E1" w:sz="1"/>
              <w:left w:val="single" w:color="CBD5E1" w:sz="1"/>
              <w:bottom w:val="single" w:color="CBD5E1" w:sz="1"/>
              <w:right w:val="single" w:color="CBD5E1" w:sz="1"/>
            </w:tcBorders>
            <w:shd w:fill="1E3A8A" w:val="clear"/>
            <w:tcMar>
              <w:top w:type="dxa" w:w="100"/>
              <w:left w:type="dxa" w:w="140"/>
              <w:bottom w:type="dxa" w:w="100"/>
              <w:right w:type="dxa" w:w="140"/>
            </w:tcMar>
            <w:vAlign w:val="center"/>
          </w:tcPr>
          <w:p>
            <w:r>
              <w:rPr>
                <w:rFonts w:ascii="Arial" w:cs="Arial" w:eastAsia="Arial" w:hAnsi="Arial"/>
                <w:b/>
                <w:bCs/>
                <w:color w:val="FFFFFF"/>
                <w:sz w:val="20"/>
                <w:szCs w:val="20"/>
              </w:rPr>
              <w:t xml:space="preserve">Model</w:t>
            </w:r>
          </w:p>
        </w:tc>
        <w:tc>
          <w:tcPr>
            <w:tcW w:type="dxa" w:w="1600"/>
            <w:tcBorders>
              <w:top w:val="single" w:color="CBD5E1" w:sz="1"/>
              <w:left w:val="single" w:color="CBD5E1" w:sz="1"/>
              <w:bottom w:val="single" w:color="CBD5E1" w:sz="1"/>
              <w:right w:val="single" w:color="CBD5E1" w:sz="1"/>
            </w:tcBorders>
            <w:shd w:fill="1E3A8A" w:val="clear"/>
            <w:tcMar>
              <w:top w:type="dxa" w:w="100"/>
              <w:left w:type="dxa" w:w="140"/>
              <w:bottom w:type="dxa" w:w="100"/>
              <w:right w:type="dxa" w:w="140"/>
            </w:tcMar>
            <w:vAlign w:val="center"/>
          </w:tcPr>
          <w:p>
            <w:r>
              <w:rPr>
                <w:rFonts w:ascii="Arial" w:cs="Arial" w:eastAsia="Arial" w:hAnsi="Arial"/>
                <w:b/>
                <w:bCs/>
                <w:color w:val="FFFFFF"/>
                <w:sz w:val="20"/>
                <w:szCs w:val="20"/>
              </w:rPr>
              <w:t xml:space="preserve">Margin</w:t>
            </w:r>
          </w:p>
        </w:tc>
        <w:tc>
          <w:tcPr>
            <w:tcW w:type="dxa" w:w="2326"/>
            <w:tcBorders>
              <w:top w:val="single" w:color="CBD5E1" w:sz="1"/>
              <w:left w:val="single" w:color="CBD5E1" w:sz="1"/>
              <w:bottom w:val="single" w:color="CBD5E1" w:sz="1"/>
              <w:right w:val="single" w:color="CBD5E1" w:sz="1"/>
            </w:tcBorders>
            <w:shd w:fill="1E3A8A" w:val="clear"/>
            <w:tcMar>
              <w:top w:type="dxa" w:w="100"/>
              <w:left w:type="dxa" w:w="140"/>
              <w:bottom w:type="dxa" w:w="100"/>
              <w:right w:type="dxa" w:w="140"/>
            </w:tcMar>
            <w:vAlign w:val="center"/>
          </w:tcPr>
          <w:p>
            <w:r>
              <w:rPr>
                <w:rFonts w:ascii="Arial" w:cs="Arial" w:eastAsia="Arial" w:hAnsi="Arial"/>
                <w:b/>
                <w:bCs/>
                <w:color w:val="FFFFFF"/>
                <w:sz w:val="20"/>
                <w:szCs w:val="20"/>
              </w:rPr>
              <w:t xml:space="preserve">Start</w:t>
            </w:r>
          </w:p>
        </w:tc>
      </w:tr>
      <w:tr>
        <w:tc>
          <w:tcPr>
            <w:tcW w:type="dxa" w:w="2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AI &amp; Data Projects</w:t>
            </w:r>
          </w:p>
        </w:tc>
        <w:tc>
          <w:tcPr>
            <w:tcW w:type="dxa" w:w="7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1</w:t>
            </w:r>
          </w:p>
        </w:tc>
        <w:tc>
          <w:tcPr>
            <w:tcW w:type="dxa" w:w="2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Fixed-scope / Retainer</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55–70%</w:t>
            </w:r>
          </w:p>
        </w:tc>
        <w:tc>
          <w:tcPr>
            <w:tcW w:type="dxa" w:w="2326"/>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Q2 2026</w:t>
            </w:r>
          </w:p>
        </w:tc>
      </w:tr>
      <w:tr>
        <w:tc>
          <w:tcPr>
            <w:tcW w:type="dxa" w:w="2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Power BI Dashboards</w:t>
            </w:r>
          </w:p>
        </w:tc>
        <w:tc>
          <w:tcPr>
            <w:tcW w:type="dxa" w:w="7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1</w:t>
            </w:r>
          </w:p>
        </w:tc>
        <w:tc>
          <w:tcPr>
            <w:tcW w:type="dxa" w:w="2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Fixed-scope + Support</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60–75%</w:t>
            </w:r>
          </w:p>
        </w:tc>
        <w:tc>
          <w:tcPr>
            <w:tcW w:type="dxa" w:w="2326"/>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Q2 2026</w:t>
            </w:r>
          </w:p>
        </w:tc>
      </w:tr>
      <w:tr>
        <w:tc>
          <w:tcPr>
            <w:tcW w:type="dxa" w:w="2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GEO Services</w:t>
            </w:r>
          </w:p>
        </w:tc>
        <w:tc>
          <w:tcPr>
            <w:tcW w:type="dxa" w:w="7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1</w:t>
            </w:r>
          </w:p>
        </w:tc>
        <w:tc>
          <w:tcPr>
            <w:tcW w:type="dxa" w:w="2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Retainer (monthly)</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65–80%</w:t>
            </w:r>
          </w:p>
        </w:tc>
        <w:tc>
          <w:tcPr>
            <w:tcW w:type="dxa" w:w="2326"/>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Q2 2026</w:t>
            </w:r>
          </w:p>
        </w:tc>
      </w:tr>
      <w:tr>
        <w:tc>
          <w:tcPr>
            <w:tcW w:type="dxa" w:w="2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AI Video Production</w:t>
            </w:r>
          </w:p>
        </w:tc>
        <w:tc>
          <w:tcPr>
            <w:tcW w:type="dxa" w:w="7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1</w:t>
            </w:r>
          </w:p>
        </w:tc>
        <w:tc>
          <w:tcPr>
            <w:tcW w:type="dxa" w:w="2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Per-project / Retainer</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60–75%</w:t>
            </w:r>
          </w:p>
        </w:tc>
        <w:tc>
          <w:tcPr>
            <w:tcW w:type="dxa" w:w="2326"/>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Q2 2026</w:t>
            </w:r>
          </w:p>
        </w:tc>
      </w:tr>
      <w:tr>
        <w:tc>
          <w:tcPr>
            <w:tcW w:type="dxa" w:w="2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AI Sales Automation</w:t>
            </w:r>
          </w:p>
        </w:tc>
        <w:tc>
          <w:tcPr>
            <w:tcW w:type="dxa" w:w="7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1</w:t>
            </w:r>
          </w:p>
        </w:tc>
        <w:tc>
          <w:tcPr>
            <w:tcW w:type="dxa" w:w="2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Project + Retainer</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55–70%</w:t>
            </w:r>
          </w:p>
        </w:tc>
        <w:tc>
          <w:tcPr>
            <w:tcW w:type="dxa" w:w="2326"/>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Q3 2026</w:t>
            </w:r>
          </w:p>
        </w:tc>
      </w:tr>
      <w:tr>
        <w:tc>
          <w:tcPr>
            <w:tcW w:type="dxa" w:w="2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Custom AI Platforms</w:t>
            </w:r>
          </w:p>
        </w:tc>
        <w:tc>
          <w:tcPr>
            <w:tcW w:type="dxa" w:w="7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1</w:t>
            </w:r>
          </w:p>
        </w:tc>
        <w:tc>
          <w:tcPr>
            <w:tcW w:type="dxa" w:w="2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Setup + Monthly + Per-Seat</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60–75%</w:t>
            </w:r>
          </w:p>
        </w:tc>
        <w:tc>
          <w:tcPr>
            <w:tcW w:type="dxa" w:w="2326"/>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Q3 2026</w:t>
            </w:r>
          </w:p>
        </w:tc>
      </w:tr>
      <w:tr>
        <w:tc>
          <w:tcPr>
            <w:tcW w:type="dxa" w:w="2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IT Consulting (Sweden)</w:t>
            </w:r>
          </w:p>
        </w:tc>
        <w:tc>
          <w:tcPr>
            <w:tcW w:type="dxa" w:w="7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2</w:t>
            </w:r>
          </w:p>
        </w:tc>
        <w:tc>
          <w:tcPr>
            <w:tcW w:type="dxa" w:w="2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Time &amp; Materials</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40–55%</w:t>
            </w:r>
          </w:p>
        </w:tc>
        <w:tc>
          <w:tcPr>
            <w:tcW w:type="dxa" w:w="2326"/>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Q2 2026</w:t>
            </w:r>
          </w:p>
        </w:tc>
      </w:tr>
      <w:tr>
        <w:tc>
          <w:tcPr>
            <w:tcW w:type="dxa" w:w="2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Managed Dev Teams</w:t>
            </w:r>
          </w:p>
        </w:tc>
        <w:tc>
          <w:tcPr>
            <w:tcW w:type="dxa" w:w="7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2</w:t>
            </w:r>
          </w:p>
        </w:tc>
        <w:tc>
          <w:tcPr>
            <w:tcW w:type="dxa" w:w="2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Monthly Retainer</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55–70%</w:t>
            </w:r>
          </w:p>
        </w:tc>
        <w:tc>
          <w:tcPr>
            <w:tcW w:type="dxa" w:w="2326"/>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Q3 2026</w:t>
            </w:r>
          </w:p>
        </w:tc>
      </w:tr>
      <w:tr>
        <w:tc>
          <w:tcPr>
            <w:tcW w:type="dxa" w:w="2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FAMANT Subscriptions</w:t>
            </w:r>
          </w:p>
        </w:tc>
        <w:tc>
          <w:tcPr>
            <w:tcW w:type="dxa" w:w="7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3</w:t>
            </w:r>
          </w:p>
        </w:tc>
        <w:tc>
          <w:tcPr>
            <w:tcW w:type="dxa" w:w="2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SaaS Monthly/Annual</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70–85%</w:t>
            </w:r>
          </w:p>
        </w:tc>
        <w:tc>
          <w:tcPr>
            <w:tcW w:type="dxa" w:w="2326"/>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Q3 2026</w:t>
            </w:r>
          </w:p>
        </w:tc>
      </w:tr>
      <w:tr>
        <w:tc>
          <w:tcPr>
            <w:tcW w:type="dxa" w:w="2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Rebranded SaaS</w:t>
            </w:r>
          </w:p>
        </w:tc>
        <w:tc>
          <w:tcPr>
            <w:tcW w:type="dxa" w:w="7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3</w:t>
            </w:r>
          </w:p>
        </w:tc>
        <w:tc>
          <w:tcPr>
            <w:tcW w:type="dxa" w:w="2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License + Support</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60–80%</w:t>
            </w:r>
          </w:p>
        </w:tc>
        <w:tc>
          <w:tcPr>
            <w:tcW w:type="dxa" w:w="2326"/>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Q4 2026</w:t>
            </w:r>
          </w:p>
        </w:tc>
      </w:tr>
    </w:tbl>
    <w:p>
      <w:pPr>
        <w:spacing w:after="200"/>
      </w:pPr>
    </w:p>
    <w:p>
      <w:pPr>
        <w:pStyle w:val="Heading2"/>
      </w:pPr>
      <w:r>
        <w:t xml:space="preserve">11.1 Year 1 Revenue Targets (2026)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2000"/>
        <w:gridCol w:w="3026"/>
      </w:tblGrid>
      <w:tr>
        <w:trPr>
          <w:tblHeader/>
        </w:trPr>
        <w:tc>
          <w:tcPr>
            <w:tcW w:type="dxa" w:w="1200"/>
            <w:tcBorders>
              <w:top w:val="single" w:color="CBD5E1" w:sz="1"/>
              <w:left w:val="single" w:color="CBD5E1" w:sz="1"/>
              <w:bottom w:val="single" w:color="CBD5E1" w:sz="1"/>
              <w:right w:val="single" w:color="CBD5E1" w:sz="1"/>
            </w:tcBorders>
            <w:shd w:fill="1E3A8A" w:val="clear"/>
            <w:tcMar>
              <w:top w:type="dxa" w:w="100"/>
              <w:left w:type="dxa" w:w="140"/>
              <w:bottom w:type="dxa" w:w="100"/>
              <w:right w:type="dxa" w:w="140"/>
            </w:tcMar>
            <w:vAlign w:val="center"/>
          </w:tcPr>
          <w:p>
            <w:r>
              <w:rPr>
                <w:rFonts w:ascii="Arial" w:cs="Arial" w:eastAsia="Arial" w:hAnsi="Arial"/>
                <w:b/>
                <w:bCs/>
                <w:color w:val="FFFFFF"/>
                <w:sz w:val="20"/>
                <w:szCs w:val="20"/>
              </w:rPr>
              <w:t xml:space="preserve">Quarter</w:t>
            </w:r>
          </w:p>
        </w:tc>
        <w:tc>
          <w:tcPr>
            <w:tcW w:type="dxa" w:w="2800"/>
            <w:tcBorders>
              <w:top w:val="single" w:color="CBD5E1" w:sz="1"/>
              <w:left w:val="single" w:color="CBD5E1" w:sz="1"/>
              <w:bottom w:val="single" w:color="CBD5E1" w:sz="1"/>
              <w:right w:val="single" w:color="CBD5E1" w:sz="1"/>
            </w:tcBorders>
            <w:shd w:fill="1E3A8A" w:val="clear"/>
            <w:tcMar>
              <w:top w:type="dxa" w:w="100"/>
              <w:left w:type="dxa" w:w="140"/>
              <w:bottom w:type="dxa" w:w="100"/>
              <w:right w:type="dxa" w:w="140"/>
            </w:tcMar>
            <w:vAlign w:val="center"/>
          </w:tcPr>
          <w:p>
            <w:r>
              <w:rPr>
                <w:rFonts w:ascii="Arial" w:cs="Arial" w:eastAsia="Arial" w:hAnsi="Arial"/>
                <w:b/>
                <w:bCs/>
                <w:color w:val="FFFFFF"/>
                <w:sz w:val="20"/>
                <w:szCs w:val="20"/>
              </w:rPr>
              <w:t xml:space="preserve">Focus</w:t>
            </w:r>
          </w:p>
        </w:tc>
        <w:tc>
          <w:tcPr>
            <w:tcW w:type="dxa" w:w="2000"/>
            <w:tcBorders>
              <w:top w:val="single" w:color="CBD5E1" w:sz="1"/>
              <w:left w:val="single" w:color="CBD5E1" w:sz="1"/>
              <w:bottom w:val="single" w:color="CBD5E1" w:sz="1"/>
              <w:right w:val="single" w:color="CBD5E1" w:sz="1"/>
            </w:tcBorders>
            <w:shd w:fill="1E3A8A" w:val="clear"/>
            <w:tcMar>
              <w:top w:type="dxa" w:w="100"/>
              <w:left w:type="dxa" w:w="140"/>
              <w:bottom w:type="dxa" w:w="100"/>
              <w:right w:type="dxa" w:w="140"/>
            </w:tcMar>
            <w:vAlign w:val="center"/>
          </w:tcPr>
          <w:p>
            <w:r>
              <w:rPr>
                <w:rFonts w:ascii="Arial" w:cs="Arial" w:eastAsia="Arial" w:hAnsi="Arial"/>
                <w:b/>
                <w:bCs/>
                <w:color w:val="FFFFFF"/>
                <w:sz w:val="20"/>
                <w:szCs w:val="20"/>
              </w:rPr>
              <w:t xml:space="preserve">Target (SEK)</w:t>
            </w:r>
          </w:p>
        </w:tc>
        <w:tc>
          <w:tcPr>
            <w:tcW w:type="dxa" w:w="3026"/>
            <w:tcBorders>
              <w:top w:val="single" w:color="CBD5E1" w:sz="1"/>
              <w:left w:val="single" w:color="CBD5E1" w:sz="1"/>
              <w:bottom w:val="single" w:color="CBD5E1" w:sz="1"/>
              <w:right w:val="single" w:color="CBD5E1" w:sz="1"/>
            </w:tcBorders>
            <w:shd w:fill="1E3A8A" w:val="clear"/>
            <w:tcMar>
              <w:top w:type="dxa" w:w="100"/>
              <w:left w:type="dxa" w:w="140"/>
              <w:bottom w:type="dxa" w:w="100"/>
              <w:right w:type="dxa" w:w="140"/>
            </w:tcMar>
            <w:vAlign w:val="center"/>
          </w:tcPr>
          <w:p>
            <w:r>
              <w:rPr>
                <w:rFonts w:ascii="Arial" w:cs="Arial" w:eastAsia="Arial" w:hAnsi="Arial"/>
                <w:b/>
                <w:bCs/>
                <w:color w:val="FFFFFF"/>
                <w:sz w:val="20"/>
                <w:szCs w:val="20"/>
              </w:rPr>
              <w:t xml:space="preserve">Key Milestones</w:t>
            </w:r>
          </w:p>
        </w:tc>
      </w:tr>
      <w:tr>
        <w:tc>
          <w:tcPr>
            <w:tcW w:type="dxa" w:w="1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Q2 2026</w:t>
            </w:r>
          </w:p>
        </w:tc>
        <w:tc>
          <w:tcPr>
            <w:tcW w:type="dxa" w:w="2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First clients, website, GEO + video services</w:t>
            </w:r>
          </w:p>
        </w:tc>
        <w:tc>
          <w:tcPr>
            <w:tcW w:type="dxa" w:w="2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50,000–150,000</w:t>
            </w:r>
          </w:p>
        </w:tc>
        <w:tc>
          <w:tcPr>
            <w:tcW w:type="dxa" w:w="3026"/>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2–3 pilots, website live, LinkedIn active</w:t>
            </w:r>
          </w:p>
        </w:tc>
      </w:tr>
      <w:tr>
        <w:tc>
          <w:tcPr>
            <w:tcW w:type="dxa" w:w="1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Q3 2026</w:t>
            </w:r>
          </w:p>
        </w:tc>
        <w:tc>
          <w:tcPr>
            <w:tcW w:type="dxa" w:w="2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Scale services, FAMANT MVP, AI platforms</w:t>
            </w:r>
          </w:p>
        </w:tc>
        <w:tc>
          <w:tcPr>
            <w:tcW w:type="dxa" w:w="2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150,000–400,000</w:t>
            </w:r>
          </w:p>
        </w:tc>
        <w:tc>
          <w:tcPr>
            <w:tcW w:type="dxa" w:w="3026"/>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5–8 clients, FAMANT beta, first AI platform</w:t>
            </w:r>
          </w:p>
        </w:tc>
      </w:tr>
      <w:tr>
        <w:tc>
          <w:tcPr>
            <w:tcW w:type="dxa" w:w="1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Q4 2026</w:t>
            </w:r>
          </w:p>
        </w:tc>
        <w:tc>
          <w:tcPr>
            <w:tcW w:type="dxa" w:w="2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Product revenue, team scaling</w:t>
            </w:r>
          </w:p>
        </w:tc>
        <w:tc>
          <w:tcPr>
            <w:tcW w:type="dxa" w:w="2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300,000–700,000</w:t>
            </w:r>
          </w:p>
        </w:tc>
        <w:tc>
          <w:tcPr>
            <w:tcW w:type="dxa" w:w="3026"/>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Rebranded SaaS live, recurring revenue</w:t>
            </w:r>
          </w:p>
        </w:tc>
      </w:tr>
    </w:tbl>
    <w:p>
      <w:pPr>
        <w:spacing w:after="200"/>
      </w:pPr>
    </w:p>
    <w:p>
      <w:pPr>
        <w:spacing w:after="160" w:line="300"/>
        <w:jc w:val="both"/>
      </w:pPr>
      <w:r>
        <w:rPr>
          <w:rFonts w:ascii="Arial" w:cs="Arial" w:eastAsia="Arial" w:hAnsi="Arial"/>
          <w:color w:val="334155"/>
          <w:sz w:val="22"/>
          <w:szCs w:val="22"/>
        </w:rPr>
        <w:t xml:space="preserve">Total Year 1 target range: 500,000–1,250,000 SEK.</w:t>
      </w:r>
    </w:p>
    <w:p>
      <w:r>
        <w:br w:type="page"/>
      </w:r>
    </w:p>
    <w:p>
      <w:pPr>
        <w:pStyle w:val="Heading1"/>
      </w:pPr>
      <w:r>
        <w:t xml:space="preserve">12. Competitive Positioning</w:t>
      </w:r>
    </w:p>
    <w:p>
      <w:pPr>
        <w:pBdr>
          <w:bottom w:val="single" w:color="D4A017" w:sz="4" w:space="8"/>
        </w:pBdr>
        <w:spacing w:after="200" w:before="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400"/>
        <w:gridCol w:w="2826"/>
      </w:tblGrid>
      <w:tr>
        <w:trPr>
          <w:tblHeader/>
        </w:trPr>
        <w:tc>
          <w:tcPr>
            <w:tcW w:type="dxa" w:w="1800"/>
            <w:tcBorders>
              <w:top w:val="single" w:color="CBD5E1" w:sz="1"/>
              <w:left w:val="single" w:color="CBD5E1" w:sz="1"/>
              <w:bottom w:val="single" w:color="CBD5E1" w:sz="1"/>
              <w:right w:val="single" w:color="CBD5E1" w:sz="1"/>
            </w:tcBorders>
            <w:shd w:fill="1E3A8A" w:val="clear"/>
            <w:tcMar>
              <w:top w:type="dxa" w:w="100"/>
              <w:left w:type="dxa" w:w="140"/>
              <w:bottom w:type="dxa" w:w="100"/>
              <w:right w:type="dxa" w:w="140"/>
            </w:tcMar>
            <w:vAlign w:val="center"/>
          </w:tcPr>
          <w:p>
            <w:r>
              <w:rPr>
                <w:rFonts w:ascii="Arial" w:cs="Arial" w:eastAsia="Arial" w:hAnsi="Arial"/>
                <w:b/>
                <w:bCs/>
                <w:color w:val="FFFFFF"/>
                <w:sz w:val="20"/>
                <w:szCs w:val="20"/>
              </w:rPr>
              <w:t xml:space="preserve">Competitor Type</w:t>
            </w:r>
          </w:p>
        </w:tc>
        <w:tc>
          <w:tcPr>
            <w:tcW w:type="dxa" w:w="2000"/>
            <w:tcBorders>
              <w:top w:val="single" w:color="CBD5E1" w:sz="1"/>
              <w:left w:val="single" w:color="CBD5E1" w:sz="1"/>
              <w:bottom w:val="single" w:color="CBD5E1" w:sz="1"/>
              <w:right w:val="single" w:color="CBD5E1" w:sz="1"/>
            </w:tcBorders>
            <w:shd w:fill="1E3A8A" w:val="clear"/>
            <w:tcMar>
              <w:top w:type="dxa" w:w="100"/>
              <w:left w:type="dxa" w:w="140"/>
              <w:bottom w:type="dxa" w:w="100"/>
              <w:right w:type="dxa" w:w="140"/>
            </w:tcMar>
            <w:vAlign w:val="center"/>
          </w:tcPr>
          <w:p>
            <w:r>
              <w:rPr>
                <w:rFonts w:ascii="Arial" w:cs="Arial" w:eastAsia="Arial" w:hAnsi="Arial"/>
                <w:b/>
                <w:bCs/>
                <w:color w:val="FFFFFF"/>
                <w:sz w:val="20"/>
                <w:szCs w:val="20"/>
              </w:rPr>
              <w:t xml:space="preserve">Examples</w:t>
            </w:r>
          </w:p>
        </w:tc>
        <w:tc>
          <w:tcPr>
            <w:tcW w:type="dxa" w:w="2400"/>
            <w:tcBorders>
              <w:top w:val="single" w:color="CBD5E1" w:sz="1"/>
              <w:left w:val="single" w:color="CBD5E1" w:sz="1"/>
              <w:bottom w:val="single" w:color="CBD5E1" w:sz="1"/>
              <w:right w:val="single" w:color="CBD5E1" w:sz="1"/>
            </w:tcBorders>
            <w:shd w:fill="1E3A8A" w:val="clear"/>
            <w:tcMar>
              <w:top w:type="dxa" w:w="100"/>
              <w:left w:type="dxa" w:w="140"/>
              <w:bottom w:type="dxa" w:w="100"/>
              <w:right w:type="dxa" w:w="140"/>
            </w:tcMar>
            <w:vAlign w:val="center"/>
          </w:tcPr>
          <w:p>
            <w:r>
              <w:rPr>
                <w:rFonts w:ascii="Arial" w:cs="Arial" w:eastAsia="Arial" w:hAnsi="Arial"/>
                <w:b/>
                <w:bCs/>
                <w:color w:val="FFFFFF"/>
                <w:sz w:val="20"/>
                <w:szCs w:val="20"/>
              </w:rPr>
              <w:t xml:space="preserve">Their Weakness</w:t>
            </w:r>
          </w:p>
        </w:tc>
        <w:tc>
          <w:tcPr>
            <w:tcW w:type="dxa" w:w="2826"/>
            <w:tcBorders>
              <w:top w:val="single" w:color="CBD5E1" w:sz="1"/>
              <w:left w:val="single" w:color="CBD5E1" w:sz="1"/>
              <w:bottom w:val="single" w:color="CBD5E1" w:sz="1"/>
              <w:right w:val="single" w:color="CBD5E1" w:sz="1"/>
            </w:tcBorders>
            <w:shd w:fill="1E3A8A" w:val="clear"/>
            <w:tcMar>
              <w:top w:type="dxa" w:w="100"/>
              <w:left w:type="dxa" w:w="140"/>
              <w:bottom w:type="dxa" w:w="100"/>
              <w:right w:type="dxa" w:w="140"/>
            </w:tcMar>
            <w:vAlign w:val="center"/>
          </w:tcPr>
          <w:p>
            <w:r>
              <w:rPr>
                <w:rFonts w:ascii="Arial" w:cs="Arial" w:eastAsia="Arial" w:hAnsi="Arial"/>
                <w:b/>
                <w:bCs/>
                <w:color w:val="FFFFFF"/>
                <w:sz w:val="20"/>
                <w:szCs w:val="20"/>
              </w:rPr>
              <w:t xml:space="preserve">ANTUTIVE Advantage</w:t>
            </w:r>
          </w:p>
        </w:tc>
      </w:tr>
      <w:tr>
        <w:tc>
          <w:tcPr>
            <w:tcW w:type="dxa" w:w="1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Big 4 Consulting</w:t>
            </w:r>
          </w:p>
        </w:tc>
        <w:tc>
          <w:tcPr>
            <w:tcW w:type="dxa" w:w="2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Deloitte, EY, KPMG, PwC</w:t>
            </w:r>
          </w:p>
        </w:tc>
        <w:tc>
          <w:tcPr>
            <w:tcW w:type="dxa" w:w="2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Slow, expensive, template-driven</w:t>
            </w:r>
          </w:p>
        </w:tc>
        <w:tc>
          <w:tcPr>
            <w:tcW w:type="dxa" w:w="2826"/>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Faster, specialist, SME-appropriate</w:t>
            </w:r>
          </w:p>
        </w:tc>
      </w:tr>
      <w:tr>
        <w:tc>
          <w:tcPr>
            <w:tcW w:type="dxa" w:w="1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Nordic IT Consultancies</w:t>
            </w:r>
          </w:p>
        </w:tc>
        <w:tc>
          <w:tcPr>
            <w:tcW w:type="dxa" w:w="2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HiQ, Sogeti, Sigma IT</w:t>
            </w:r>
          </w:p>
        </w:tc>
        <w:tc>
          <w:tcPr>
            <w:tcW w:type="dxa" w:w="2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Generalist, capacity-constrained</w:t>
            </w:r>
          </w:p>
        </w:tc>
        <w:tc>
          <w:tcPr>
            <w:tcW w:type="dxa" w:w="2826"/>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AI/Data specialist, faster delivery</w:t>
            </w:r>
          </w:p>
        </w:tc>
      </w:tr>
      <w:tr>
        <w:tc>
          <w:tcPr>
            <w:tcW w:type="dxa" w:w="1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Pure Offshore Firms</w:t>
            </w:r>
          </w:p>
        </w:tc>
        <w:tc>
          <w:tcPr>
            <w:tcW w:type="dxa" w:w="2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Infosys, TCS, Wipro</w:t>
            </w:r>
          </w:p>
        </w:tc>
        <w:tc>
          <w:tcPr>
            <w:tcW w:type="dxa" w:w="2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No local presence, no EU entity</w:t>
            </w:r>
          </w:p>
        </w:tc>
        <w:tc>
          <w:tcPr>
            <w:tcW w:type="dxa" w:w="2826"/>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Swedish AB, EU compliance native</w:t>
            </w:r>
          </w:p>
        </w:tc>
      </w:tr>
      <w:tr>
        <w:tc>
          <w:tcPr>
            <w:tcW w:type="dxa" w:w="1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SaaS Tool Vendors</w:t>
            </w:r>
          </w:p>
        </w:tc>
        <w:tc>
          <w:tcPr>
            <w:tcW w:type="dxa" w:w="2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Tableau, PowerBI direct</w:t>
            </w:r>
          </w:p>
        </w:tc>
        <w:tc>
          <w:tcPr>
            <w:tcW w:type="dxa" w:w="2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Tools without implementation</w:t>
            </w:r>
          </w:p>
        </w:tc>
        <w:tc>
          <w:tcPr>
            <w:tcW w:type="dxa" w:w="2826"/>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Full service: strategy + build + support</w:t>
            </w:r>
          </w:p>
        </w:tc>
      </w:tr>
      <w:tr>
        <w:tc>
          <w:tcPr>
            <w:tcW w:type="dxa" w:w="1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AI Platform Vendors</w:t>
            </w:r>
          </w:p>
        </w:tc>
        <w:tc>
          <w:tcPr>
            <w:tcW w:type="dxa" w:w="2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ChatGPT Enterprise</w:t>
            </w:r>
          </w:p>
        </w:tc>
        <w:tc>
          <w:tcPr>
            <w:tcW w:type="dxa" w:w="2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Single model, data leaves client</w:t>
            </w:r>
          </w:p>
        </w:tc>
        <w:tc>
          <w:tcPr>
            <w:tcW w:type="dxa" w:w="2826"/>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Model-agnostic, data-sovereign</w:t>
            </w:r>
          </w:p>
        </w:tc>
      </w:tr>
      <w:tr>
        <w:tc>
          <w:tcPr>
            <w:tcW w:type="dxa" w:w="1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Marketing Agencies</w:t>
            </w:r>
          </w:p>
        </w:tc>
        <w:tc>
          <w:tcPr>
            <w:tcW w:type="dxa" w:w="2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Traditional SEO/video firms</w:t>
            </w:r>
          </w:p>
        </w:tc>
        <w:tc>
          <w:tcPr>
            <w:tcW w:type="dxa" w:w="2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No AI capability, slow production</w:t>
            </w:r>
          </w:p>
        </w:tc>
        <w:tc>
          <w:tcPr>
            <w:tcW w:type="dxa" w:w="2826"/>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AI-native, 10x faster production</w:t>
            </w:r>
          </w:p>
        </w:tc>
      </w:tr>
      <w:tr>
        <w:tc>
          <w:tcPr>
            <w:tcW w:type="dxa" w:w="1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Freelancers</w:t>
            </w:r>
          </w:p>
        </w:tc>
        <w:tc>
          <w:tcPr>
            <w:tcW w:type="dxa" w:w="2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Individual contractors</w:t>
            </w:r>
          </w:p>
        </w:tc>
        <w:tc>
          <w:tcPr>
            <w:tcW w:type="dxa" w:w="2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No continuity, no team depth</w:t>
            </w:r>
          </w:p>
        </w:tc>
        <w:tc>
          <w:tcPr>
            <w:tcW w:type="dxa" w:w="2826"/>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Organisational stability, scale</w:t>
            </w:r>
          </w:p>
        </w:tc>
      </w:tr>
    </w:tbl>
    <w:p>
      <w:pPr>
        <w:spacing w:after="200"/>
      </w:pPr>
    </w:p>
    <w:p>
      <w:r>
        <w:br w:type="page"/>
      </w:r>
    </w:p>
    <w:p>
      <w:pPr>
        <w:pStyle w:val="Heading1"/>
      </w:pPr>
      <w:r>
        <w:t xml:space="preserve">13. Execution Roadmap</w:t>
      </w:r>
    </w:p>
    <w:p>
      <w:pPr>
        <w:pBdr>
          <w:bottom w:val="single" w:color="D4A017" w:sz="4" w:space="8"/>
        </w:pBdr>
        <w:spacing w:after="200" w:before="100"/>
      </w:pPr>
    </w:p>
    <w:p>
      <w:pPr>
        <w:pStyle w:val="Heading2"/>
      </w:pPr>
      <w:r>
        <w:t xml:space="preserve">Phase 1: Foundation (April – June 2026)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3400"/>
        <w:gridCol w:w="1200"/>
        <w:gridCol w:w="3426"/>
      </w:tblGrid>
      <w:tr>
        <w:trPr>
          <w:tblHeader/>
        </w:trPr>
        <w:tc>
          <w:tcPr>
            <w:tcW w:type="dxa" w:w="1000"/>
            <w:tcBorders>
              <w:top w:val="single" w:color="CBD5E1" w:sz="1"/>
              <w:left w:val="single" w:color="CBD5E1" w:sz="1"/>
              <w:bottom w:val="single" w:color="CBD5E1" w:sz="1"/>
              <w:right w:val="single" w:color="CBD5E1" w:sz="1"/>
            </w:tcBorders>
            <w:shd w:fill="1E3A8A" w:val="clear"/>
            <w:tcMar>
              <w:top w:type="dxa" w:w="100"/>
              <w:left w:type="dxa" w:w="140"/>
              <w:bottom w:type="dxa" w:w="100"/>
              <w:right w:type="dxa" w:w="140"/>
            </w:tcMar>
            <w:vAlign w:val="center"/>
          </w:tcPr>
          <w:p>
            <w:r>
              <w:rPr>
                <w:rFonts w:ascii="Arial" w:cs="Arial" w:eastAsia="Arial" w:hAnsi="Arial"/>
                <w:b/>
                <w:bCs/>
                <w:color w:val="FFFFFF"/>
                <w:sz w:val="20"/>
                <w:szCs w:val="20"/>
              </w:rPr>
              <w:t xml:space="preserve">Week</w:t>
            </w:r>
          </w:p>
        </w:tc>
        <w:tc>
          <w:tcPr>
            <w:tcW w:type="dxa" w:w="3400"/>
            <w:tcBorders>
              <w:top w:val="single" w:color="CBD5E1" w:sz="1"/>
              <w:left w:val="single" w:color="CBD5E1" w:sz="1"/>
              <w:bottom w:val="single" w:color="CBD5E1" w:sz="1"/>
              <w:right w:val="single" w:color="CBD5E1" w:sz="1"/>
            </w:tcBorders>
            <w:shd w:fill="1E3A8A" w:val="clear"/>
            <w:tcMar>
              <w:top w:type="dxa" w:w="100"/>
              <w:left w:type="dxa" w:w="140"/>
              <w:bottom w:type="dxa" w:w="100"/>
              <w:right w:type="dxa" w:w="140"/>
            </w:tcMar>
            <w:vAlign w:val="center"/>
          </w:tcPr>
          <w:p>
            <w:r>
              <w:rPr>
                <w:rFonts w:ascii="Arial" w:cs="Arial" w:eastAsia="Arial" w:hAnsi="Arial"/>
                <w:b/>
                <w:bCs/>
                <w:color w:val="FFFFFF"/>
                <w:sz w:val="20"/>
                <w:szCs w:val="20"/>
              </w:rPr>
              <w:t xml:space="preserve">Action</w:t>
            </w:r>
          </w:p>
        </w:tc>
        <w:tc>
          <w:tcPr>
            <w:tcW w:type="dxa" w:w="1200"/>
            <w:tcBorders>
              <w:top w:val="single" w:color="CBD5E1" w:sz="1"/>
              <w:left w:val="single" w:color="CBD5E1" w:sz="1"/>
              <w:bottom w:val="single" w:color="CBD5E1" w:sz="1"/>
              <w:right w:val="single" w:color="CBD5E1" w:sz="1"/>
            </w:tcBorders>
            <w:shd w:fill="1E3A8A" w:val="clear"/>
            <w:tcMar>
              <w:top w:type="dxa" w:w="100"/>
              <w:left w:type="dxa" w:w="140"/>
              <w:bottom w:type="dxa" w:w="100"/>
              <w:right w:type="dxa" w:w="140"/>
            </w:tcMar>
            <w:vAlign w:val="center"/>
          </w:tcPr>
          <w:p>
            <w:r>
              <w:rPr>
                <w:rFonts w:ascii="Arial" w:cs="Arial" w:eastAsia="Arial" w:hAnsi="Arial"/>
                <w:b/>
                <w:bCs/>
                <w:color w:val="FFFFFF"/>
                <w:sz w:val="20"/>
                <w:szCs w:val="20"/>
              </w:rPr>
              <w:t xml:space="preserve">Owner</w:t>
            </w:r>
          </w:p>
        </w:tc>
        <w:tc>
          <w:tcPr>
            <w:tcW w:type="dxa" w:w="3426"/>
            <w:tcBorders>
              <w:top w:val="single" w:color="CBD5E1" w:sz="1"/>
              <w:left w:val="single" w:color="CBD5E1" w:sz="1"/>
              <w:bottom w:val="single" w:color="CBD5E1" w:sz="1"/>
              <w:right w:val="single" w:color="CBD5E1" w:sz="1"/>
            </w:tcBorders>
            <w:shd w:fill="1E3A8A" w:val="clear"/>
            <w:tcMar>
              <w:top w:type="dxa" w:w="100"/>
              <w:left w:type="dxa" w:w="140"/>
              <w:bottom w:type="dxa" w:w="100"/>
              <w:right w:type="dxa" w:w="140"/>
            </w:tcMar>
            <w:vAlign w:val="center"/>
          </w:tcPr>
          <w:p>
            <w:r>
              <w:rPr>
                <w:rFonts w:ascii="Arial" w:cs="Arial" w:eastAsia="Arial" w:hAnsi="Arial"/>
                <w:b/>
                <w:bCs/>
                <w:color w:val="FFFFFF"/>
                <w:sz w:val="20"/>
                <w:szCs w:val="20"/>
              </w:rPr>
              <w:t xml:space="preserve">Deliverable</w:t>
            </w:r>
          </w:p>
        </w:tc>
      </w:tr>
      <w:tr>
        <w:tc>
          <w:tcPr>
            <w:tcW w:type="dxa" w:w="1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W1–W2</w:t>
            </w:r>
          </w:p>
        </w:tc>
        <w:tc>
          <w:tcPr>
            <w:tcW w:type="dxa" w:w="3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Finalise business plan, define service portfolio</w:t>
            </w:r>
          </w:p>
        </w:tc>
        <w:tc>
          <w:tcPr>
            <w:tcW w:type="dxa" w:w="1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Vinayak</w:t>
            </w:r>
          </w:p>
        </w:tc>
        <w:tc>
          <w:tcPr>
            <w:tcW w:type="dxa" w:w="3426"/>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Approved business plan (this document)</w:t>
            </w:r>
          </w:p>
        </w:tc>
      </w:tr>
      <w:tr>
        <w:tc>
          <w:tcPr>
            <w:tcW w:type="dxa" w:w="1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W2–W3</w:t>
            </w:r>
          </w:p>
        </w:tc>
        <w:tc>
          <w:tcPr>
            <w:tcW w:type="dxa" w:w="3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Design and build production website (all pillars)</w:t>
            </w:r>
          </w:p>
        </w:tc>
        <w:tc>
          <w:tcPr>
            <w:tcW w:type="dxa" w:w="1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Engineering</w:t>
            </w:r>
          </w:p>
        </w:tc>
        <w:tc>
          <w:tcPr>
            <w:tcW w:type="dxa" w:w="3426"/>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Live website at antutive.se</w:t>
            </w:r>
          </w:p>
        </w:tc>
      </w:tr>
      <w:tr>
        <w:tc>
          <w:tcPr>
            <w:tcW w:type="dxa" w:w="1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W3</w:t>
            </w:r>
          </w:p>
        </w:tc>
        <w:tc>
          <w:tcPr>
            <w:tcW w:type="dxa" w:w="3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LinkedIn setup: company page + founder profile</w:t>
            </w:r>
          </w:p>
        </w:tc>
        <w:tc>
          <w:tcPr>
            <w:tcW w:type="dxa" w:w="1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Vinayak</w:t>
            </w:r>
          </w:p>
        </w:tc>
        <w:tc>
          <w:tcPr>
            <w:tcW w:type="dxa" w:w="3426"/>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Active LinkedIn presence</w:t>
            </w:r>
          </w:p>
        </w:tc>
      </w:tr>
      <w:tr>
        <w:tc>
          <w:tcPr>
            <w:tcW w:type="dxa" w:w="1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W3</w:t>
            </w:r>
          </w:p>
        </w:tc>
        <w:tc>
          <w:tcPr>
            <w:tcW w:type="dxa" w:w="3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Produce first 3 AI marketing videos (service explainers)</w:t>
            </w:r>
          </w:p>
        </w:tc>
        <w:tc>
          <w:tcPr>
            <w:tcW w:type="dxa" w:w="1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Vinayak + AI</w:t>
            </w:r>
          </w:p>
        </w:tc>
        <w:tc>
          <w:tcPr>
            <w:tcW w:type="dxa" w:w="3426"/>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Video content for website + LinkedIn</w:t>
            </w:r>
          </w:p>
        </w:tc>
      </w:tr>
      <w:tr>
        <w:tc>
          <w:tcPr>
            <w:tcW w:type="dxa" w:w="1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W3–W4</w:t>
            </w:r>
          </w:p>
        </w:tc>
        <w:tc>
          <w:tcPr>
            <w:tcW w:type="dxa" w:w="3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Register on allabolag.se, proff.se, Google Business</w:t>
            </w:r>
          </w:p>
        </w:tc>
        <w:tc>
          <w:tcPr>
            <w:tcW w:type="dxa" w:w="1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Vinayak</w:t>
            </w:r>
          </w:p>
        </w:tc>
        <w:tc>
          <w:tcPr>
            <w:tcW w:type="dxa" w:w="3426"/>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Directory listings live</w:t>
            </w:r>
          </w:p>
        </w:tc>
      </w:tr>
      <w:tr>
        <w:tc>
          <w:tcPr>
            <w:tcW w:type="dxa" w:w="1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W4–W5</w:t>
            </w:r>
          </w:p>
        </w:tc>
        <w:tc>
          <w:tcPr>
            <w:tcW w:type="dxa" w:w="3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Publish first 2 GEO articles</w:t>
            </w:r>
          </w:p>
        </w:tc>
        <w:tc>
          <w:tcPr>
            <w:tcW w:type="dxa" w:w="1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Vinayak + AI</w:t>
            </w:r>
          </w:p>
        </w:tc>
        <w:tc>
          <w:tcPr>
            <w:tcW w:type="dxa" w:w="3426"/>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Blog content live on website</w:t>
            </w:r>
          </w:p>
        </w:tc>
      </w:tr>
      <w:tr>
        <w:tc>
          <w:tcPr>
            <w:tcW w:type="dxa" w:w="1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W4–W6</w:t>
            </w:r>
          </w:p>
        </w:tc>
        <w:tc>
          <w:tcPr>
            <w:tcW w:type="dxa" w:w="3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Outreach to first 20 prospects</w:t>
            </w:r>
          </w:p>
        </w:tc>
        <w:tc>
          <w:tcPr>
            <w:tcW w:type="dxa" w:w="1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Vinayak</w:t>
            </w:r>
          </w:p>
        </w:tc>
        <w:tc>
          <w:tcPr>
            <w:tcW w:type="dxa" w:w="3426"/>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5–10 discovery calls booked</w:t>
            </w:r>
          </w:p>
        </w:tc>
      </w:tr>
      <w:tr>
        <w:tc>
          <w:tcPr>
            <w:tcW w:type="dxa" w:w="1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W6–W8</w:t>
            </w:r>
          </w:p>
        </w:tc>
        <w:tc>
          <w:tcPr>
            <w:tcW w:type="dxa" w:w="3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Close first 2–3 pilot projects</w:t>
            </w:r>
          </w:p>
        </w:tc>
        <w:tc>
          <w:tcPr>
            <w:tcW w:type="dxa" w:w="1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Vinayak</w:t>
            </w:r>
          </w:p>
        </w:tc>
        <w:tc>
          <w:tcPr>
            <w:tcW w:type="dxa" w:w="3426"/>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Signed contracts, revenue started</w:t>
            </w:r>
          </w:p>
        </w:tc>
      </w:tr>
      <w:tr>
        <w:tc>
          <w:tcPr>
            <w:tcW w:type="dxa" w:w="1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W8</w:t>
            </w:r>
          </w:p>
        </w:tc>
        <w:tc>
          <w:tcPr>
            <w:tcW w:type="dxa" w:w="3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Apply for Microsoft Partner Network</w:t>
            </w:r>
          </w:p>
        </w:tc>
        <w:tc>
          <w:tcPr>
            <w:tcW w:type="dxa" w:w="1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Engineering</w:t>
            </w:r>
          </w:p>
        </w:tc>
        <w:tc>
          <w:tcPr>
            <w:tcW w:type="dxa" w:w="3426"/>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Application submitted</w:t>
            </w:r>
          </w:p>
        </w:tc>
      </w:tr>
    </w:tbl>
    <w:p>
      <w:pPr>
        <w:spacing w:after="200"/>
      </w:pPr>
    </w:p>
    <w:p>
      <w:pPr>
        <w:pStyle w:val="Heading2"/>
      </w:pPr>
      <w:r>
        <w:t xml:space="preserve">Phase 2: Traction (July – September 2026)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26"/>
        <w:gridCol w:w="3000"/>
      </w:tblGrid>
      <w:tr>
        <w:trPr>
          <w:tblHeader/>
        </w:trPr>
        <w:tc>
          <w:tcPr>
            <w:tcW w:type="dxa" w:w="6026"/>
            <w:tcBorders>
              <w:top w:val="single" w:color="CBD5E1" w:sz="1"/>
              <w:left w:val="single" w:color="CBD5E1" w:sz="1"/>
              <w:bottom w:val="single" w:color="CBD5E1" w:sz="1"/>
              <w:right w:val="single" w:color="CBD5E1" w:sz="1"/>
            </w:tcBorders>
            <w:shd w:fill="1E3A8A" w:val="clear"/>
            <w:tcMar>
              <w:top w:type="dxa" w:w="100"/>
              <w:left w:type="dxa" w:w="140"/>
              <w:bottom w:type="dxa" w:w="100"/>
              <w:right w:type="dxa" w:w="140"/>
            </w:tcMar>
            <w:vAlign w:val="center"/>
          </w:tcPr>
          <w:p>
            <w:r>
              <w:rPr>
                <w:rFonts w:ascii="Arial" w:cs="Arial" w:eastAsia="Arial" w:hAnsi="Arial"/>
                <w:b/>
                <w:bCs/>
                <w:color w:val="FFFFFF"/>
                <w:sz w:val="20"/>
                <w:szCs w:val="20"/>
              </w:rPr>
              <w:t xml:space="preserve">Action</w:t>
            </w:r>
          </w:p>
        </w:tc>
        <w:tc>
          <w:tcPr>
            <w:tcW w:type="dxa" w:w="3000"/>
            <w:tcBorders>
              <w:top w:val="single" w:color="CBD5E1" w:sz="1"/>
              <w:left w:val="single" w:color="CBD5E1" w:sz="1"/>
              <w:bottom w:val="single" w:color="CBD5E1" w:sz="1"/>
              <w:right w:val="single" w:color="CBD5E1" w:sz="1"/>
            </w:tcBorders>
            <w:shd w:fill="1E3A8A" w:val="clear"/>
            <w:tcMar>
              <w:top w:type="dxa" w:w="100"/>
              <w:left w:type="dxa" w:w="140"/>
              <w:bottom w:type="dxa" w:w="100"/>
              <w:right w:type="dxa" w:w="140"/>
            </w:tcMar>
            <w:vAlign w:val="center"/>
          </w:tcPr>
          <w:p>
            <w:r>
              <w:rPr>
                <w:rFonts w:ascii="Arial" w:cs="Arial" w:eastAsia="Arial" w:hAnsi="Arial"/>
                <w:b/>
                <w:bCs/>
                <w:color w:val="FFFFFF"/>
                <w:sz w:val="20"/>
                <w:szCs w:val="20"/>
              </w:rPr>
              <w:t xml:space="preserve">Target</w:t>
            </w:r>
          </w:p>
        </w:tc>
      </w:tr>
      <w:tr>
        <w:tc>
          <w:tcPr>
            <w:tcW w:type="dxa" w:w="6026"/>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Deliver first pilot projects and collect testimonials</w:t>
            </w:r>
          </w:p>
        </w:tc>
        <w:tc>
          <w:tcPr>
            <w:tcW w:type="dxa" w:w="3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3–5 completed projects</w:t>
            </w:r>
          </w:p>
        </w:tc>
      </w:tr>
      <w:tr>
        <w:tc>
          <w:tcPr>
            <w:tcW w:type="dxa" w:w="6026"/>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Launch FAMANT MVP (calendar + tasks + voice)</w:t>
            </w:r>
          </w:p>
        </w:tc>
        <w:tc>
          <w:tcPr>
            <w:tcW w:type="dxa" w:w="3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50–100 beta users</w:t>
            </w:r>
          </w:p>
        </w:tc>
      </w:tr>
      <w:tr>
        <w:tc>
          <w:tcPr>
            <w:tcW w:type="dxa" w:w="6026"/>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Deploy first Custom AI Platform for a client</w:t>
            </w:r>
          </w:p>
        </w:tc>
        <w:tc>
          <w:tcPr>
            <w:tcW w:type="dxa" w:w="3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1 production deployment</w:t>
            </w:r>
          </w:p>
        </w:tc>
      </w:tr>
      <w:tr>
        <w:tc>
          <w:tcPr>
            <w:tcW w:type="dxa" w:w="6026"/>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Scale LinkedIn to 2x/week + monthly AI video</w:t>
            </w:r>
          </w:p>
        </w:tc>
        <w:tc>
          <w:tcPr>
            <w:tcW w:type="dxa" w:w="3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1,000+ connections</w:t>
            </w:r>
          </w:p>
        </w:tc>
      </w:tr>
      <w:tr>
        <w:tc>
          <w:tcPr>
            <w:tcW w:type="dxa" w:w="6026"/>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Begin evaluation of first rebranded SaaS product</w:t>
            </w:r>
          </w:p>
        </w:tc>
        <w:tc>
          <w:tcPr>
            <w:tcW w:type="dxa" w:w="3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1 product shortlisted</w:t>
            </w:r>
          </w:p>
        </w:tc>
      </w:tr>
      <w:tr>
        <w:tc>
          <w:tcPr>
            <w:tcW w:type="dxa" w:w="6026"/>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Onboard first India-based team members for Pillar 2</w:t>
            </w:r>
          </w:p>
        </w:tc>
        <w:tc>
          <w:tcPr>
            <w:tcW w:type="dxa" w:w="3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2–3 engineers</w:t>
            </w:r>
          </w:p>
        </w:tc>
      </w:tr>
      <w:tr>
        <w:tc>
          <w:tcPr>
            <w:tcW w:type="dxa" w:w="6026"/>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Publish first case study on website</w:t>
            </w:r>
          </w:p>
        </w:tc>
        <w:tc>
          <w:tcPr>
            <w:tcW w:type="dxa" w:w="3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1 anonymised case study</w:t>
            </w:r>
          </w:p>
        </w:tc>
      </w:tr>
      <w:tr>
        <w:tc>
          <w:tcPr>
            <w:tcW w:type="dxa" w:w="6026"/>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Run first GEO service engagement for a client</w:t>
            </w:r>
          </w:p>
        </w:tc>
        <w:tc>
          <w:tcPr>
            <w:tcW w:type="dxa" w:w="3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1 GEO retainer signed</w:t>
            </w:r>
          </w:p>
        </w:tc>
      </w:tr>
    </w:tbl>
    <w:p>
      <w:pPr>
        <w:spacing w:after="200"/>
      </w:pPr>
    </w:p>
    <w:p>
      <w:pPr>
        <w:pStyle w:val="Heading2"/>
      </w:pPr>
      <w:r>
        <w:t xml:space="preserve">Phase 3: Scale (October – December 2026)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26"/>
        <w:gridCol w:w="3000"/>
      </w:tblGrid>
      <w:tr>
        <w:trPr>
          <w:tblHeader/>
        </w:trPr>
        <w:tc>
          <w:tcPr>
            <w:tcW w:type="dxa" w:w="6026"/>
            <w:tcBorders>
              <w:top w:val="single" w:color="CBD5E1" w:sz="1"/>
              <w:left w:val="single" w:color="CBD5E1" w:sz="1"/>
              <w:bottom w:val="single" w:color="CBD5E1" w:sz="1"/>
              <w:right w:val="single" w:color="CBD5E1" w:sz="1"/>
            </w:tcBorders>
            <w:shd w:fill="1E3A8A" w:val="clear"/>
            <w:tcMar>
              <w:top w:type="dxa" w:w="100"/>
              <w:left w:type="dxa" w:w="140"/>
              <w:bottom w:type="dxa" w:w="100"/>
              <w:right w:type="dxa" w:w="140"/>
            </w:tcMar>
            <w:vAlign w:val="center"/>
          </w:tcPr>
          <w:p>
            <w:r>
              <w:rPr>
                <w:rFonts w:ascii="Arial" w:cs="Arial" w:eastAsia="Arial" w:hAnsi="Arial"/>
                <w:b/>
                <w:bCs/>
                <w:color w:val="FFFFFF"/>
                <w:sz w:val="20"/>
                <w:szCs w:val="20"/>
              </w:rPr>
              <w:t xml:space="preserve">Action</w:t>
            </w:r>
          </w:p>
        </w:tc>
        <w:tc>
          <w:tcPr>
            <w:tcW w:type="dxa" w:w="3000"/>
            <w:tcBorders>
              <w:top w:val="single" w:color="CBD5E1" w:sz="1"/>
              <w:left w:val="single" w:color="CBD5E1" w:sz="1"/>
              <w:bottom w:val="single" w:color="CBD5E1" w:sz="1"/>
              <w:right w:val="single" w:color="CBD5E1" w:sz="1"/>
            </w:tcBorders>
            <w:shd w:fill="1E3A8A" w:val="clear"/>
            <w:tcMar>
              <w:top w:type="dxa" w:w="100"/>
              <w:left w:type="dxa" w:w="140"/>
              <w:bottom w:type="dxa" w:w="100"/>
              <w:right w:type="dxa" w:w="140"/>
            </w:tcMar>
            <w:vAlign w:val="center"/>
          </w:tcPr>
          <w:p>
            <w:r>
              <w:rPr>
                <w:rFonts w:ascii="Arial" w:cs="Arial" w:eastAsia="Arial" w:hAnsi="Arial"/>
                <w:b/>
                <w:bCs/>
                <w:color w:val="FFFFFF"/>
                <w:sz w:val="20"/>
                <w:szCs w:val="20"/>
              </w:rPr>
              <w:t xml:space="preserve">Target</w:t>
            </w:r>
          </w:p>
        </w:tc>
      </w:tr>
      <w:tr>
        <w:tc>
          <w:tcPr>
            <w:tcW w:type="dxa" w:w="6026"/>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FAMANT V1.0 launch (full feature set)</w:t>
            </w:r>
          </w:p>
        </w:tc>
        <w:tc>
          <w:tcPr>
            <w:tcW w:type="dxa" w:w="3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Paid subscribers acquired</w:t>
            </w:r>
          </w:p>
        </w:tc>
      </w:tr>
      <w:tr>
        <w:tc>
          <w:tcPr>
            <w:tcW w:type="dxa" w:w="6026"/>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First rebranded SaaS live in EU market</w:t>
            </w:r>
          </w:p>
        </w:tc>
        <w:tc>
          <w:tcPr>
            <w:tcW w:type="dxa" w:w="3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Product listed, first customers</w:t>
            </w:r>
          </w:p>
        </w:tc>
      </w:tr>
      <w:tr>
        <w:tc>
          <w:tcPr>
            <w:tcW w:type="dxa" w:w="6026"/>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Expand Pillar 2 delivery capacity</w:t>
            </w:r>
          </w:p>
        </w:tc>
        <w:tc>
          <w:tcPr>
            <w:tcW w:type="dxa" w:w="3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5–8 engineers in team</w:t>
            </w:r>
          </w:p>
        </w:tc>
      </w:tr>
      <w:tr>
        <w:tc>
          <w:tcPr>
            <w:tcW w:type="dxa" w:w="6026"/>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AI video portfolio: 10+ client and self-produced videos</w:t>
            </w:r>
          </w:p>
        </w:tc>
        <w:tc>
          <w:tcPr>
            <w:tcW w:type="dxa" w:w="3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Proven capability showcase</w:t>
            </w:r>
          </w:p>
        </w:tc>
      </w:tr>
      <w:tr>
        <w:tc>
          <w:tcPr>
            <w:tcW w:type="dxa" w:w="6026"/>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3+ Custom AI Platforms in production</w:t>
            </w:r>
          </w:p>
        </w:tc>
        <w:tc>
          <w:tcPr>
            <w:tcW w:type="dxa" w:w="3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Recurring platform revenue</w:t>
            </w:r>
          </w:p>
        </w:tc>
      </w:tr>
      <w:tr>
        <w:tc>
          <w:tcPr>
            <w:tcW w:type="dxa" w:w="6026"/>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Annual financial close preparation</w:t>
            </w:r>
          </w:p>
        </w:tc>
        <w:tc>
          <w:tcPr>
            <w:tcW w:type="dxa" w:w="3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Clean bokslut for first fiscal year</w:t>
            </w:r>
          </w:p>
        </w:tc>
      </w:tr>
      <w:tr>
        <w:tc>
          <w:tcPr>
            <w:tcW w:type="dxa" w:w="6026"/>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Evaluate aktiekapital increase to 100,000 SEK</w:t>
            </w:r>
          </w:p>
        </w:tc>
        <w:tc>
          <w:tcPr>
            <w:tcW w:type="dxa" w:w="3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Board decision based on trajectory</w:t>
            </w:r>
          </w:p>
        </w:tc>
      </w:tr>
      <w:tr>
        <w:tc>
          <w:tcPr>
            <w:tcW w:type="dxa" w:w="6026"/>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Draft 2027 strategy</w:t>
            </w:r>
          </w:p>
        </w:tc>
        <w:tc>
          <w:tcPr>
            <w:tcW w:type="dxa" w:w="3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2027 plan ready</w:t>
            </w:r>
          </w:p>
        </w:tc>
      </w:tr>
    </w:tbl>
    <w:p>
      <w:pPr>
        <w:spacing w:after="200"/>
      </w:pPr>
    </w:p>
    <w:p>
      <w:r>
        <w:br w:type="page"/>
      </w:r>
    </w:p>
    <w:p>
      <w:pPr>
        <w:pStyle w:val="Heading1"/>
      </w:pPr>
      <w:r>
        <w:t xml:space="preserve">14. Risk Analysis</w:t>
      </w:r>
    </w:p>
    <w:p>
      <w:pPr>
        <w:pBdr>
          <w:bottom w:val="single" w:color="D4A017" w:sz="4" w:space="8"/>
        </w:pBdr>
        <w:spacing w:after="200" w:before="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0"/>
        <w:gridCol w:w="800"/>
        <w:gridCol w:w="5526"/>
      </w:tblGrid>
      <w:tr>
        <w:trPr>
          <w:tblHeader/>
        </w:trPr>
        <w:tc>
          <w:tcPr>
            <w:tcW w:type="dxa" w:w="2000"/>
            <w:tcBorders>
              <w:top w:val="single" w:color="CBD5E1" w:sz="1"/>
              <w:left w:val="single" w:color="CBD5E1" w:sz="1"/>
              <w:bottom w:val="single" w:color="CBD5E1" w:sz="1"/>
              <w:right w:val="single" w:color="CBD5E1" w:sz="1"/>
            </w:tcBorders>
            <w:shd w:fill="1E3A8A" w:val="clear"/>
            <w:tcMar>
              <w:top w:type="dxa" w:w="100"/>
              <w:left w:type="dxa" w:w="140"/>
              <w:bottom w:type="dxa" w:w="100"/>
              <w:right w:type="dxa" w:w="140"/>
            </w:tcMar>
            <w:vAlign w:val="center"/>
          </w:tcPr>
          <w:p>
            <w:r>
              <w:rPr>
                <w:rFonts w:ascii="Arial" w:cs="Arial" w:eastAsia="Arial" w:hAnsi="Arial"/>
                <w:b/>
                <w:bCs/>
                <w:color w:val="FFFFFF"/>
                <w:sz w:val="20"/>
                <w:szCs w:val="20"/>
              </w:rPr>
              <w:t xml:space="preserve">Risk</w:t>
            </w:r>
          </w:p>
        </w:tc>
        <w:tc>
          <w:tcPr>
            <w:tcW w:type="dxa" w:w="700"/>
            <w:tcBorders>
              <w:top w:val="single" w:color="CBD5E1" w:sz="1"/>
              <w:left w:val="single" w:color="CBD5E1" w:sz="1"/>
              <w:bottom w:val="single" w:color="CBD5E1" w:sz="1"/>
              <w:right w:val="single" w:color="CBD5E1" w:sz="1"/>
            </w:tcBorders>
            <w:shd w:fill="1E3A8A" w:val="clear"/>
            <w:tcMar>
              <w:top w:type="dxa" w:w="100"/>
              <w:left w:type="dxa" w:w="140"/>
              <w:bottom w:type="dxa" w:w="100"/>
              <w:right w:type="dxa" w:w="140"/>
            </w:tcMar>
            <w:vAlign w:val="center"/>
          </w:tcPr>
          <w:p>
            <w:r>
              <w:rPr>
                <w:rFonts w:ascii="Arial" w:cs="Arial" w:eastAsia="Arial" w:hAnsi="Arial"/>
                <w:b/>
                <w:bCs/>
                <w:color w:val="FFFFFF"/>
                <w:sz w:val="20"/>
                <w:szCs w:val="20"/>
              </w:rPr>
              <w:t xml:space="preserve">Prob.</w:t>
            </w:r>
          </w:p>
        </w:tc>
        <w:tc>
          <w:tcPr>
            <w:tcW w:type="dxa" w:w="800"/>
            <w:tcBorders>
              <w:top w:val="single" w:color="CBD5E1" w:sz="1"/>
              <w:left w:val="single" w:color="CBD5E1" w:sz="1"/>
              <w:bottom w:val="single" w:color="CBD5E1" w:sz="1"/>
              <w:right w:val="single" w:color="CBD5E1" w:sz="1"/>
            </w:tcBorders>
            <w:shd w:fill="1E3A8A" w:val="clear"/>
            <w:tcMar>
              <w:top w:type="dxa" w:w="100"/>
              <w:left w:type="dxa" w:w="140"/>
              <w:bottom w:type="dxa" w:w="100"/>
              <w:right w:type="dxa" w:w="140"/>
            </w:tcMar>
            <w:vAlign w:val="center"/>
          </w:tcPr>
          <w:p>
            <w:r>
              <w:rPr>
                <w:rFonts w:ascii="Arial" w:cs="Arial" w:eastAsia="Arial" w:hAnsi="Arial"/>
                <w:b/>
                <w:bCs/>
                <w:color w:val="FFFFFF"/>
                <w:sz w:val="20"/>
                <w:szCs w:val="20"/>
              </w:rPr>
              <w:t xml:space="preserve">Impact</w:t>
            </w:r>
          </w:p>
        </w:tc>
        <w:tc>
          <w:tcPr>
            <w:tcW w:type="dxa" w:w="5526"/>
            <w:tcBorders>
              <w:top w:val="single" w:color="CBD5E1" w:sz="1"/>
              <w:left w:val="single" w:color="CBD5E1" w:sz="1"/>
              <w:bottom w:val="single" w:color="CBD5E1" w:sz="1"/>
              <w:right w:val="single" w:color="CBD5E1" w:sz="1"/>
            </w:tcBorders>
            <w:shd w:fill="1E3A8A" w:val="clear"/>
            <w:tcMar>
              <w:top w:type="dxa" w:w="100"/>
              <w:left w:type="dxa" w:w="140"/>
              <w:bottom w:type="dxa" w:w="100"/>
              <w:right w:type="dxa" w:w="140"/>
            </w:tcMar>
            <w:vAlign w:val="center"/>
          </w:tcPr>
          <w:p>
            <w:r>
              <w:rPr>
                <w:rFonts w:ascii="Arial" w:cs="Arial" w:eastAsia="Arial" w:hAnsi="Arial"/>
                <w:b/>
                <w:bCs/>
                <w:color w:val="FFFFFF"/>
                <w:sz w:val="20"/>
                <w:szCs w:val="20"/>
              </w:rPr>
              <w:t xml:space="preserve">Mitigation</w:t>
            </w:r>
          </w:p>
        </w:tc>
      </w:tr>
      <w:tr>
        <w:tc>
          <w:tcPr>
            <w:tcW w:type="dxa" w:w="2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Slow client acquisition</w:t>
            </w:r>
          </w:p>
        </w:tc>
        <w:tc>
          <w:tcPr>
            <w:tcW w:type="dxa" w:w="7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Med</w:t>
            </w:r>
          </w:p>
        </w:tc>
        <w:tc>
          <w:tcPr>
            <w:tcW w:type="dxa" w:w="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High</w:t>
            </w:r>
          </w:p>
        </w:tc>
        <w:tc>
          <w:tcPr>
            <w:tcW w:type="dxa" w:w="5526"/>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Parallel outbound + inbound, free diagnostics as lead magnets</w:t>
            </w:r>
          </w:p>
        </w:tc>
      </w:tr>
      <w:tr>
        <w:tc>
          <w:tcPr>
            <w:tcW w:type="dxa" w:w="2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EU AI Act complexity</w:t>
            </w:r>
          </w:p>
        </w:tc>
        <w:tc>
          <w:tcPr>
            <w:tcW w:type="dxa" w:w="7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Low</w:t>
            </w:r>
          </w:p>
        </w:tc>
        <w:tc>
          <w:tcPr>
            <w:tcW w:type="dxa" w:w="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Med</w:t>
            </w:r>
          </w:p>
        </w:tc>
        <w:tc>
          <w:tcPr>
            <w:tcW w:type="dxa" w:w="5526"/>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Partner with Swedish tech law firm</w:t>
            </w:r>
          </w:p>
        </w:tc>
      </w:tr>
      <w:tr>
        <w:tc>
          <w:tcPr>
            <w:tcW w:type="dxa" w:w="2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FAMANT product-market fit</w:t>
            </w:r>
          </w:p>
        </w:tc>
        <w:tc>
          <w:tcPr>
            <w:tcW w:type="dxa" w:w="7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Med</w:t>
            </w:r>
          </w:p>
        </w:tc>
        <w:tc>
          <w:tcPr>
            <w:tcW w:type="dxa" w:w="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Med</w:t>
            </w:r>
          </w:p>
        </w:tc>
        <w:tc>
          <w:tcPr>
            <w:tcW w:type="dxa" w:w="5526"/>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Lean MVP, iterate on user feedback before scaling</w:t>
            </w:r>
          </w:p>
        </w:tc>
      </w:tr>
      <w:tr>
        <w:tc>
          <w:tcPr>
            <w:tcW w:type="dxa" w:w="2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Rebranded SaaS quality issues</w:t>
            </w:r>
          </w:p>
        </w:tc>
        <w:tc>
          <w:tcPr>
            <w:tcW w:type="dxa" w:w="7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Med</w:t>
            </w:r>
          </w:p>
        </w:tc>
        <w:tc>
          <w:tcPr>
            <w:tcW w:type="dxa" w:w="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High</w:t>
            </w:r>
          </w:p>
        </w:tc>
        <w:tc>
          <w:tcPr>
            <w:tcW w:type="dxa" w:w="5526"/>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Rigorous eval criteria, contractual SLAs with developers</w:t>
            </w:r>
          </w:p>
        </w:tc>
      </w:tr>
      <w:tr>
        <w:tc>
          <w:tcPr>
            <w:tcW w:type="dxa" w:w="2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Key person dependency</w:t>
            </w:r>
          </w:p>
        </w:tc>
        <w:tc>
          <w:tcPr>
            <w:tcW w:type="dxa" w:w="7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High</w:t>
            </w:r>
          </w:p>
        </w:tc>
        <w:tc>
          <w:tcPr>
            <w:tcW w:type="dxa" w:w="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High</w:t>
            </w:r>
          </w:p>
        </w:tc>
        <w:tc>
          <w:tcPr>
            <w:tcW w:type="dxa" w:w="5526"/>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Document processes, build team early, consider advisory board</w:t>
            </w:r>
          </w:p>
        </w:tc>
      </w:tr>
      <w:tr>
        <w:tc>
          <w:tcPr>
            <w:tcW w:type="dxa" w:w="2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AI model pricing volatility</w:t>
            </w:r>
          </w:p>
        </w:tc>
        <w:tc>
          <w:tcPr>
            <w:tcW w:type="dxa" w:w="7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Med</w:t>
            </w:r>
          </w:p>
        </w:tc>
        <w:tc>
          <w:tcPr>
            <w:tcW w:type="dxa" w:w="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Med</w:t>
            </w:r>
          </w:p>
        </w:tc>
        <w:tc>
          <w:tcPr>
            <w:tcW w:type="dxa" w:w="5526"/>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Model-agnostic architecture, easy provider switching</w:t>
            </w:r>
          </w:p>
        </w:tc>
      </w:tr>
      <w:tr>
        <w:tc>
          <w:tcPr>
            <w:tcW w:type="dxa" w:w="2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GEO service efficacy uncertainty</w:t>
            </w:r>
          </w:p>
        </w:tc>
        <w:tc>
          <w:tcPr>
            <w:tcW w:type="dxa" w:w="7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Med</w:t>
            </w:r>
          </w:p>
        </w:tc>
        <w:tc>
          <w:tcPr>
            <w:tcW w:type="dxa" w:w="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Med</w:t>
            </w:r>
          </w:p>
        </w:tc>
        <w:tc>
          <w:tcPr>
            <w:tcW w:type="dxa" w:w="5526"/>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Promise process and visibility improvements, not guaranteed rankings</w:t>
            </w:r>
          </w:p>
        </w:tc>
      </w:tr>
      <w:tr>
        <w:tc>
          <w:tcPr>
            <w:tcW w:type="dxa" w:w="2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Competitive response</w:t>
            </w:r>
          </w:p>
        </w:tc>
        <w:tc>
          <w:tcPr>
            <w:tcW w:type="dxa" w:w="7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Low</w:t>
            </w:r>
          </w:p>
        </w:tc>
        <w:tc>
          <w:tcPr>
            <w:tcW w:type="dxa" w:w="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Low</w:t>
            </w:r>
          </w:p>
        </w:tc>
        <w:tc>
          <w:tcPr>
            <w:tcW w:type="dxa" w:w="5526"/>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Specialisation moat: AI + SME + Swedish compliance</w:t>
            </w:r>
          </w:p>
        </w:tc>
      </w:tr>
    </w:tbl>
    <w:p>
      <w:pPr>
        <w:spacing w:after="200"/>
      </w:pPr>
    </w:p>
    <w:p>
      <w:r>
        <w:br w:type="page"/>
      </w:r>
    </w:p>
    <w:p>
      <w:pPr>
        <w:pStyle w:val="Heading1"/>
      </w:pPr>
      <w:r>
        <w:t xml:space="preserve">15. Immediate Next Steps</w:t>
      </w:r>
    </w:p>
    <w:p>
      <w:pPr>
        <w:pBdr>
          <w:bottom w:val="single" w:color="D4A017" w:sz="4" w:space="8"/>
        </w:pBdr>
        <w:spacing w:after="200" w:before="100"/>
      </w:pPr>
    </w:p>
    <w:p>
      <w:pPr>
        <w:spacing w:after="160" w:line="300"/>
        <w:jc w:val="both"/>
      </w:pPr>
      <w:r>
        <w:rPr>
          <w:rFonts w:ascii="Arial" w:cs="Arial" w:eastAsia="Arial" w:hAnsi="Arial"/>
          <w:color w:val="334155"/>
          <w:sz w:val="22"/>
          <w:szCs w:val="22"/>
        </w:rPr>
        <w:t xml:space="preserve">Upon approval of this business plan, execute within the first two weeks:</w:t>
      </w:r>
    </w:p>
    <w:p>
      <w:pPr>
        <w:spacing w:after="160" w:line="300"/>
        <w:jc w:val="both"/>
      </w:pPr>
      <w:r>
        <w:rPr>
          <w:rFonts w:ascii="Arial" w:cs="Arial" w:eastAsia="Arial" w:hAnsi="Arial"/>
          <w:b/>
          <w:bCs/>
          <w:color w:val="0F172A"/>
          <w:sz w:val="22"/>
          <w:szCs w:val="22"/>
        </w:rPr>
        <w:t xml:space="preserve">1. </w:t>
      </w:r>
      <w:r>
        <w:rPr>
          <w:rFonts w:ascii="Arial" w:cs="Arial" w:eastAsia="Arial" w:hAnsi="Arial"/>
          <w:color w:val="334155"/>
          <w:sz w:val="22"/>
          <w:szCs w:val="22"/>
        </w:rPr>
        <w:t xml:space="preserve">Approve this document as the operating blueprint for ANTUTIVE AB.</w:t>
      </w:r>
    </w:p>
    <w:p>
      <w:pPr>
        <w:spacing w:after="160" w:line="300"/>
        <w:jc w:val="both"/>
      </w:pPr>
      <w:r>
        <w:rPr>
          <w:rFonts w:ascii="Arial" w:cs="Arial" w:eastAsia="Arial" w:hAnsi="Arial"/>
          <w:b/>
          <w:bCs/>
          <w:color w:val="0F172A"/>
          <w:sz w:val="22"/>
          <w:szCs w:val="22"/>
        </w:rPr>
        <w:t xml:space="preserve">2. </w:t>
      </w:r>
      <w:r>
        <w:rPr>
          <w:rFonts w:ascii="Arial" w:cs="Arial" w:eastAsia="Arial" w:hAnsi="Arial"/>
          <w:color w:val="334155"/>
          <w:sz w:val="22"/>
          <w:szCs w:val="22"/>
        </w:rPr>
        <w:t xml:space="preserve">Begin website development based on the structure in Section 10.1.</w:t>
      </w:r>
    </w:p>
    <w:p>
      <w:pPr>
        <w:spacing w:after="160" w:line="300"/>
        <w:jc w:val="both"/>
      </w:pPr>
      <w:r>
        <w:rPr>
          <w:rFonts w:ascii="Arial" w:cs="Arial" w:eastAsia="Arial" w:hAnsi="Arial"/>
          <w:b/>
          <w:bCs/>
          <w:color w:val="0F172A"/>
          <w:sz w:val="22"/>
          <w:szCs w:val="22"/>
        </w:rPr>
        <w:t xml:space="preserve">3. </w:t>
      </w:r>
      <w:r>
        <w:rPr>
          <w:rFonts w:ascii="Arial" w:cs="Arial" w:eastAsia="Arial" w:hAnsi="Arial"/>
          <w:color w:val="334155"/>
          <w:sz w:val="22"/>
          <w:szCs w:val="22"/>
        </w:rPr>
        <w:t xml:space="preserve">Produce first 3 AI service explainer videos using ANTUTIVE’s own AI video capability.</w:t>
      </w:r>
    </w:p>
    <w:p>
      <w:pPr>
        <w:spacing w:after="160" w:line="300"/>
        <w:jc w:val="both"/>
      </w:pPr>
      <w:r>
        <w:rPr>
          <w:rFonts w:ascii="Arial" w:cs="Arial" w:eastAsia="Arial" w:hAnsi="Arial"/>
          <w:b/>
          <w:bCs/>
          <w:color w:val="0F172A"/>
          <w:sz w:val="22"/>
          <w:szCs w:val="22"/>
        </w:rPr>
        <w:t xml:space="preserve">4. </w:t>
      </w:r>
      <w:r>
        <w:rPr>
          <w:rFonts w:ascii="Arial" w:cs="Arial" w:eastAsia="Arial" w:hAnsi="Arial"/>
          <w:color w:val="334155"/>
          <w:sz w:val="22"/>
          <w:szCs w:val="22"/>
        </w:rPr>
        <w:t xml:space="preserve">Set up LinkedIn with professional profile, optimised headline, and first week of content.</w:t>
      </w:r>
    </w:p>
    <w:p>
      <w:pPr>
        <w:spacing w:after="160" w:line="300"/>
        <w:jc w:val="both"/>
      </w:pPr>
      <w:r>
        <w:rPr>
          <w:rFonts w:ascii="Arial" w:cs="Arial" w:eastAsia="Arial" w:hAnsi="Arial"/>
          <w:b/>
          <w:bCs/>
          <w:color w:val="0F172A"/>
          <w:sz w:val="22"/>
          <w:szCs w:val="22"/>
        </w:rPr>
        <w:t xml:space="preserve">5. </w:t>
      </w:r>
      <w:r>
        <w:rPr>
          <w:rFonts w:ascii="Arial" w:cs="Arial" w:eastAsia="Arial" w:hAnsi="Arial"/>
          <w:color w:val="334155"/>
          <w:sz w:val="22"/>
          <w:szCs w:val="22"/>
        </w:rPr>
        <w:t xml:space="preserve">Register on Google Business Profile, allabolag.se, and proff.se.</w:t>
      </w:r>
    </w:p>
    <w:p>
      <w:pPr>
        <w:spacing w:after="160" w:line="300"/>
        <w:jc w:val="both"/>
      </w:pPr>
      <w:r>
        <w:rPr>
          <w:rFonts w:ascii="Arial" w:cs="Arial" w:eastAsia="Arial" w:hAnsi="Arial"/>
          <w:b/>
          <w:bCs/>
          <w:color w:val="0F172A"/>
          <w:sz w:val="22"/>
          <w:szCs w:val="22"/>
        </w:rPr>
        <w:t xml:space="preserve">6. </w:t>
      </w:r>
      <w:r>
        <w:rPr>
          <w:rFonts w:ascii="Arial" w:cs="Arial" w:eastAsia="Arial" w:hAnsi="Arial"/>
          <w:color w:val="334155"/>
          <w:sz w:val="22"/>
          <w:szCs w:val="22"/>
        </w:rPr>
        <w:t xml:space="preserve">Draft first 2 GEO-optimised articles for the blog.</w:t>
      </w:r>
    </w:p>
    <w:p>
      <w:pPr>
        <w:spacing w:after="160" w:line="300"/>
        <w:jc w:val="both"/>
      </w:pPr>
      <w:r>
        <w:rPr>
          <w:rFonts w:ascii="Arial" w:cs="Arial" w:eastAsia="Arial" w:hAnsi="Arial"/>
          <w:b/>
          <w:bCs/>
          <w:color w:val="0F172A"/>
          <w:sz w:val="22"/>
          <w:szCs w:val="22"/>
        </w:rPr>
        <w:t xml:space="preserve">7. </w:t>
      </w:r>
      <w:r>
        <w:rPr>
          <w:rFonts w:ascii="Arial" w:cs="Arial" w:eastAsia="Arial" w:hAnsi="Arial"/>
          <w:color w:val="334155"/>
          <w:sz w:val="22"/>
          <w:szCs w:val="22"/>
        </w:rPr>
        <w:t xml:space="preserve">Identify and contact the first 20 target prospects in Västra Götaland.</w:t>
      </w:r>
    </w:p>
    <w:p>
      <w:pPr>
        <w:spacing w:after="160" w:line="300"/>
        <w:jc w:val="both"/>
      </w:pPr>
      <w:r>
        <w:rPr>
          <w:rFonts w:ascii="Arial" w:cs="Arial" w:eastAsia="Arial" w:hAnsi="Arial"/>
          <w:b/>
          <w:bCs/>
          <w:color w:val="0F172A"/>
          <w:sz w:val="22"/>
          <w:szCs w:val="22"/>
        </w:rPr>
        <w:t xml:space="preserve">8. </w:t>
      </w:r>
      <w:r>
        <w:rPr>
          <w:rFonts w:ascii="Arial" w:cs="Arial" w:eastAsia="Arial" w:hAnsi="Arial"/>
          <w:color w:val="334155"/>
          <w:sz w:val="22"/>
          <w:szCs w:val="22"/>
        </w:rPr>
        <w:t xml:space="preserve">Begin FAMANT MVP development sprint.</w:t>
      </w:r>
    </w:p>
    <w:p>
      <w:pPr>
        <w:spacing w:after="160" w:line="300"/>
        <w:jc w:val="both"/>
      </w:pPr>
      <w:r>
        <w:rPr>
          <w:rFonts w:ascii="Arial" w:cs="Arial" w:eastAsia="Arial" w:hAnsi="Arial"/>
          <w:b/>
          <w:bCs/>
          <w:color w:val="0F172A"/>
          <w:sz w:val="22"/>
          <w:szCs w:val="22"/>
        </w:rPr>
        <w:t xml:space="preserve">9. </w:t>
      </w:r>
      <w:r>
        <w:rPr>
          <w:rFonts w:ascii="Arial" w:cs="Arial" w:eastAsia="Arial" w:hAnsi="Arial"/>
          <w:color w:val="334155"/>
          <w:sz w:val="22"/>
          <w:szCs w:val="22"/>
        </w:rPr>
        <w:t xml:space="preserve">Establish EUR invoicing capability.</w:t>
      </w:r>
    </w:p>
    <w:p>
      <w:pPr>
        <w:spacing w:after="160" w:line="300"/>
        <w:jc w:val="both"/>
      </w:pPr>
      <w:r>
        <w:rPr>
          <w:rFonts w:ascii="Arial" w:cs="Arial" w:eastAsia="Arial" w:hAnsi="Arial"/>
          <w:b/>
          <w:bCs/>
          <w:color w:val="0F172A"/>
          <w:sz w:val="22"/>
          <w:szCs w:val="22"/>
        </w:rPr>
        <w:t xml:space="preserve">10. </w:t>
      </w:r>
      <w:r>
        <w:rPr>
          <w:rFonts w:ascii="Arial" w:cs="Arial" w:eastAsia="Arial" w:hAnsi="Arial"/>
          <w:color w:val="334155"/>
          <w:sz w:val="22"/>
          <w:szCs w:val="22"/>
        </w:rPr>
        <w:t xml:space="preserve">Identify first 3 candidate SaaS products from India network for EU rebranding evaluation.</w:t>
      </w:r>
    </w:p>
    <w:p>
      <w:pPr>
        <w:spacing w:after="400"/>
      </w:pPr>
    </w:p>
    <w:p>
      <w:pPr>
        <w:pBdr>
          <w:top w:val="single" w:color="D4A017" w:sz="4" w:space="12"/>
        </w:pBdr>
        <w:spacing w:before="400"/>
      </w:pPr>
    </w:p>
    <w:p>
      <w:pPr>
        <w:spacing w:after="80"/>
        <w:jc w:val="center"/>
      </w:pPr>
      <w:r>
        <w:rPr>
          <w:rFonts w:ascii="Arial" w:cs="Arial" w:eastAsia="Arial" w:hAnsi="Arial"/>
          <w:b/>
          <w:bCs/>
          <w:color w:val="0F172A"/>
          <w:sz w:val="20"/>
          <w:szCs w:val="20"/>
        </w:rPr>
        <w:t xml:space="preserve">ANTUTIVE AB</w:t>
      </w:r>
    </w:p>
    <w:p>
      <w:pPr>
        <w:jc w:val="center"/>
      </w:pPr>
      <w:r>
        <w:rPr>
          <w:rFonts w:ascii="Arial" w:cs="Arial" w:eastAsia="Arial" w:hAnsi="Arial"/>
          <w:color w:val="94A3B8"/>
          <w:sz w:val="16"/>
          <w:szCs w:val="16"/>
        </w:rPr>
        <w:t xml:space="preserve">559576-7228 | Göteborg, Sweden | Confidential</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4A3B8"/>
        <w:sz w:val="16"/>
        <w:szCs w:val="16"/>
      </w:rPr>
      <w:t xml:space="preserve">Confidential — Page </w:t>
    </w:r>
    <w:r>
      <w:rPr>
        <w:rFonts w:ascii="Arial" w:cs="Arial" w:eastAsia="Arial" w:hAnsi="Arial"/>
        <w:color w:val="94A3B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E8F0" w:sz="2" w:space="4"/>
      </w:pBdr>
      <w:tabs>
        <w:tab w:val="right" w:pos="9026"/>
      </w:tabs>
    </w:pPr>
    <w:r>
      <w:rPr>
        <w:rFonts w:ascii="Arial" w:cs="Arial" w:eastAsia="Arial" w:hAnsi="Arial"/>
        <w:b/>
        <w:bCs/>
        <w:color w:val="94A3B8"/>
        <w:sz w:val="16"/>
        <w:szCs w:val="16"/>
      </w:rPr>
      <w:t xml:space="preserve">ANTUTIVE AB</w:t>
    </w:r>
    <w:r>
      <w:rPr>
        <w:rFonts w:ascii="Arial" w:cs="Arial" w:eastAsia="Arial" w:hAnsi="Arial"/>
        <w:color w:val="94A3B8"/>
        <w:sz w:val="16"/>
        <w:szCs w:val="16"/>
      </w:rPr>
      <w:t xml:space="preserve">	Strategic Business Plan 2026–2027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bullet"/>
      <w:lvlText w:val="•"/>
      <w:lvlJc w:val="left"/>
      <w:pPr>
        <w:ind w:left="720" w:hanging="360"/>
      </w:pPr>
    </w:lvl>
  </w:abstractNum>
  <w:abstractNum w:abstractNumId="16" w15:restartNumberingAfterBreak="0">
    <w:multiLevelType w:val="hybridMultilevel"/>
    <w:lvl w:ilvl="0" w15:tentative="1">
      <w:start w:val="1"/>
      <w:numFmt w:val="bullet"/>
      <w:lvlText w:val="•"/>
      <w:lvlJc w:val="left"/>
      <w:pPr>
        <w:ind w:left="720" w:hanging="360"/>
      </w:pPr>
    </w:lvl>
  </w:abstractNum>
  <w:abstractNum w:abstractNumId="17" w15:restartNumberingAfterBreak="0">
    <w:multiLevelType w:val="hybridMultilevel"/>
    <w:lvl w:ilvl="0" w15:tentative="1">
      <w:start w:val="1"/>
      <w:numFmt w:val="bullet"/>
      <w:lvlText w:val="•"/>
      <w:lvlJc w:val="left"/>
      <w:pPr>
        <w:ind w:left="720" w:hanging="360"/>
      </w:pPr>
    </w:lvl>
  </w:abstractNum>
  <w:abstractNum w:abstractNumId="18" w15:restartNumberingAfterBreak="0">
    <w:multiLevelType w:val="hybridMultilevel"/>
    <w:lvl w:ilvl="0" w15:tentative="1">
      <w:start w:val="1"/>
      <w:numFmt w:val="bullet"/>
      <w:lvlText w:val="•"/>
      <w:lvlJc w:val="left"/>
      <w:pPr>
        <w:ind w:left="720" w:hanging="360"/>
      </w:pPr>
    </w:lvl>
  </w:abstractNum>
  <w:abstractNum w:abstractNumId="19" w15:restartNumberingAfterBreak="0">
    <w:multiLevelType w:val="hybridMultilevel"/>
    <w:lvl w:ilvl="0" w15:tentative="1">
      <w:start w:val="1"/>
      <w:numFmt w:val="bullet"/>
      <w:lvlText w:val="•"/>
      <w:lvlJc w:val="left"/>
      <w:pPr>
        <w:ind w:left="720" w:hanging="360"/>
      </w:pPr>
    </w:lvl>
  </w:abstractNum>
  <w:abstractNum w:abstractNumId="20" w15:restartNumberingAfterBreak="0">
    <w:multiLevelType w:val="hybridMultilevel"/>
    <w:lvl w:ilvl="0" w15:tentative="1">
      <w:start w:val="1"/>
      <w:numFmt w:val="bullet"/>
      <w:lvlText w:val="•"/>
      <w:lvlJc w:val="left"/>
      <w:pPr>
        <w:ind w:left="720" w:hanging="360"/>
      </w:pPr>
    </w:lvl>
  </w:abstractNum>
  <w:abstractNum w:abstractNumId="21" w15:restartNumberingAfterBreak="0">
    <w:multiLevelType w:val="hybridMultilevel"/>
    <w:lvl w:ilvl="0" w15:tentative="1">
      <w:start w:val="1"/>
      <w:numFmt w:val="bullet"/>
      <w:lvlText w:val="•"/>
      <w:lvlJc w:val="left"/>
      <w:pPr>
        <w:ind w:left="720" w:hanging="360"/>
      </w:pPr>
    </w:lvl>
  </w:abstractNum>
  <w:abstractNum w:abstractNumId="22" w15:restartNumberingAfterBreak="0">
    <w:multiLevelType w:val="hybridMultilevel"/>
    <w:lvl w:ilvl="0" w15:tentative="1">
      <w:start w:val="1"/>
      <w:numFmt w:val="bullet"/>
      <w:lvlText w:val="•"/>
      <w:lvlJc w:val="left"/>
      <w:pPr>
        <w:ind w:left="720" w:hanging="360"/>
      </w:pPr>
    </w:lvl>
  </w:abstractNum>
  <w:abstractNum w:abstractNumId="23" w15:restartNumberingAfterBreak="0">
    <w:multiLevelType w:val="hybridMultilevel"/>
    <w:lvl w:ilvl="0" w15:tentative="1">
      <w:start w:val="1"/>
      <w:numFmt w:val="bullet"/>
      <w:lvlText w:val="•"/>
      <w:lvlJc w:val="left"/>
      <w:pPr>
        <w:ind w:left="720" w:hanging="360"/>
      </w:pPr>
    </w:lvl>
  </w:abstractNum>
  <w:abstractNum w:abstractNumId="24" w15:restartNumberingAfterBreak="0">
    <w:multiLevelType w:val="hybridMultilevel"/>
    <w:lvl w:ilvl="0" w15:tentative="1">
      <w:start w:val="1"/>
      <w:numFmt w:val="bullet"/>
      <w:lvlText w:val="•"/>
      <w:lvlJc w:val="left"/>
      <w:pPr>
        <w:ind w:left="720" w:hanging="360"/>
      </w:pPr>
    </w:lvl>
  </w:abstractNum>
  <w:abstractNum w:abstractNumId="25" w15:restartNumberingAfterBreak="0">
    <w:multiLevelType w:val="hybridMultilevel"/>
    <w:lvl w:ilvl="0" w15:tentative="1">
      <w:start w:val="1"/>
      <w:numFmt w:val="bullet"/>
      <w:lvlText w:val="•"/>
      <w:lvlJc w:val="left"/>
      <w:pPr>
        <w:ind w:left="720" w:hanging="360"/>
      </w:pPr>
    </w:lvl>
  </w:abstractNum>
  <w:abstractNum w:abstractNumId="26" w15:restartNumberingAfterBreak="0">
    <w:multiLevelType w:val="hybridMultilevel"/>
    <w:lvl w:ilvl="0" w15:tentative="1">
      <w:start w:val="1"/>
      <w:numFmt w:val="bullet"/>
      <w:lvlText w:val="•"/>
      <w:lvlJc w:val="left"/>
      <w:pPr>
        <w:ind w:left="720" w:hanging="360"/>
      </w:pPr>
    </w:lvl>
  </w:abstractNum>
  <w:abstractNum w:abstractNumId="27" w15:restartNumberingAfterBreak="0">
    <w:multiLevelType w:val="hybridMultilevel"/>
    <w:lvl w:ilvl="0" w15:tentative="1">
      <w:start w:val="1"/>
      <w:numFmt w:val="decimal"/>
      <w:lvlText w:val="%1."/>
      <w:lvlJc w:val="left"/>
      <w:pPr>
        <w:ind w:left="720" w:hanging="360"/>
      </w:pPr>
    </w:lvl>
  </w:abstractNum>
  <w:abstractNum w:abstractNumId="28" w15:restartNumberingAfterBreak="0">
    <w:multiLevelType w:val="hybridMultilevel"/>
    <w:lvl w:ilvl="0" w15:tentative="1">
      <w:start w:val="1"/>
      <w:numFmt w:val="decimal"/>
      <w:lvlText w:val="%1."/>
      <w:lvlJc w:val="left"/>
      <w:pPr>
        <w:ind w:left="720" w:hanging="360"/>
      </w:pPr>
    </w:lvl>
  </w:abstractNum>
  <w:abstractNum w:abstractNumId="29" w15:restartNumberingAfterBreak="0">
    <w:multiLevelType w:val="hybridMultilevel"/>
    <w:lvl w:ilvl="0" w15:tentative="1">
      <w:start w:val="1"/>
      <w:numFmt w:val="decimal"/>
      <w:lvlText w:val="%1."/>
      <w:lvlJc w:val="left"/>
      <w:pPr>
        <w:ind w:left="720" w:hanging="360"/>
      </w:pPr>
    </w:lvl>
  </w:abstractNum>
  <w:abstractNum w:abstractNumId="30" w15:restartNumberingAfterBreak="0">
    <w:multiLevelType w:val="hybridMultilevel"/>
    <w:lvl w:ilvl="0" w15:tentative="1">
      <w:start w:val="1"/>
      <w:numFmt w:val="decimal"/>
      <w:lvlText w:val="%1."/>
      <w:lvlJc w:val="left"/>
      <w:pPr>
        <w:ind w:left="720" w:hanging="360"/>
      </w:pPr>
    </w:lvl>
  </w:abstractNum>
  <w:abstractNum w:abstractNumId="31" w15:restartNumberingAfterBreak="0">
    <w:multiLevelType w:val="hybridMultilevel"/>
    <w:lvl w:ilvl="0" w15:tentative="1">
      <w:start w:val="1"/>
      <w:numFmt w:val="decimal"/>
      <w:lvlText w:val="%1."/>
      <w:lvlJc w:val="left"/>
      <w:pPr>
        <w:ind w:left="720" w:hanging="360"/>
      </w:pPr>
    </w:lvl>
  </w:abstractNum>
  <w:abstractNum w:abstractNumId="32" w15:restartNumberingAfterBreak="0">
    <w:multiLevelType w:val="hybridMultilevel"/>
    <w:lvl w:ilvl="0" w15:tentative="1">
      <w:start w:val="1"/>
      <w:numFmt w:val="decimal"/>
      <w:lvlText w:val="%1."/>
      <w:lvlJc w:val="left"/>
      <w:pPr>
        <w:ind w:left="720" w:hanging="360"/>
      </w:pPr>
    </w:lvl>
  </w:abstractNum>
  <w:abstractNum w:abstractNumId="33" w15:restartNumberingAfterBreak="0">
    <w:multiLevelType w:val="hybridMultilevel"/>
    <w:lvl w:ilvl="0" w15:tentative="1">
      <w:start w:val="1"/>
      <w:numFmt w:val="decimal"/>
      <w:lvlText w:val="%1."/>
      <w:lvlJc w:val="left"/>
      <w:pPr>
        <w:ind w:left="720" w:hanging="360"/>
      </w:pPr>
    </w:lvl>
  </w:abstractNum>
  <w:abstractNum w:abstractNumId="34" w15:restartNumberingAfterBreak="0">
    <w:multiLevelType w:val="hybridMultilevel"/>
    <w:lvl w:ilvl="0" w15:tentative="1">
      <w:start w:val="1"/>
      <w:numFmt w:val="decimal"/>
      <w:lvlText w:val="%1."/>
      <w:lvlJc w:val="left"/>
      <w:pPr>
        <w:ind w:left="720" w:hanging="360"/>
      </w:pPr>
    </w:lvl>
  </w:abstractNum>
  <w:abstractNum w:abstractNumId="35" w15:restartNumberingAfterBreak="0">
    <w:multiLevelType w:val="hybridMultilevel"/>
    <w:lvl w:ilvl="0" w15:tentative="1">
      <w:start w:val="1"/>
      <w:numFmt w:val="decimal"/>
      <w:lvlText w:val="%1."/>
      <w:lvlJc w:val="left"/>
      <w:pPr>
        <w:ind w:left="720" w:hanging="360"/>
      </w:pPr>
    </w:lvl>
  </w:abstractNum>
  <w:abstractNum w:abstractNumId="36" w15:restartNumberingAfterBreak="0">
    <w:multiLevelType w:val="hybridMultilevel"/>
    <w:lvl w:ilvl="0" w15:tentative="1">
      <w:start w:val="1"/>
      <w:numFmt w:val="decimal"/>
      <w:lvlText w:val="%1."/>
      <w:lvlJc w:val="left"/>
      <w:pPr>
        <w:ind w:left="720" w:hanging="360"/>
      </w:pPr>
    </w:lvl>
  </w:abstractNum>
  <w:abstractNum w:abstractNumId="37" w15:restartNumberingAfterBreak="0">
    <w:multiLevelType w:val="hybridMultilevel"/>
    <w:lvl w:ilvl="0" w15:tentative="1">
      <w:start w:val="1"/>
      <w:numFmt w:val="decimal"/>
      <w:lvlText w:val="%1."/>
      <w:lvlJc w:val="left"/>
      <w:pPr>
        <w:ind w:left="720" w:hanging="360"/>
      </w:pPr>
    </w:lvl>
  </w:abstractNum>
  <w:abstractNum w:abstractNumId="38" w15:restartNumberingAfterBreak="0">
    <w:multiLevelType w:val="hybridMultilevel"/>
    <w:lvl w:ilvl="0" w15:tentative="1">
      <w:start w:val="1"/>
      <w:numFmt w:val="decimal"/>
      <w:lvlText w:val="%1."/>
      <w:lvlJc w:val="left"/>
      <w:pPr>
        <w:ind w:left="720" w:hanging="360"/>
      </w:pPr>
    </w:lvl>
  </w:abstractNum>
  <w:abstractNum w:abstractNumId="39" w15:restartNumberingAfterBreak="0">
    <w:multiLevelType w:val="hybridMultilevel"/>
    <w:lvl w:ilvl="0" w15:tentative="1">
      <w:start w:val="1"/>
      <w:numFmt w:val="decimal"/>
      <w:lvlText w:val="%1."/>
      <w:lvlJc w:val="left"/>
      <w:pPr>
        <w:ind w:left="720" w:hanging="360"/>
      </w:pPr>
    </w:lvl>
  </w:abstractNum>
  <w:abstractNum w:abstractNumId="40" w15:restartNumberingAfterBreak="0">
    <w:multiLevelType w:val="hybridMultilevel"/>
    <w:lvl w:ilvl="0" w15:tentative="1">
      <w:start w:val="1"/>
      <w:numFmt w:val="decimal"/>
      <w:lvlText w:val="%1."/>
      <w:lvlJc w:val="left"/>
      <w:pPr>
        <w:ind w:left="720" w:hanging="360"/>
      </w:pPr>
    </w:lvl>
  </w:abstractNum>
  <w:abstractNum w:abstractNumId="41" w15:restartNumberingAfterBreak="0">
    <w:multiLevelType w:val="hybridMultilevel"/>
    <w:lvl w:ilvl="0" w15:tentative="1">
      <w:start w:val="1"/>
      <w:numFmt w:val="decimal"/>
      <w:lvlText w:val="%1."/>
      <w:lvlJc w:val="left"/>
      <w:pPr>
        <w:ind w:left="720" w:hanging="360"/>
      </w:pPr>
    </w:lvl>
  </w:abstractNum>
  <w:abstractNum w:abstractNumId="42" w15:restartNumberingAfterBreak="0">
    <w:multiLevelType w:val="hybridMultilevel"/>
    <w:lvl w:ilvl="0" w15:tentative="1">
      <w:start w:val="1"/>
      <w:numFmt w:val="decimal"/>
      <w:lvlText w:val="%1."/>
      <w:lvlJc w:val="left"/>
      <w:pPr>
        <w:ind w:left="720" w:hanging="360"/>
      </w:pPr>
    </w:lvl>
  </w:abstractNum>
  <w:abstractNum w:abstractNumId="43" w15:restartNumberingAfterBreak="0">
    <w:multiLevelType w:val="hybridMultilevel"/>
    <w:lvl w:ilvl="0" w15:tentative="1">
      <w:start w:val="1"/>
      <w:numFmt w:val="decimal"/>
      <w:lvlText w:val="%1."/>
      <w:lvlJc w:val="left"/>
      <w:pPr>
        <w:ind w:left="720" w:hanging="360"/>
      </w:pPr>
    </w:lvl>
  </w:abstractNum>
  <w:abstractNum w:abstractNumId="44" w15:restartNumberingAfterBreak="0">
    <w:multiLevelType w:val="hybridMultilevel"/>
    <w:lvl w:ilvl="0" w15:tentative="1">
      <w:start w:val="1"/>
      <w:numFmt w:val="decimal"/>
      <w:lvlText w:val="%1."/>
      <w:lvlJc w:val="left"/>
      <w:pPr>
        <w:ind w:left="720" w:hanging="360"/>
      </w:pPr>
    </w:lvl>
  </w:abstractNum>
  <w:abstractNum w:abstractNumId="45" w15:restartNumberingAfterBreak="0">
    <w:multiLevelType w:val="hybridMultilevel"/>
    <w:lvl w:ilvl="0" w15:tentative="1">
      <w:start w:val="1"/>
      <w:numFmt w:val="decimal"/>
      <w:lvlText w:val="%1."/>
      <w:lvlJc w:val="left"/>
      <w:pPr>
        <w:ind w:left="720" w:hanging="360"/>
      </w:pPr>
    </w:lvl>
  </w:abstractNum>
  <w:abstractNum w:abstractNumId="46" w15:restartNumberingAfterBreak="0">
    <w:multiLevelType w:val="hybridMultilevel"/>
    <w:lvl w:ilvl="0" w15:tentative="1">
      <w:start w:val="1"/>
      <w:numFmt w:val="decimal"/>
      <w:lvlText w:val="%1."/>
      <w:lvlJc w:val="left"/>
      <w:pPr>
        <w:ind w:left="720" w:hanging="360"/>
      </w:pPr>
    </w:lvl>
  </w:abstractNum>
  <w:abstractNum w:abstractNumId="47" w15:restartNumberingAfterBreak="0">
    <w:multiLevelType w:val="hybridMultilevel"/>
    <w:lvl w:ilvl="0" w15:tentative="1">
      <w:start w:val="1"/>
      <w:numFmt w:val="decimal"/>
      <w:lvlText w:val="%1."/>
      <w:lvlJc w:val="left"/>
      <w:pPr>
        <w:ind w:left="720" w:hanging="360"/>
      </w:pPr>
    </w:lvl>
  </w:abstractNum>
  <w:abstractNum w:abstractNumId="48" w15:restartNumberingAfterBreak="0">
    <w:multiLevelType w:val="hybridMultilevel"/>
    <w:lvl w:ilvl="0" w15:tentative="1">
      <w:start w:val="1"/>
      <w:numFmt w:val="decimal"/>
      <w:lvlText w:val="%1."/>
      <w:lvlJc w:val="left"/>
      <w:pPr>
        <w:ind w:left="720" w:hanging="360"/>
      </w:pPr>
    </w:lvl>
  </w:abstractNum>
  <w:abstractNum w:abstractNumId="49" w15:restartNumberingAfterBreak="0">
    <w:multiLevelType w:val="hybridMultilevel"/>
    <w:lvl w:ilvl="0" w15:tentative="1">
      <w:start w:val="1"/>
      <w:numFmt w:val="decimal"/>
      <w:lvlText w:val="%1."/>
      <w:lvlJc w:val="left"/>
      <w:pPr>
        <w:ind w:left="720" w:hanging="360"/>
      </w:pPr>
    </w:lvl>
  </w:abstractNum>
  <w:abstractNum w:abstractNumId="50" w15:restartNumberingAfterBreak="0">
    <w:multiLevelType w:val="hybridMultilevel"/>
    <w:lvl w:ilvl="0" w15:tentative="1">
      <w:start w:val="1"/>
      <w:numFmt w:val="decimal"/>
      <w:lvlText w:val="%1."/>
      <w:lvlJc w:val="left"/>
      <w:pPr>
        <w:ind w:left="720" w:hanging="360"/>
      </w:pPr>
    </w:lvl>
  </w:abstractNum>
  <w:abstractNum w:abstractNumId="51"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27"/>
    <w:lvlOverride w:ilvl="0">
      <w:startOverride w:val="1"/>
    </w:lvlOverride>
  </w:num>
  <w:num w:numId="8">
    <w:abstractNumId w:val="7"/>
    <w:lvlOverride w:ilvl="0">
      <w:startOverride w:val="1"/>
    </w:lvlOverride>
  </w:num>
  <w:num w:numId="9">
    <w:abstractNumId w:val="8"/>
    <w:lvlOverride w:ilvl="0">
      <w:startOverride w:val="1"/>
    </w:lvlOverride>
  </w:num>
  <w:num w:numId="10">
    <w:abstractNumId w:val="9"/>
    <w:lvlOverride w:ilvl="0">
      <w:startOverride w:val="1"/>
    </w:lvlOverride>
  </w:num>
  <w:num w:numId="11">
    <w:abstractNumId w:val="10"/>
    <w:lvlOverride w:ilvl="0">
      <w:startOverride w:val="1"/>
    </w:lvlOverride>
  </w:num>
  <w:num w:numId="12">
    <w:abstractNumId w:val="28"/>
    <w:lvlOverride w:ilvl="0">
      <w:startOverride w:val="1"/>
    </w:lvlOverride>
  </w:num>
  <w:num w:numId="13">
    <w:abstractNumId w:val="29"/>
    <w:lvlOverride w:ilvl="0">
      <w:startOverride w:val="1"/>
    </w:lvlOverride>
  </w:num>
  <w:num w:numId="14">
    <w:abstractNumId w:val="11"/>
    <w:lvlOverride w:ilvl="0">
      <w:startOverride w:val="1"/>
    </w:lvlOverride>
  </w:num>
  <w:num w:numId="15">
    <w:abstractNumId w:val="3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F172A"/>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1E3A8A"/>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47556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2026-04-18T10:34:46.170Z</dcterms:created>
  <dcterms:modified xsi:type="dcterms:W3CDTF">2026-04-18T10:34:46.170Z</dcterms:modified>
</cp:coreProperties>
</file>

<file path=docProps/custom.xml><?xml version="1.0" encoding="utf-8"?>
<Properties xmlns="http://schemas.openxmlformats.org/officeDocument/2006/custom-properties" xmlns:vt="http://schemas.openxmlformats.org/officeDocument/2006/docPropsVTypes"/>
</file>