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8"/>
          <w:szCs w:val="28"/>
          <w:rtl w:val="0"/>
        </w:rPr>
        <w:t xml:space="preserve">Judul artikel spesifik, efektif, jelas dan tidak lebih dari  15 kata. (Font Palatino Linotype 14pt, Bold, Left, Spasi 1). Hindari pencantuman lokasi penelitian, nama peraturan, dan singkatan.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rPr>
          <w:rFonts w:ascii="Palatino Linotype" w:cs="Palatino Linotype" w:eastAsia="Palatino Linotype" w:hAnsi="Palatino Linotype"/>
          <w:b w:val="1"/>
          <w:i w:val="1"/>
          <w:color w:val="00000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color w:val="000000"/>
          <w:rtl w:val="0"/>
        </w:rPr>
        <w:t xml:space="preserve">Nama Lengkap Penulis (tanpa gelar, font Palatino Linotype 11pt, Bold, Left, Spasi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rPr>
          <w:rFonts w:ascii="Palatino Linotype" w:cs="Palatino Linotype" w:eastAsia="Palatino Linotype" w:hAnsi="Palatino Linotype"/>
          <w:color w:val="000000"/>
        </w:rPr>
      </w:pPr>
      <w:r w:rsidDel="00000000" w:rsidR="00000000" w:rsidRPr="00000000">
        <w:rPr>
          <w:rFonts w:ascii="Palatino Linotype" w:cs="Palatino Linotype" w:eastAsia="Palatino Linotype" w:hAnsi="Palatino Linotype"/>
          <w:color w:val="000000"/>
          <w:rtl w:val="0"/>
        </w:rPr>
        <w:t xml:space="preserve">Nama Lembaga/Institusi (font Palatino Linotype 11pt, Left, Spasi 1)</w:t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rPr>
          <w:rFonts w:ascii="Palatino Linotype" w:cs="Palatino Linotype" w:eastAsia="Palatino Linotype" w:hAnsi="Palatino Linotype"/>
          <w:sz w:val="28"/>
          <w:szCs w:val="28"/>
        </w:rPr>
      </w:pPr>
      <w:r w:rsidDel="00000000" w:rsidR="00000000" w:rsidRPr="00000000">
        <w:rPr>
          <w:rFonts w:ascii="Palatino Linotype" w:cs="Palatino Linotype" w:eastAsia="Palatino Linotype" w:hAnsi="Palatino Linotype"/>
          <w:color w:val="000000"/>
          <w:rtl w:val="0"/>
        </w:rPr>
        <w:t xml:space="preserve">E-mail: (font Palatino Linotype 11pt, Left, Spasi 1)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rPr>
          <w:rFonts w:ascii="Palatino Linotype" w:cs="Palatino Linotype" w:eastAsia="Palatino Linotype" w:hAnsi="Palatino Linotyp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jc w:val="center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Abstrak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18"/>
          <w:szCs w:val="18"/>
          <w:rtl w:val="0"/>
        </w:rPr>
        <w:t xml:space="preserve">Abstrak dalam bahasa Indonesia ditulis antara 100-150 kata. Abstrak secara eksplisit memuat: latar belakang singkat (satu kalimat saja, boleh tidak ada), tujuan penelitian, metode penelitian, dan hasil temuan penting penelitian. Abstrak ditulis 1 (satu) alinea (font Palatino Linotype 9pt, Justify, spasi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stria" w:cs="Lustria" w:eastAsia="Lustria" w:hAnsi="Lust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Kata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Kunci: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Terdiri dari 3 sampai dengan 5 kata. Ditulis sesuai urutan abjad. Antara kata kunci dipisahkan oleh titik koma (;). Tidak termasuk nama peraturan dan nama lembaga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alatino Linotype" w:cs="Palatino Linotype" w:eastAsia="Palatino Linotype" w:hAnsi="Palatino Linotype"/>
          <w:b w:val="1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Abstract</w:t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jc w:val="both"/>
        <w:rPr>
          <w:rFonts w:ascii="Palatino Linotype" w:cs="Palatino Linotype" w:eastAsia="Palatino Linotype" w:hAnsi="Palatino Linotype"/>
          <w:i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sz w:val="18"/>
          <w:szCs w:val="18"/>
          <w:rtl w:val="0"/>
        </w:rPr>
        <w:t xml:space="preserve">Abstrak dalam bahasa Inggris merupakan terjemahan dari abstrak dalam bahasa Indonesia, ditulis antara 100-150 kata. Abstrak secara eksplisit memuat: latar belakang singkat (satu kalimat saja, boleh tidak ada), tujuan penelitian, metode penelitian, dan hasil temuan penting penelitian. Abstrak ditulis 1 (satu) alinea (font Palatino Linotype 9pt, Justify, spasi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sz w:val="16"/>
          <w:szCs w:val="16"/>
          <w:rtl w:val="0"/>
        </w:rPr>
        <w:t xml:space="preserve">Keywords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18"/>
          <w:szCs w:val="18"/>
          <w:rtl w:val="0"/>
        </w:rPr>
        <w:t xml:space="preserve">(ditulis dalam bahasa Inggris)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sz w:val="18"/>
          <w:szCs w:val="18"/>
          <w:rtl w:val="0"/>
        </w:rPr>
        <w:t xml:space="preserve">, t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18"/>
          <w:szCs w:val="18"/>
          <w:rtl w:val="0"/>
        </w:rPr>
        <w:t xml:space="preserve">erdiri dari 3 sampai dengan 5 kata. Ditulis sesuai urutan abjad. Antara kata kunci dipisahkan oleh titik koma (;). Tidak termasuk nama peraturan dan nama lembaga.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PENDAHULUAN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PENDAHULUAN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memuat latar belakang, kajian teoretis, permasalahan,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 analysis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kebaruan hasil penelitian (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art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dan diakhiri dengan tujuan penelitian.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 analysis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berisi tentang kesenjangan antara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sollen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dan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sein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Kebaruan hasil penelitian (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art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berisi uraian tentang kajian penelitian dengan penelitian terdahulu (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literature review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Artikel yang dikirimkan original dan belum pernah dipublikasikan di manapun. Artikel yang sudah diterima dan sudah melalui proses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akan dipublikasi secara bertahap melalui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Journal System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(OJS).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Penulisan footnote menggunakan gaya kutipan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Chicago Manual of Style Ed. 17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(fullnote)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Gunakan aplikasi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Manager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Mendeley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atau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Zotero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dan jenis huruf yang digunakan adalah Palatino Linotype 9, rata kiri-kanan (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justify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1 spasi. </w:t>
      </w:r>
    </w:p>
    <w:p w:rsidR="00000000" w:rsidDel="00000000" w:rsidP="00000000" w:rsidRDefault="00000000" w:rsidRPr="00000000" w14:paraId="00000015">
      <w:pPr>
        <w:pageBreakBefore w:val="0"/>
        <w:spacing w:after="0" w:line="360" w:lineRule="auto"/>
        <w:ind w:firstLine="567"/>
        <w:jc w:val="both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Format penulisan menggunakan format satu kolom dengan huruf Palatino Linotype 11, spasi 1,5, Justify, kertas A4 (210 x 297 mm),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margin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kiri, atas, kanan, dan bawah masing-masing 2,5 cm. Manuskrip ditulis antara 4000 s.d. 6000 kata.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ind w:firstLine="567"/>
        <w:jc w:val="both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 PENELITIAN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Metode penelitian berisi spesifikasi penelitian, jenis penelitian, metode pendekatan, teknik pengumpulan data, dan metode analisis data yang digunakan dalam penelitian. Metode penelitian ditulis secara deskriptif dan dibuat dalam 1 alinea.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 PENELITIAN DAN PEMBAHASAN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 Penelitian dan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Pembahasan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memuat uraian tentang analisis hasil penelitian untuk memberikan jawaban/solusi terhadap masalah penelitian. Apabila terdapat rincian sesuai dengan permasalahan yang dibahas, maka dapat menggunakan penulisan sub bab seperti di bawah ini.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Bab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(Font Palatino Linotype 11, Bold, format huruf: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Capitalize Case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pageBreakBefore w:val="0"/>
        <w:spacing w:after="0" w:line="360" w:lineRule="auto"/>
        <w:ind w:firstLine="426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Uraian di dalam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Sub Bab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, hindari penggunaan dot poin, pengabjadan, atau penomoran sebagai berikut:</w:t>
      </w:r>
    </w:p>
    <w:p w:rsidR="00000000" w:rsidDel="00000000" w:rsidP="00000000" w:rsidRDefault="00000000" w:rsidRPr="00000000" w14:paraId="0000001E">
      <w:pPr>
        <w:pageBreakBefore w:val="0"/>
        <w:spacing w:after="0" w:line="360" w:lineRule="auto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      a.    ….</w:t>
      </w:r>
    </w:p>
    <w:p w:rsidR="00000000" w:rsidDel="00000000" w:rsidP="00000000" w:rsidRDefault="00000000" w:rsidRPr="00000000" w14:paraId="0000001F">
      <w:pPr>
        <w:pageBreakBefore w:val="0"/>
        <w:spacing w:after="0" w:line="360" w:lineRule="auto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      b.    ….</w:t>
      </w:r>
    </w:p>
    <w:p w:rsidR="00000000" w:rsidDel="00000000" w:rsidP="00000000" w:rsidRDefault="00000000" w:rsidRPr="00000000" w14:paraId="00000020">
      <w:pPr>
        <w:pageBreakBefore w:val="0"/>
        <w:spacing w:after="0" w:line="360" w:lineRule="auto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      c.    ….</w:t>
      </w:r>
    </w:p>
    <w:p w:rsidR="00000000" w:rsidDel="00000000" w:rsidP="00000000" w:rsidRDefault="00000000" w:rsidRPr="00000000" w14:paraId="00000021">
      <w:pPr>
        <w:pageBreakBefore w:val="0"/>
        <w:spacing w:after="0" w:line="360" w:lineRule="auto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      Seharusnya ditulis mengikuti kalimat sebagai berikut: a. ….; b. …., dan c. ….</w:t>
      </w:r>
    </w:p>
    <w:p w:rsidR="00000000" w:rsidDel="00000000" w:rsidP="00000000" w:rsidRDefault="00000000" w:rsidRPr="00000000" w14:paraId="00000022">
      <w:pPr>
        <w:pageBreakBefore w:val="0"/>
        <w:spacing w:after="0" w:line="360" w:lineRule="auto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Manuskrip ditulis dalam bentuk essay, sehingga tidak ada format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numeric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atau abjad yang memisahkan antar bab/bagian, ataupun untuk menandai bab/bagian baru. Tabel dan gambar/grafik hanya terdapat dalam pembahasan. Tabel dibuat hanya dengan garis horizontal.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SIMPULAN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Simpulan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merupakan jawaban singkat atas permasalahan yang dibahas. Simpulan tidak dibuat poin-poin, tetapi dideskripsikan dalam 1 (satu) alinea.</w:t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="360" w:lineRule="auto"/>
        <w:jc w:val="center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DAFTAR PUSTAKA</w:t>
      </w:r>
    </w:p>
    <w:p w:rsidR="00000000" w:rsidDel="00000000" w:rsidP="00000000" w:rsidRDefault="00000000" w:rsidRPr="00000000" w14:paraId="0000002A">
      <w:pPr>
        <w:pageBreakBefore w:val="0"/>
        <w:spacing w:after="0" w:line="360" w:lineRule="auto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Daftar Pustaka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harus ditulis dalam gaya kutipan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Chicago Manual of Style System Ed. 17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vertAlign w:val="superscript"/>
          <w:rtl w:val="0"/>
        </w:rPr>
        <w:t xml:space="preserve">th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 (fullnote)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, dengan jarak satu spasi, font Palatino Linotype 11pt. Silahkan gunakan aplikasi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Reference Manager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(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Mendeley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dan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Zotero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). </w:t>
      </w:r>
    </w:p>
    <w:p w:rsidR="00000000" w:rsidDel="00000000" w:rsidP="00000000" w:rsidRDefault="00000000" w:rsidRPr="00000000" w14:paraId="0000002B">
      <w:pPr>
        <w:pageBreakBefore w:val="0"/>
        <w:spacing w:after="0" w:line="240" w:lineRule="auto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0" w:line="240" w:lineRule="auto"/>
        <w:ind w:left="426" w:hanging="426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Butt, Simon and Tim Lindsey.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Indonesian Law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. Oxford: Oxford University Press, 2018.</w:t>
      </w:r>
    </w:p>
    <w:p w:rsidR="00000000" w:rsidDel="00000000" w:rsidP="00000000" w:rsidRDefault="00000000" w:rsidRPr="00000000" w14:paraId="0000002D">
      <w:pPr>
        <w:pageBreakBefore w:val="0"/>
        <w:widowControl w:val="0"/>
        <w:spacing w:after="0" w:line="240" w:lineRule="auto"/>
        <w:ind w:left="426" w:hanging="426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spacing w:after="0" w:line="240" w:lineRule="auto"/>
        <w:ind w:left="426" w:hanging="426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Gunakaya, A. Widiada.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Pengantar Hukum Indonesia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. Bandung: STHB Press, 2015.</w:t>
      </w:r>
    </w:p>
    <w:p w:rsidR="00000000" w:rsidDel="00000000" w:rsidP="00000000" w:rsidRDefault="00000000" w:rsidRPr="00000000" w14:paraId="0000002F">
      <w:pPr>
        <w:pageBreakBefore w:val="0"/>
        <w:widowControl w:val="0"/>
        <w:spacing w:after="0" w:line="240" w:lineRule="auto"/>
        <w:ind w:left="426" w:hanging="426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0" w:line="240" w:lineRule="auto"/>
        <w:ind w:left="426" w:hanging="426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———.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Hukum Hak Asasi Manusia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. Yogyakarta: Penerbit Andi, 2017.</w:t>
      </w:r>
    </w:p>
    <w:p w:rsidR="00000000" w:rsidDel="00000000" w:rsidP="00000000" w:rsidRDefault="00000000" w:rsidRPr="00000000" w14:paraId="00000031">
      <w:pPr>
        <w:pageBreakBefore w:val="0"/>
        <w:widowControl w:val="0"/>
        <w:spacing w:after="0" w:line="240" w:lineRule="auto"/>
        <w:ind w:left="426" w:hanging="426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0" w:line="240" w:lineRule="auto"/>
        <w:ind w:left="426" w:hanging="426"/>
        <w:jc w:val="both"/>
        <w:rPr>
          <w:rFonts w:ascii="Palatino Linotype" w:cs="Palatino Linotype" w:eastAsia="Palatino Linotype" w:hAnsi="Palatino Linotype"/>
          <w:b w:val="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rtl w:val="0"/>
        </w:rPr>
        <w:t xml:space="preserve">Harahap, M. Yahya.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rtl w:val="0"/>
        </w:rPr>
        <w:t xml:space="preserve">Hukum Acara Perdata: tentang Gugatan, Persidangan, Penyitaan, Pembuktian dan Putusan Pengadilan,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rtl w:val="0"/>
        </w:rPr>
        <w:t xml:space="preserve">Edited by Tarmizi. Ed. Revisi. Jakarta: Sinar Grafika, 2017.</w:t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0" w:line="240" w:lineRule="auto"/>
        <w:ind w:left="426" w:hanging="426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ind w:left="426" w:hanging="426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Imaniyati, Neni Sri, Asep Rozali, dan Neneng Nurhasanah.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Menimbang Perbankan Syariah (Konsep, Regulasi dan Praktik di Indonesia). 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Bandung: Pusat Penerbitan Univesitas (P2U) LPPM Universitas Islam Bandung, 2017.</w:t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0" w:line="240" w:lineRule="auto"/>
        <w:ind w:left="426" w:hanging="426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spacing w:after="0" w:line="240" w:lineRule="auto"/>
        <w:ind w:left="426" w:hanging="426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Indonesia. Undang-Undang Nomor 25 Tahun 2007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tentang Penanaman Modal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, Pub. L. No. 67 Tahun 2007.</w:t>
      </w:r>
    </w:p>
    <w:p w:rsidR="00000000" w:rsidDel="00000000" w:rsidP="00000000" w:rsidRDefault="00000000" w:rsidRPr="00000000" w14:paraId="00000037">
      <w:pPr>
        <w:pageBreakBefore w:val="0"/>
        <w:widowControl w:val="0"/>
        <w:spacing w:after="0" w:line="240" w:lineRule="auto"/>
        <w:ind w:left="426" w:hanging="426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spacing w:after="0" w:line="240" w:lineRule="auto"/>
        <w:ind w:left="426" w:hanging="426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Mahkamah Agung Republik Indonesia. Putusan Nomor 863 K/PDT/2020 (2020).</w:t>
      </w:r>
    </w:p>
    <w:p w:rsidR="00000000" w:rsidDel="00000000" w:rsidP="00000000" w:rsidRDefault="00000000" w:rsidRPr="00000000" w14:paraId="00000039">
      <w:pPr>
        <w:pageBreakBefore w:val="0"/>
        <w:widowControl w:val="0"/>
        <w:spacing w:after="0" w:line="240" w:lineRule="auto"/>
        <w:ind w:left="426" w:hanging="426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spacing w:after="0" w:line="240" w:lineRule="auto"/>
        <w:ind w:left="426" w:hanging="426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Nott, Jemma. “China’s Belt and Road (BRI): Investment and Lending Practices in Developing Countries. Is There a “Debt Trap”?.” </w:t>
      </w:r>
      <w:hyperlink r:id="rId7">
        <w:r w:rsidDel="00000000" w:rsidR="00000000" w:rsidRPr="00000000">
          <w:rPr>
            <w:rFonts w:ascii="Palatino Linotype" w:cs="Palatino Linotype" w:eastAsia="Palatino Linotype" w:hAnsi="Palatino Linotype"/>
            <w:i w:val="1"/>
            <w:color w:val="0563c1"/>
            <w:u w:val="single"/>
            <w:rtl w:val="0"/>
          </w:rPr>
          <w:t xml:space="preserve">https://www.globalresearch.ca/chinas-belt-and-road-bri-investment-and-lending-practices-in-developing-countries-is-there-a-debt-trap/5722107</w:t>
        </w:r>
      </w:hyperlink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, 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2020.</w:t>
      </w:r>
    </w:p>
    <w:p w:rsidR="00000000" w:rsidDel="00000000" w:rsidP="00000000" w:rsidRDefault="00000000" w:rsidRPr="00000000" w14:paraId="0000003B">
      <w:pPr>
        <w:pageBreakBefore w:val="0"/>
        <w:widowControl w:val="0"/>
        <w:spacing w:after="0" w:line="240" w:lineRule="auto"/>
        <w:ind w:left="426" w:hanging="426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spacing w:after="0" w:line="240" w:lineRule="auto"/>
        <w:ind w:left="426" w:hanging="426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Priyatno, Dwidja dan Kristian.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Delik Agama (Dalam KUHP dan Rancangan KUHP Indonesia dan Telaah Perbandingan Hukum Dengan KUHP Inggris, Belanda, Malaysia, Thailand, Singapura, Jerman, Perancis, Kanada, Latvia, dan Finlandia)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. Bandung: Pustaka Reka Cipta, 2019.</w:t>
      </w:r>
    </w:p>
    <w:p w:rsidR="00000000" w:rsidDel="00000000" w:rsidP="00000000" w:rsidRDefault="00000000" w:rsidRPr="00000000" w14:paraId="0000003D">
      <w:pPr>
        <w:pageBreakBefore w:val="0"/>
        <w:widowControl w:val="0"/>
        <w:spacing w:after="0" w:line="240" w:lineRule="auto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spacing w:after="0" w:line="240" w:lineRule="auto"/>
        <w:ind w:left="426" w:hanging="426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Saragih, Bonarsius. "Kebijakan Pengawasan Terhadap Kepolisian Negara Republik Indonesia (Polri) Sebagai Penegak Hukum Yang Profesional Dalam Perspektif Sistem Peradilan Pidana." (Disertasi Program Doktor Ilmu Hukum, Universitas Katolik Parahyangan, 2015.</w:t>
      </w:r>
    </w:p>
    <w:p w:rsidR="00000000" w:rsidDel="00000000" w:rsidP="00000000" w:rsidRDefault="00000000" w:rsidRPr="00000000" w14:paraId="0000003F">
      <w:pPr>
        <w:pageBreakBefore w:val="0"/>
        <w:widowControl w:val="0"/>
        <w:spacing w:after="0" w:line="240" w:lineRule="auto"/>
        <w:ind w:left="426" w:hanging="426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spacing w:after="0" w:line="240" w:lineRule="auto"/>
        <w:ind w:left="426" w:hanging="426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Soenandar, Taryana, Fathurrahman Djamil, Mariam Darus Badrulzaman, Sutan Remy Sjahdeini, dan Heru Soepraptomo.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Kompilasi Hukum Perikatan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. Cet. 2. Bandung: Citra Aditya Bakti, 2016.</w:t>
      </w:r>
    </w:p>
    <w:p w:rsidR="00000000" w:rsidDel="00000000" w:rsidP="00000000" w:rsidRDefault="00000000" w:rsidRPr="00000000" w14:paraId="00000041">
      <w:pPr>
        <w:pageBreakBefore w:val="0"/>
        <w:widowControl w:val="0"/>
        <w:spacing w:after="0" w:line="240" w:lineRule="auto"/>
        <w:ind w:left="426" w:hanging="426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spacing w:after="0" w:line="240" w:lineRule="auto"/>
        <w:ind w:left="426" w:hanging="426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Stamper, Kory. “From ‘F-Bomb’ to ‘Photobomb,’ How the Dictionary Keeps Up with English.” Interview by Terry Gross, 19 April 2017.</w:t>
      </w:r>
    </w:p>
    <w:p w:rsidR="00000000" w:rsidDel="00000000" w:rsidP="00000000" w:rsidRDefault="00000000" w:rsidRPr="00000000" w14:paraId="00000043">
      <w:pPr>
        <w:pageBreakBefore w:val="0"/>
        <w:widowControl w:val="0"/>
        <w:spacing w:after="0" w:line="240" w:lineRule="auto"/>
        <w:ind w:left="426" w:hanging="426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spacing w:after="0" w:line="240" w:lineRule="auto"/>
        <w:ind w:left="426" w:hanging="426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Sugiarto, Irwan. "The Significance of Good Corporate Governance Principles in The Company Law of 2007."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Mimbar: Sosial Dan Pembangunan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33, No. 1 (2017): 37–45. doi:http://dx.doi.org/10.29313/mimbar.v33i1.2067.</w:t>
      </w:r>
    </w:p>
    <w:p w:rsidR="00000000" w:rsidDel="00000000" w:rsidP="00000000" w:rsidRDefault="00000000" w:rsidRPr="00000000" w14:paraId="00000045">
      <w:pPr>
        <w:pageBreakBefore w:val="0"/>
        <w:widowControl w:val="0"/>
        <w:spacing w:after="0" w:line="240" w:lineRule="auto"/>
        <w:ind w:left="426" w:hanging="426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spacing w:after="0" w:line="240" w:lineRule="auto"/>
        <w:ind w:left="426" w:hanging="426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Taufik, Giri Ahmad. ‘Freeport Dan Posisi Hukum RI’.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Kompas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, 20 March 2017.</w:t>
      </w:r>
    </w:p>
    <w:p w:rsidR="00000000" w:rsidDel="00000000" w:rsidP="00000000" w:rsidRDefault="00000000" w:rsidRPr="00000000" w14:paraId="00000047">
      <w:pPr>
        <w:pageBreakBefore w:val="0"/>
        <w:widowControl w:val="0"/>
        <w:spacing w:after="0" w:line="240" w:lineRule="auto"/>
        <w:ind w:left="426" w:hanging="426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spacing w:after="0" w:line="240" w:lineRule="auto"/>
        <w:ind w:left="426" w:hanging="426"/>
        <w:jc w:val="both"/>
        <w:rPr>
          <w:rFonts w:ascii="Palatino Linotype" w:cs="Palatino Linotype" w:eastAsia="Palatino Linotype" w:hAnsi="Palatino Linotype"/>
          <w:b w:val="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rtl w:val="0"/>
        </w:rPr>
        <w:t xml:space="preserve">Widyantini, Rini,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rtl w:val="0"/>
        </w:rPr>
        <w:t xml:space="preserve">et.al. Bunga Rampai Pertanggungjawaban Hukum Diskresi Pasca Berlakunya Undang-Undang Nomor 30 Tahun 2014 Tentang Administrasi Pemerintahan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rtl w:val="0"/>
        </w:rPr>
        <w:t xml:space="preserve">. Edited by Zainal Muttaqin. Bandung: Departemen Hukum Administrasi Negara Fakultas Hukum Universitas Padjadjaran, 2017.</w:t>
      </w:r>
    </w:p>
    <w:p w:rsidR="00000000" w:rsidDel="00000000" w:rsidP="00000000" w:rsidRDefault="00000000" w:rsidRPr="00000000" w14:paraId="00000049">
      <w:pPr>
        <w:pageBreakBefore w:val="0"/>
        <w:spacing w:after="0" w:line="240" w:lineRule="auto"/>
        <w:ind w:left="426" w:hanging="426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line="240" w:lineRule="auto"/>
        <w:ind w:left="426" w:hanging="426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Winata, Agung Sujati. "Perlindungan Investor Asing Dalam Kegiatan Penanaman Modal Asing Dan Implikasinya Terhadap Negara."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Ajudikasi: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Jurnal Ilmu Hukum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2, No. 2 (2018).</w:t>
      </w:r>
    </w:p>
    <w:p w:rsidR="00000000" w:rsidDel="00000000" w:rsidP="00000000" w:rsidRDefault="00000000" w:rsidRPr="00000000" w14:paraId="0000004B">
      <w:pPr>
        <w:pageBreakBefore w:val="0"/>
        <w:widowControl w:val="0"/>
        <w:spacing w:after="0" w:line="240" w:lineRule="auto"/>
        <w:ind w:left="426" w:hanging="426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0" w:line="240" w:lineRule="auto"/>
        <w:jc w:val="both"/>
        <w:rPr>
          <w:rFonts w:ascii="Palatino Linotype" w:cs="Palatino Linotype" w:eastAsia="Palatino Linotype" w:hAnsi="Palatino Linotyp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701" w:top="1701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ustri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decimal"/>
      <w:lvlText w:val="%5)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41C79"/>
  </w:style>
  <w:style w:type="paragraph" w:styleId="Heading2">
    <w:name w:val="heading 2"/>
    <w:basedOn w:val="Normal"/>
    <w:link w:val="Heading2Char"/>
    <w:uiPriority w:val="9"/>
    <w:qFormat w:val="1"/>
    <w:rsid w:val="00D41C79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sicParagraph" w:customStyle="1">
    <w:name w:val="[Basic Paragraph]"/>
    <w:basedOn w:val="Normal"/>
    <w:uiPriority w:val="99"/>
    <w:rsid w:val="00A96A4D"/>
    <w:pPr>
      <w:autoSpaceDE w:val="0"/>
      <w:autoSpaceDN w:val="0"/>
      <w:adjustRightInd w:val="0"/>
      <w:spacing w:after="0" w:line="288" w:lineRule="auto"/>
    </w:pPr>
    <w:rPr>
      <w:rFonts w:ascii="Calisto MT" w:cs="Calisto MT" w:eastAsia="Calibri" w:hAnsi="Calisto MT"/>
      <w:color w:val="000000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semiHidden w:val="1"/>
    <w:unhideWhenUsed w:val="1"/>
    <w:rsid w:val="00A96A4D"/>
    <w:rPr>
      <w:color w:val="0563c1" w:themeColor="hyperlink"/>
      <w:u w:val="single"/>
    </w:rPr>
  </w:style>
  <w:style w:type="character" w:styleId="FootnoteTextChar" w:customStyle="1">
    <w:name w:val="Footnote Text Char"/>
    <w:aliases w:val="Char Char,Footnote Text Char Char Char Char Char,Footnote Text Char Char Char Char1,Char Char Char Char,ft Char,Footnote Text Char Char Char1,Footnote Text Char Char Char Char Cha Char Char Char"/>
    <w:basedOn w:val="DefaultParagraphFont"/>
    <w:link w:val="FootnoteText"/>
    <w:semiHidden w:val="1"/>
    <w:locked w:val="1"/>
    <w:rsid w:val="00A96A4D"/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FootnoteText">
    <w:name w:val="footnote text"/>
    <w:aliases w:val="Char,Footnote Text Char Char Char Char,Footnote Text Char Char Char,Char Char Char,ft,Footnote Text Char Char,Footnote Text Char Char Char Char Cha Char Char,Footnote Text Char Char Char Char Cha"/>
    <w:basedOn w:val="Normal"/>
    <w:link w:val="FootnoteTextChar"/>
    <w:unhideWhenUsed w:val="1"/>
    <w:qFormat w:val="1"/>
    <w:rsid w:val="00A96A4D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FootnoteTextChar1" w:customStyle="1">
    <w:name w:val="Footnote Text Char1"/>
    <w:basedOn w:val="DefaultParagraphFont"/>
    <w:uiPriority w:val="99"/>
    <w:semiHidden w:val="1"/>
    <w:rsid w:val="00A96A4D"/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 w:val="1"/>
    <w:rsid w:val="00A96A4D"/>
    <w:pPr>
      <w:spacing w:after="120" w:line="276" w:lineRule="auto"/>
    </w:pPr>
    <w:rPr>
      <w:rFonts w:ascii="Calibri" w:cs="Times New Roman" w:eastAsia="Times New Roman" w:hAnsi="Calibri"/>
      <w:lang w:eastAsia="id-ID"/>
    </w:rPr>
  </w:style>
  <w:style w:type="character" w:styleId="BodyTextChar" w:customStyle="1">
    <w:name w:val="Body Text Char"/>
    <w:basedOn w:val="DefaultParagraphFont"/>
    <w:link w:val="BodyText"/>
    <w:uiPriority w:val="99"/>
    <w:rsid w:val="00A96A4D"/>
    <w:rPr>
      <w:rFonts w:ascii="Calibri" w:cs="Times New Roman" w:eastAsia="Times New Roman" w:hAnsi="Calibri"/>
      <w:lang w:eastAsia="id-ID"/>
    </w:rPr>
  </w:style>
  <w:style w:type="character" w:styleId="FootnoteReference">
    <w:name w:val="footnote reference"/>
    <w:aliases w:val="fr"/>
    <w:semiHidden w:val="1"/>
    <w:unhideWhenUsed w:val="1"/>
    <w:qFormat w:val="1"/>
    <w:rsid w:val="00A96A4D"/>
    <w:rPr>
      <w:rFonts w:ascii="Times New Roman" w:cs="Times New Roman" w:hAnsi="Times New Roman" w:hint="default"/>
      <w:vertAlign w:val="superscript"/>
    </w:rPr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2D070F"/>
    <w:pPr>
      <w:spacing w:after="120" w:line="276" w:lineRule="auto"/>
      <w:ind w:left="283"/>
    </w:pPr>
    <w:rPr>
      <w:rFonts w:ascii="Calibri" w:cs="Times New Roman" w:eastAsia="Times New Roman" w:hAnsi="Calibri"/>
      <w:lang w:eastAsia="id-ID"/>
    </w:r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2D070F"/>
    <w:rPr>
      <w:rFonts w:ascii="Calibri" w:cs="Times New Roman" w:eastAsia="Times New Roman" w:hAnsi="Calibri"/>
      <w:lang w:eastAsia="id-ID"/>
    </w:rPr>
  </w:style>
  <w:style w:type="paragraph" w:styleId="ListParagraph">
    <w:name w:val="List Paragraph"/>
    <w:aliases w:val="Body Text Char1,Char Char2"/>
    <w:basedOn w:val="Normal"/>
    <w:link w:val="ListParagraphChar"/>
    <w:uiPriority w:val="34"/>
    <w:qFormat w:val="1"/>
    <w:rsid w:val="00E42DB6"/>
    <w:pPr>
      <w:ind w:left="720"/>
      <w:contextualSpacing w:val="1"/>
    </w:pPr>
  </w:style>
  <w:style w:type="character" w:styleId="ListParagraphChar" w:customStyle="1">
    <w:name w:val="List Paragraph Char"/>
    <w:aliases w:val="Body Text Char1 Char,Char Char2 Char"/>
    <w:basedOn w:val="DefaultParagraphFont"/>
    <w:link w:val="ListParagraph"/>
    <w:uiPriority w:val="34"/>
    <w:locked w:val="1"/>
    <w:rsid w:val="00E42DB6"/>
  </w:style>
  <w:style w:type="paragraph" w:styleId="NormalWeb">
    <w:name w:val="Normal (Web)"/>
    <w:basedOn w:val="Normal"/>
    <w:uiPriority w:val="99"/>
    <w:semiHidden w:val="1"/>
    <w:unhideWhenUsed w:val="1"/>
    <w:rsid w:val="00E42DB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040F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040FF"/>
    <w:rPr>
      <w:rFonts w:ascii="Segoe UI" w:cs="Segoe UI" w:hAnsi="Segoe UI"/>
      <w:sz w:val="18"/>
      <w:szCs w:val="18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1E7C6A"/>
    <w:pPr>
      <w:spacing w:after="120"/>
      <w:ind w:left="283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1E7C6A"/>
    <w:rPr>
      <w:sz w:val="16"/>
      <w:szCs w:val="16"/>
    </w:rPr>
  </w:style>
  <w:style w:type="paragraph" w:styleId="Default" w:customStyle="1">
    <w:name w:val="Default"/>
    <w:rsid w:val="00313665"/>
    <w:pPr>
      <w:autoSpaceDE w:val="0"/>
      <w:autoSpaceDN w:val="0"/>
      <w:adjustRightInd w:val="0"/>
      <w:spacing w:after="0" w:line="240" w:lineRule="auto"/>
    </w:pPr>
    <w:rPr>
      <w:rFonts w:ascii="Bookman Old Style" w:cs="Bookman Old Style" w:eastAsia="Times New Roman" w:hAnsi="Bookman Old Style"/>
      <w:color w:val="000000"/>
      <w:sz w:val="24"/>
      <w:szCs w:val="24"/>
      <w:lang w:val="en-US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A74C32"/>
    <w:rPr>
      <w:vertAlign w:val="superscript"/>
    </w:rPr>
  </w:style>
  <w:style w:type="paragraph" w:styleId="copy-to-clipboard-hidden" w:customStyle="1">
    <w:name w:val="copy-to-clipboard-hidden"/>
    <w:basedOn w:val="Normal"/>
    <w:rsid w:val="005978E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id-ID"/>
    </w:rPr>
  </w:style>
  <w:style w:type="character" w:styleId="tlid-translation" w:customStyle="1">
    <w:name w:val="tlid-translation"/>
    <w:basedOn w:val="DefaultParagraphFont"/>
    <w:rsid w:val="00FF1F73"/>
  </w:style>
  <w:style w:type="character" w:styleId="Strong">
    <w:name w:val="Strong"/>
    <w:basedOn w:val="DefaultParagraphFont"/>
    <w:uiPriority w:val="22"/>
    <w:qFormat w:val="1"/>
    <w:rsid w:val="00BA6BB5"/>
    <w:rPr>
      <w:b w:val="1"/>
      <w:bCs w:val="1"/>
    </w:rPr>
  </w:style>
  <w:style w:type="character" w:styleId="Heading2Char" w:customStyle="1">
    <w:name w:val="Heading 2 Char"/>
    <w:basedOn w:val="DefaultParagraphFont"/>
    <w:link w:val="Heading2"/>
    <w:uiPriority w:val="9"/>
    <w:rsid w:val="00D41C79"/>
    <w:rPr>
      <w:rFonts w:ascii="Times New Roman" w:cs="Times New Roman" w:eastAsia="Times New Roman" w:hAnsi="Times New Roman"/>
      <w:b w:val="1"/>
      <w:bCs w:val="1"/>
      <w:sz w:val="36"/>
      <w:szCs w:val="36"/>
      <w:lang w:val="en-US"/>
    </w:rPr>
  </w:style>
  <w:style w:type="character" w:styleId="i" w:customStyle="1">
    <w:name w:val="i"/>
    <w:basedOn w:val="DefaultParagraphFont"/>
    <w:rsid w:val="00CD46A9"/>
  </w:style>
  <w:style w:type="paragraph" w:styleId="Bibliography">
    <w:name w:val="Bibliography"/>
    <w:basedOn w:val="Normal"/>
    <w:next w:val="Normal"/>
    <w:uiPriority w:val="37"/>
    <w:semiHidden w:val="1"/>
    <w:unhideWhenUsed w:val="1"/>
    <w:rsid w:val="00CD46A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lobalresearch.ca/chinas-belt-and-road-bri-investment-and-lending-practices-in-developing-countries-is-there-a-debt-trap/572210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Relationship Id="rId5" Type="http://schemas.openxmlformats.org/officeDocument/2006/relationships/font" Target="fonts/Lust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4hgxGmwtRxTNl+HekeGwq263jg==">AMUW2mVbdE6FuUGjHhJt9Su2X56P02VPZAVJ+MDv3lntsg5RxhSpLmxMqVxv25MCEPCYF4Z35ciI5aCJRyB9dPd0TbDQerKESi2Ewfmy3BLnLH14Pg8aqGU=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2021-01-07T13:20:00Z</dcterms:created>
  <dc:creator>Irwan Sugiarto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http://www.zotero.org/styles/chicago-fullnote-bibliography</vt:lpwstr>
  </property>
  <property fmtid="{D5CDD505-2E9C-101B-9397-08002B2CF9AE}" pid="4" name="Mendeley Unique User Id_1">
    <vt:lpwstr>b44faae8-ea0c-3137-a518-09cc12aef440</vt:lpwstr>
  </property>
  <property fmtid="{D5CDD505-2E9C-101B-9397-08002B2CF9AE}" pid="5" name="Mendeley Recent Style Id 0_1">
    <vt:lpwstr>http://www.zotero.org/styles/apa</vt:lpwstr>
  </property>
  <property fmtid="{D5CDD505-2E9C-101B-9397-08002B2CF9AE}" pid="6" name="Mendeley Recent Style Name 0_1">
    <vt:lpwstr>American Psychological Association 6th edition</vt:lpwstr>
  </property>
  <property fmtid="{D5CDD505-2E9C-101B-9397-08002B2CF9AE}" pid="7" name="Mendeley Recent Style Id 1_1">
    <vt:lpwstr>http://www.zotero.org/styles/chicago-author-date</vt:lpwstr>
  </property>
  <property fmtid="{D5CDD505-2E9C-101B-9397-08002B2CF9AE}" pid="8" name="Mendeley Recent Style Name 1_1">
    <vt:lpwstr>Chicago Manual of Style 16th edition (author-date)</vt:lpwstr>
  </property>
  <property fmtid="{D5CDD505-2E9C-101B-9397-08002B2CF9AE}" pid="9" name="Mendeley Recent Style Id 2_1">
    <vt:lpwstr>http://www.zotero.org/styles/chicago-fullnote-bibliography</vt:lpwstr>
  </property>
  <property fmtid="{D5CDD505-2E9C-101B-9397-08002B2CF9AE}" pid="10" name="Mendeley Recent Style Name 2_1">
    <vt:lpwstr>Chicago Manual of Style 16th edition (full note)</vt:lpwstr>
  </property>
  <property fmtid="{D5CDD505-2E9C-101B-9397-08002B2CF9AE}" pid="11" name="Mendeley Recent Style Id 3_1">
    <vt:lpwstr>http://www.zotero.org/styles/chicago-note-bibliography</vt:lpwstr>
  </property>
  <property fmtid="{D5CDD505-2E9C-101B-9397-08002B2CF9AE}" pid="12" name="Mendeley Recent Style Name 3_1">
    <vt:lpwstr>Chicago Manual of Style 16th edition (note)</vt:lpwstr>
  </property>
  <property fmtid="{D5CDD505-2E9C-101B-9397-08002B2CF9AE}" pid="13" name="Mendeley Recent Style Id 4_1">
    <vt:lpwstr>http://www.zotero.org/styles/chicago-annotated-bibliography</vt:lpwstr>
  </property>
  <property fmtid="{D5CDD505-2E9C-101B-9397-08002B2CF9AE}" pid="14" name="Mendeley Recent Style Name 4_1">
    <vt:lpwstr>Chicago Manual of Style 16th edition (note, annotated bibliography)</vt:lpwstr>
  </property>
  <property fmtid="{D5CDD505-2E9C-101B-9397-08002B2CF9AE}" pid="15" name="Mendeley Recent Style Id 5_1">
    <vt:lpwstr>http://www.zotero.org/styles/harvard-university-of-jember</vt:lpwstr>
  </property>
  <property fmtid="{D5CDD505-2E9C-101B-9397-08002B2CF9AE}" pid="16" name="Mendeley Recent Style Name 5_1">
    <vt:lpwstr>Harvard - University of Jember</vt:lpwstr>
  </property>
  <property fmtid="{D5CDD505-2E9C-101B-9397-08002B2CF9AE}" pid="17" name="Mendeley Recent Style Id 6_1">
    <vt:lpwstr>http://www.zotero.org/styles/harvard1</vt:lpwstr>
  </property>
  <property fmtid="{D5CDD505-2E9C-101B-9397-08002B2CF9AE}" pid="18" name="Mendeley Recent Style Name 6_1">
    <vt:lpwstr>Harvard Reference format 1 (author-date)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  <property fmtid="{D5CDD505-2E9C-101B-9397-08002B2CF9AE}" pid="25" name="ZOTERO_PREF_1">
    <vt:lpwstr>&lt;data data-version="3" zotero-version="5.0.87"&gt;&lt;session id="TqdDbbyW"/&gt;&lt;style id="http://www.zotero.org/styles/chicago-fullnote-bibliography" locale="id-ID" hasBibliography="1" bibliographyStyleHasBeenSet="1"/&gt;&lt;prefs&gt;&lt;pref name="fieldType" value="Field"/&gt;</vt:lpwstr>
  </property>
  <property fmtid="{D5CDD505-2E9C-101B-9397-08002B2CF9AE}" pid="26" name="ZOTERO_PREF_2">
    <vt:lpwstr>&lt;pref name="noteType" value="1"/&gt;&lt;/prefs&gt;&lt;/data&gt;</vt:lpwstr>
  </property>
</Properties>
</file>