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715" w:rsidRDefault="00421C40">
      <w:pPr>
        <w:pStyle w:val="1"/>
      </w:pPr>
      <w:bookmarkStart w:id="0" w:name="X90d86f651ca39c655c01e10fce5872fdd15b4ca"/>
      <w:r>
        <w:rPr>
          <w:rFonts w:ascii="Times New Roman" w:eastAsia="Times New Roman" w:hAnsi="Times New Roman" w:cs="Times New Roman"/>
        </w:rPr>
        <w:t>Аудит Задания 1 (пересмотр после исправлений)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в вузе (ведение базы студентов, импорт из Excel, управление курсами и потоками, зачисление/отчисление, генерация приказов и служебных записок, отчётность и статистика); стек React + FastAPI + реляционная БД.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Источник для аудита:</w:t>
      </w:r>
      <w:r>
        <w:rPr>
          <w:rFonts w:eastAsia="Times New Roman" w:cs="Times New Roman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task_1/solutuion_1_fix.docx</w:t>
      </w:r>
      <w:r>
        <w:rPr>
          <w:rFonts w:eastAsia="Times New Roman" w:cs="Times New Roman"/>
        </w:rPr>
        <w:t xml:space="preserve"> — исправленна</w:t>
      </w:r>
      <w:r w:rsidR="002F718D">
        <w:rPr>
          <w:rFonts w:eastAsia="Times New Roman" w:cs="Times New Roman"/>
        </w:rPr>
        <w:t>я версия после первого аудита.</w:t>
      </w:r>
    </w:p>
    <w:p w:rsidR="00676715" w:rsidRDefault="00676715">
      <w:bookmarkStart w:id="1" w:name="_GoBack"/>
      <w:bookmarkEnd w:id="1"/>
    </w:p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1. Итоговая оценка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138 из 156 баллов (~88,5%).</w:t>
      </w:r>
    </w:p>
    <w:p w:rsidR="00676715" w:rsidRDefault="00421C40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Отлично</w:t>
      </w:r>
      <w:r>
        <w:rPr>
          <w:rFonts w:eastAsia="Times New Roman" w:cs="Times New Roman"/>
        </w:rPr>
        <w:t xml:space="preserve"> (рост с 110/156 ≈ 70,5%, «Хорошо» в исходном аудите).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Что обеспечило переход категории.</w:t>
      </w:r>
      <w:r>
        <w:rPr>
          <w:rFonts w:eastAsia="Times New Roman" w:cs="Times New Roman"/>
        </w:rPr>
        <w:t xml:space="preserve"> Закрыты или существенно прокачаны критерии: «Числовые шкалы / метрики сравнения» (0 → 9 из 12), «Обоснованность выводов из бенчмаркинга» (0 → 3 из 4), «Колонка Мой проект» (6 → 8 из 8), «Реалистичность SLA» (6 → 9 из 12), «Обоснование SLA» (1 → 4 из 4), «Измеримость SLA» (6 → 12 из 12), «Практическая применимость SWOT» (4 → 6 из 8). Не закрыты: карта сегментов рынка, стратегические выводы по SWOT по каждому конкуренту, количественные метрики в бенчмаркинге (% покрытия / число клиентов).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676715" w:rsidRDefault="00421C40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= сырая оценка 0–4 × вес (взвешенный вклад критерия). Чтобы восстановить сырую оценку — поделить значение в колонке «Балл» на «Вес».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критерия).</w:t>
      </w:r>
    </w:p>
    <w:p w:rsidR="00676715" w:rsidRDefault="00421C40">
      <w:pPr>
        <w:pStyle w:val="FirstParagraph"/>
      </w:pPr>
      <w:r>
        <w:rPr>
          <w:rFonts w:eastAsia="Times New Roman" w:cs="Times New Roman"/>
        </w:rPr>
        <w:t xml:space="preserve">В колонке </w:t>
      </w:r>
      <w:r>
        <w:rPr>
          <w:rFonts w:eastAsia="Times New Roman" w:cs="Times New Roman"/>
          <w:b/>
          <w:bCs/>
        </w:rPr>
        <w:t>«Обоснование»</w:t>
      </w:r>
      <w:r>
        <w:rPr>
          <w:rFonts w:eastAsia="Times New Roman" w:cs="Times New Roman"/>
        </w:rPr>
        <w:t xml:space="preserve"> — только тезисы. Что сделать для повышения балла — в разделах 4 и 5.</w:t>
      </w:r>
    </w:p>
    <w:p w:rsidR="00676715" w:rsidRDefault="00421C40">
      <w:pPr>
        <w:pStyle w:val="3"/>
      </w:pPr>
      <w:bookmarkStart w:id="2" w:name="выбор-конкурентов"/>
      <w:r>
        <w:rPr>
          <w:rFonts w:eastAsia="Times New Roman" w:cs="Times New Roman"/>
        </w:rPr>
        <w:t>Выбор конкурентов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34"/>
        <w:gridCol w:w="1001"/>
        <w:gridCol w:w="992"/>
        <w:gridCol w:w="1843"/>
        <w:gridCol w:w="4551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0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2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Количество конкурентов</w:t>
            </w:r>
          </w:p>
        </w:tc>
        <w:tc>
          <w:tcPr>
            <w:tcW w:w="10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Ровно 5 конкурентов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2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Релевантность теме ВКР</w:t>
            </w:r>
          </w:p>
        </w:tc>
        <w:tc>
          <w:tcPr>
            <w:tcW w:w="10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Четыре продукта (1С: Университет, 1С: Учебный центр, Галактика, Парус) — близкая ниша. GetCourse явно помечен как «частичный аналог»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</w:t>
            </w:r>
            <w:r>
              <w:rPr>
                <w:rFonts w:eastAsia="Times New Roman" w:cs="Times New Roman"/>
                <w:sz w:val="22"/>
              </w:rPr>
              <w:t>) — двусмысленность убрана; полная сопоставимость по нише по всем пяти объектам по-прежнему не достигнута.</w:t>
            </w:r>
          </w:p>
        </w:tc>
      </w:tr>
      <w:tr w:rsidR="00676715" w:rsidTr="002F718D">
        <w:trPr>
          <w:jc w:val="center"/>
        </w:trPr>
        <w:tc>
          <w:tcPr>
            <w:tcW w:w="12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покрытия сегментов</w:t>
            </w:r>
          </w:p>
        </w:tc>
        <w:tc>
          <w:tcPr>
            <w:tcW w:w="10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Четыре отраслевые ИС + один edtech. Карты сегментов рынка ДПО нет, ряд типичных классов решений (LMS вузовского контура, корпоративные LMS, open-source, status quo Excel) не представлен.</w:t>
            </w:r>
          </w:p>
        </w:tc>
      </w:tr>
      <w:tr w:rsidR="00676715" w:rsidTr="002F718D">
        <w:trPr>
          <w:jc w:val="center"/>
        </w:trPr>
        <w:tc>
          <w:tcPr>
            <w:tcW w:w="12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выбора каждого конкурента</w:t>
            </w:r>
          </w:p>
        </w:tc>
        <w:tc>
          <w:tcPr>
            <w:tcW w:w="10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 каждого конкурента — короткое описание назначения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1–2</w:t>
            </w:r>
            <w:r>
              <w:rPr>
                <w:rFonts w:eastAsia="Times New Roman" w:cs="Times New Roman"/>
                <w:sz w:val="22"/>
              </w:rPr>
              <w:t>). Стратегического позиционирования и сравнения по нише не хватает.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25 из 32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3" w:name="swot-анализ-конкурентов"/>
      <w:bookmarkEnd w:id="2"/>
      <w:r>
        <w:rPr>
          <w:rFonts w:eastAsia="Times New Roman" w:cs="Times New Roman"/>
        </w:rPr>
        <w:t>SWOT-анализ конкурентов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569"/>
        <w:gridCol w:w="807"/>
        <w:gridCol w:w="851"/>
        <w:gridCol w:w="1843"/>
        <w:gridCol w:w="4551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6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56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SWOT по каждому</w:t>
            </w:r>
          </w:p>
        </w:tc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Отдельная таблица SWOT на каждого из пяти конкурентов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2–3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56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S/W/O/T</w:t>
            </w:r>
          </w:p>
        </w:tc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Все квадранты заполнены; разнообразие Opportunities выросло (Галактика, 1С: Учебный центр), но у части конкурентов (1С: Университет, GetCourse, Парус) формулировки ещё обобщённые.</w:t>
            </w:r>
          </w:p>
        </w:tc>
      </w:tr>
      <w:tr w:rsidR="00676715" w:rsidTr="002F718D">
        <w:trPr>
          <w:jc w:val="center"/>
        </w:trPr>
        <w:tc>
          <w:tcPr>
            <w:tcW w:w="156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Методологическая корректность SWOT</w:t>
            </w:r>
          </w:p>
        </w:tc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Все пять SWOT методологически корректны: смешения квадрантов нет; S/W — внутренние факторы, O/T — внешние.</w:t>
            </w:r>
          </w:p>
        </w:tc>
      </w:tr>
      <w:tr w:rsidR="00676715" w:rsidTr="002F718D">
        <w:trPr>
          <w:jc w:val="center"/>
        </w:trPr>
        <w:tc>
          <w:tcPr>
            <w:tcW w:w="156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Практическая применимость выводов для проекта</w:t>
            </w:r>
          </w:p>
        </w:tc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Добавлен сводный «Вывод по SWOT» в конце раздела 3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</w:t>
            </w:r>
            <w:r>
              <w:rPr>
                <w:rFonts w:eastAsia="Times New Roman" w:cs="Times New Roman"/>
                <w:sz w:val="22"/>
              </w:rPr>
              <w:t>) с явным позиционированием проекта («узкая специализация: импорт Excel, база, курсы, документы»). Нет разбора по каждому конкуренту.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lastRenderedPageBreak/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32 из 36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4" w:name="бенчмаркинг"/>
      <w:bookmarkEnd w:id="3"/>
      <w:r>
        <w:rPr>
          <w:rFonts w:eastAsia="Times New Roman" w:cs="Times New Roman"/>
        </w:rPr>
        <w:t>Бенчмаркинг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83"/>
        <w:gridCol w:w="1093"/>
        <w:gridCol w:w="993"/>
        <w:gridCol w:w="1701"/>
        <w:gridCol w:w="4551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0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2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структурированной таблицы бенчмаркинга</w:t>
            </w:r>
          </w:p>
        </w:tc>
        <w:tc>
          <w:tcPr>
            <w:tcW w:w="10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Одна матрица: 10 строк функций, колонки по всем конкурентам и «Мой проект»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4–5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2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числовых шкал/метрик сравнения</w:t>
            </w:r>
          </w:p>
        </w:tc>
        <w:tc>
          <w:tcPr>
            <w:tcW w:w="10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Введена явная шкала 0–5 с описанием уровней; все ячейки заполнены числами. Количественных рыночных метрик (% покрытия, число клиентов) нет — поэтому не 12/12.</w:t>
            </w:r>
          </w:p>
        </w:tc>
      </w:tr>
      <w:tr w:rsidR="00676715" w:rsidTr="002F718D">
        <w:trPr>
          <w:jc w:val="center"/>
        </w:trPr>
        <w:tc>
          <w:tcPr>
            <w:tcW w:w="12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и корректность колонки «Мой проект»</w:t>
            </w:r>
          </w:p>
        </w:tc>
        <w:tc>
          <w:tcPr>
            <w:tcW w:w="10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Числовые оценки во всех 10 строках; «Формирование отчётности» (4) и «Статистика» (4) согласованы со вступлением; «Управление учебным процессом» (2) и «Интеграции» (2) явно объяснены в выводе («не является полноценной LMS», «MVP без интеграционного контура»).</w:t>
            </w:r>
          </w:p>
        </w:tc>
      </w:tr>
      <w:tr w:rsidR="00676715" w:rsidTr="002F718D">
        <w:trPr>
          <w:jc w:val="center"/>
        </w:trPr>
        <w:tc>
          <w:tcPr>
            <w:tcW w:w="12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Сопоставимость критериев между конкурентами</w:t>
            </w:r>
          </w:p>
        </w:tc>
        <w:tc>
          <w:tcPr>
            <w:tcW w:w="10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Единый набор строк для всех колонок.</w:t>
            </w:r>
          </w:p>
        </w:tc>
      </w:tr>
      <w:tr w:rsidR="00676715" w:rsidTr="002F718D">
        <w:trPr>
          <w:jc w:val="center"/>
        </w:trPr>
        <w:tc>
          <w:tcPr>
            <w:tcW w:w="12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Обоснованность выводов из бенчмаркинга</w:t>
            </w:r>
          </w:p>
        </w:tc>
        <w:tc>
          <w:tcPr>
            <w:tcW w:w="10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 таблицы — два абзаца «Вывод по бенчмаркингу»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 с явной привязкой к строкам матрицы (импорт Excel, учебный процесс, интеграции). Не оформлено как мини-таблица «пробелы/преимущества».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32 из 36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5" w:name="sla-it-ops-bd"/>
      <w:bookmarkEnd w:id="4"/>
      <w:r>
        <w:rPr>
          <w:rFonts w:eastAsia="Times New Roman" w:cs="Times New Roman"/>
        </w:rPr>
        <w:t>SLA (IT / Ops / BD)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883"/>
        <w:gridCol w:w="777"/>
        <w:gridCol w:w="850"/>
        <w:gridCol w:w="1560"/>
        <w:gridCol w:w="4551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8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SLA «Функционирова</w:t>
            </w:r>
            <w:r>
              <w:rPr>
                <w:rFonts w:eastAsia="Times New Roman" w:cs="Times New Roman"/>
                <w:sz w:val="22"/>
              </w:rPr>
              <w:lastRenderedPageBreak/>
              <w:t>ние IT-системы» (5+)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×2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пунктов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6–7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8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SLA «Операционная деятельность» (5+)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пунктов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8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883" w:type="dxa"/>
          </w:tcPr>
          <w:p w:rsidR="00676715" w:rsidRPr="002F718D" w:rsidRDefault="00421C40">
            <w:pPr>
              <w:pStyle w:val="Compact"/>
              <w:spacing w:before="0" w:after="60"/>
              <w:rPr>
                <w:lang w:val="en-US"/>
              </w:rPr>
            </w:pPr>
            <w:r>
              <w:rPr>
                <w:rFonts w:eastAsia="Times New Roman" w:cs="Times New Roman"/>
                <w:sz w:val="22"/>
              </w:rPr>
              <w:t>Наличие</w:t>
            </w:r>
            <w:r w:rsidRPr="002F718D">
              <w:rPr>
                <w:rFonts w:eastAsia="Times New Roman" w:cs="Times New Roman"/>
                <w:sz w:val="22"/>
                <w:lang w:val="en-US"/>
              </w:rPr>
              <w:t xml:space="preserve"> SLA «Business Development, Sales and Marketing» (5+)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пунктов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9–10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8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целевых значений SLA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5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 задаёт контекст эксплуатации: режим (рабочие дни 09:00–18:00), пользователи (до 20), объём базы (5 000 обучающихся, 100 курсов), стандартный файл, критичные процессы. Пороги 99% / 4 ч RTO / 3 с отклика логически согласованы с этим контекстом. До 12/12 не хватает явных привязок «параметр контекста → конкретный порог» по каждому SLA.</w:t>
            </w:r>
          </w:p>
        </w:tc>
      </w:tr>
      <w:tr w:rsidR="00676715" w:rsidTr="002F718D">
        <w:trPr>
          <w:jc w:val="center"/>
        </w:trPr>
        <w:tc>
          <w:tcPr>
            <w:tcW w:w="18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выбора SLA и порогов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SLA в разделе 6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6–10</w:t>
            </w:r>
            <w:r>
              <w:rPr>
                <w:rFonts w:eastAsia="Times New Roman" w:cs="Times New Roman"/>
                <w:sz w:val="22"/>
              </w:rPr>
              <w:t>) — отдельный абзац «Данный показатель выбран потому, что…» с привязкой к бизнес-логике (внутренний сервис, не платёжная система; сезон зачислений; административные процедуры).</w:t>
            </w:r>
          </w:p>
        </w:tc>
      </w:tr>
      <w:tr w:rsidR="00676715" w:rsidTr="002F718D">
        <w:trPr>
          <w:jc w:val="center"/>
        </w:trPr>
        <w:tc>
          <w:tcPr>
            <w:tcW w:w="188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Измеримость SLA</w:t>
            </w:r>
          </w:p>
        </w:tc>
        <w:tc>
          <w:tcPr>
            <w:tcW w:w="7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56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5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SLA указан источник проверки (мониторинг доступности, APM, логи backend, журнал импорта, журнал документов, тикеты, Service Desk, журнал отчётов). Операционные определения «стандартного файла» и «актуальной записи» зафиксированы в разделе 5 и в самих SLA.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49 из 52</w:t>
      </w:r>
      <w:r>
        <w:rPr>
          <w:rFonts w:eastAsia="Times New Roman" w:cs="Times New Roman"/>
        </w:rPr>
        <w:t>.</w:t>
      </w:r>
    </w:p>
    <w:p w:rsidR="00676715" w:rsidRDefault="00421C40" w:rsidP="002F718D">
      <w:pPr>
        <w:pStyle w:val="a0"/>
      </w:pPr>
      <w:r>
        <w:rPr>
          <w:rFonts w:eastAsia="Times New Roman" w:cs="Times New Roman"/>
          <w:b/>
          <w:bCs/>
        </w:rPr>
        <w:t>Сводный расчёт:</w:t>
      </w:r>
      <w:r>
        <w:rPr>
          <w:rFonts w:eastAsia="Times New Roman" w:cs="Times New Roman"/>
        </w:rPr>
        <w:t xml:space="preserve"> 25 + 32 + 32 + 49 = </w:t>
      </w:r>
      <w:r>
        <w:rPr>
          <w:rFonts w:eastAsia="Times New Roman" w:cs="Times New Roman"/>
          <w:b/>
          <w:bCs/>
        </w:rPr>
        <w:t>138</w:t>
      </w:r>
      <w:r>
        <w:rPr>
          <w:rFonts w:eastAsia="Times New Roman" w:cs="Times New Roman"/>
        </w:rPr>
        <w:t xml:space="preserve"> из 156.</w:t>
      </w:r>
    </w:p>
    <w:bookmarkEnd w:id="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Полностью числовой бенчмаркинг с явной шкалой и выводами.</w:t>
      </w:r>
      <w:r>
        <w:rPr>
          <w:rFonts w:eastAsia="Times New Roman" w:cs="Times New Roman"/>
        </w:rPr>
        <w:t xml:space="preserve"> Раздел 4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4–5</w:t>
      </w:r>
      <w:r>
        <w:rPr>
          <w:rFonts w:eastAsia="Times New Roman" w:cs="Times New Roman"/>
        </w:rPr>
        <w:t xml:space="preserve">) задаёт явную шкалу 0–5 с описанием каждого </w:t>
      </w:r>
      <w:r>
        <w:rPr>
          <w:rFonts w:eastAsia="Times New Roman" w:cs="Times New Roman"/>
        </w:rPr>
        <w:lastRenderedPageBreak/>
        <w:t>уровня, все 60 ячеек таблицы (10 функций × 6 колонок включая «Мой проект») заполнены числами, после таблицы — два содержательных абзаца с привязкой к строкам матрицы.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Согласованная колонка «Мой проект».</w:t>
      </w:r>
      <w:r>
        <w:rPr>
          <w:rFonts w:eastAsia="Times New Roman" w:cs="Times New Roman"/>
        </w:rPr>
        <w:t xml:space="preserve"> Числовые оценки во всех строках согласованы с описанием функционала во вступлении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4–5</w:t>
      </w:r>
      <w:r>
        <w:rPr>
          <w:rFonts w:eastAsia="Times New Roman" w:cs="Times New Roman"/>
        </w:rPr>
        <w:t>): «отчётность» и «статистика» = 4, «учебный процесс» и «интеграции» = 2 с прямым объяснением «не LMS, MVP без интеграционного контура».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Полностью прозрачный SLA-блок с источниками измерения и обоснованием порогов.</w:t>
      </w:r>
      <w:r>
        <w:rPr>
          <w:rFonts w:eastAsia="Times New Roman" w:cs="Times New Roman"/>
        </w:rPr>
        <w:t xml:space="preserve"> Раздел 5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5–6</w:t>
      </w:r>
      <w:r>
        <w:rPr>
          <w:rFonts w:eastAsia="Times New Roman" w:cs="Times New Roman"/>
        </w:rPr>
        <w:t>) задаёт контекст эксплуатации (режим, пользователи, объём, критичные процессы, операционные определения «стандартного файла» и «актуальной записи»). В разделе 6 (стр. 6–10) для каждого из 18 SLA указаны источник проверки и обоснование выбора порога.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Корректные SWOT-таблицы со сводным выводом для проекта.</w:t>
      </w:r>
      <w:r>
        <w:rPr>
          <w:rFonts w:eastAsia="Times New Roman" w:cs="Times New Roman"/>
        </w:rPr>
        <w:t xml:space="preserve"> В разделе 3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2–3</w:t>
      </w:r>
      <w:r>
        <w:rPr>
          <w:rFonts w:eastAsia="Times New Roman" w:cs="Times New Roman"/>
        </w:rPr>
        <w:t>) — пять SWOT с методологической корректностью (S/W — внутреннее, O/T — внешнее) + сводный «Вывод по SWOT» с позиционированием проекта (узкая специализация против тяжёлых ERP).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Снятие двусмысленности по GetCourse.</w:t>
      </w:r>
      <w:r>
        <w:rPr>
          <w:rFonts w:eastAsia="Times New Roman" w:cs="Times New Roman"/>
        </w:rPr>
        <w:t xml:space="preserve"> В разделе 2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</w:t>
      </w:r>
      <w:r>
        <w:rPr>
          <w:rFonts w:eastAsia="Times New Roman" w:cs="Times New Roman"/>
        </w:rPr>
        <w:t>) убрано слово «прямые», для GetCourse явно зафиксирован статус «частичный аналог» — апелляция «GetCourse — не из той ниши» теряет силу.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4. Замечания по блокам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  <w:b/>
          <w:bCs/>
        </w:rPr>
        <w:t>, стр. 1–2 (раздел 2) — карта сегментов рынка не введена:</w:t>
      </w:r>
      <w:r>
        <w:rPr>
          <w:rFonts w:eastAsia="Times New Roman" w:cs="Times New Roman"/>
        </w:rPr>
        <w:t xml:space="preserve"> перечень всё тех же 5 систем, без явной разметки сегментов (4–5 категорий) и представителей недостающих классов решений: </w:t>
      </w:r>
      <w:r>
        <w:rPr>
          <w:rFonts w:eastAsia="Times New Roman" w:cs="Times New Roman"/>
          <w:b/>
          <w:bCs/>
        </w:rPr>
        <w:t>российские академические ИС / LMS вузовского контура</w:t>
      </w:r>
      <w:r>
        <w:rPr>
          <w:rFonts w:eastAsia="Times New Roman" w:cs="Times New Roman"/>
        </w:rPr>
        <w:t xml:space="preserve"> (примеры ориентира: Tandem.University, Modeus, Naumen University, BARS Education), </w:t>
      </w:r>
      <w:r>
        <w:rPr>
          <w:rFonts w:eastAsia="Times New Roman" w:cs="Times New Roman"/>
          <w:b/>
          <w:bCs/>
        </w:rPr>
        <w:t>корпоративные LMS для ДПО</w:t>
      </w:r>
      <w:r>
        <w:rPr>
          <w:rFonts w:eastAsia="Times New Roman" w:cs="Times New Roman"/>
        </w:rPr>
        <w:t xml:space="preserve"> (iSpring Learn, Teachbase), </w:t>
      </w:r>
      <w:r>
        <w:rPr>
          <w:rFonts w:eastAsia="Times New Roman" w:cs="Times New Roman"/>
          <w:b/>
          <w:bCs/>
        </w:rPr>
        <w:t>open-source LMS</w:t>
      </w:r>
      <w:r>
        <w:rPr>
          <w:rFonts w:eastAsia="Times New Roman" w:cs="Times New Roman"/>
        </w:rPr>
        <w:t xml:space="preserve"> (Moodle), </w:t>
      </w:r>
      <w:r>
        <w:rPr>
          <w:rFonts w:eastAsia="Times New Roman" w:cs="Times New Roman"/>
          <w:b/>
          <w:bCs/>
        </w:rPr>
        <w:t>status quo без специализированной ИС</w:t>
      </w:r>
      <w:r>
        <w:rPr>
          <w:rFonts w:eastAsia="Times New Roman" w:cs="Times New Roman"/>
        </w:rPr>
        <w:t xml:space="preserve"> (Excel, почта, разрозненные регистры). Критерий «Полнота покрытия сегментов»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перед списком конкурентов ввести подраздел «Сегменты конкурентного рынка» с 4–5 категориями и хотя бы по одному представителю в каждой; для исключённых сегментов дать одну строку обоснования.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  <w:b/>
          <w:bCs/>
        </w:rPr>
        <w:t>, стр. 2 (раздел 2) — позиционирование GetCourse в карте сегментов:</w:t>
      </w:r>
      <w:r>
        <w:rPr>
          <w:rFonts w:eastAsia="Times New Roman" w:cs="Times New Roman"/>
        </w:rPr>
        <w:t xml:space="preserve"> GetCourse теперь явно «частичный аналог», но он по-прежнему остаётся в общем списке без отнесения к отдельной категории. Если ввести карту сегментов (см. предыдущий пункт), GetCourse логично перенести в категорию «Платформы онлайн-обучения» с отметкой «непрямой конкурент / для широты рынка». Альтернатива — заменить GetCourse на профильный продукт для back-office ДПО во вузе. Критерий «Релевантность теме ВКР»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при введении карты сегментов отнести GetCourse к отдельной </w:t>
      </w:r>
      <w:r>
        <w:rPr>
          <w:rFonts w:eastAsia="Times New Roman" w:cs="Times New Roman"/>
        </w:rPr>
        <w:lastRenderedPageBreak/>
        <w:t>категории с явным статусом «непрямой конкурент»; либо заменить на профильную ИС.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  <w:b/>
          <w:bCs/>
        </w:rPr>
        <w:t>, стр. 2–3 (раздел 3) — нет стратегического вывода по каждому конкуренту:</w:t>
      </w:r>
      <w:r>
        <w:rPr>
          <w:rFonts w:eastAsia="Times New Roman" w:cs="Times New Roman"/>
        </w:rPr>
        <w:t xml:space="preserve"> добавлен общий «Вывод по SWOT», но в исходном замечании ожидался разбор «3–5 предложений „что значит для проекта“» по </w:t>
      </w:r>
      <w:r>
        <w:rPr>
          <w:rFonts w:eastAsia="Times New Roman" w:cs="Times New Roman"/>
          <w:b/>
          <w:bCs/>
        </w:rPr>
        <w:t>каждому</w:t>
      </w:r>
      <w:r>
        <w:rPr>
          <w:rFonts w:eastAsia="Times New Roman" w:cs="Times New Roman"/>
        </w:rPr>
        <w:t xml:space="preserve"> конкуренту (где их сильные стороны — наша угроза, где слабые — наш шанс). Сводный вывод закрывает критерий частично. Критерий «Практическая применимость SWOT»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под каждой SWOT-таблицей в разделе 3 добавить 2–3 строки «Что значит для проекта»: какую слабость конкурента можно использовать как преимущество (например, «сложность 1С: Университет → наш продукт продаёт простоту»), какая сильная сторона — это барьер.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  <w:b/>
          <w:bCs/>
        </w:rPr>
        <w:t>, стр. 2–3 (раздел 3) — обобщённые Opportunities у части конкурентов:</w:t>
      </w:r>
      <w:r>
        <w:rPr>
          <w:rFonts w:eastAsia="Times New Roman" w:cs="Times New Roman"/>
        </w:rPr>
        <w:t xml:space="preserve"> у трёх из пяти конкурентов (1С: Университет, GetCourse, Парус) Opportunities — общие фразы «расширение функциональности / интеграции». У Галактики и 1С: Учебный центр — конкретнее («Интеграция с государственными ИС», «Рост популярности ДПО»). Критерий «Полнота S/W/O/T»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трёх конкурентов с обобщёнными Opportunities заменить их на конкретные внешние возможности рынка (например, «изменения в нормативной базе ДПО», «спрос на цифровизацию приёмной кампании», «рост рынка корпоративного обучения»).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  <w:b/>
          <w:bCs/>
        </w:rPr>
        <w:t>, стр. 4–5 (раздел 4) — отсутствие количественных рыночных метрик в бенчмаркинге:</w:t>
      </w:r>
      <w:r>
        <w:rPr>
          <w:rFonts w:eastAsia="Times New Roman" w:cs="Times New Roman"/>
        </w:rPr>
        <w:t xml:space="preserve"> введена шкала 0–5 (это закрывает основной пробел), но в исходном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scoring_1.md</w:t>
      </w:r>
      <w:r>
        <w:rPr>
          <w:rFonts w:eastAsia="Times New Roman" w:cs="Times New Roman"/>
        </w:rPr>
        <w:t xml:space="preserve"> дескриптор 4/4 предполагает не только числовые шкалы, но и </w:t>
      </w:r>
      <w:r>
        <w:rPr>
          <w:rFonts w:eastAsia="Times New Roman" w:cs="Times New Roman"/>
          <w:b/>
          <w:bCs/>
        </w:rPr>
        <w:t>количественные метрики сравнения</w:t>
      </w:r>
      <w:r>
        <w:rPr>
          <w:rFonts w:eastAsia="Times New Roman" w:cs="Times New Roman"/>
        </w:rPr>
        <w:t xml:space="preserve"> (% покрытия рынка, число клиентов, число образовательных учреждений-внедрителей). Критерий «Числовые шкалы / метрики сравнения»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колонку «Доля внедрений в вузах ДПО» или «Число известных внедрений» с укрупнёнными числами (хотя бы порядка величины: 100+ вузов, 10+ корпоративных клиентов, неизвестно).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  <w:b/>
          <w:bCs/>
        </w:rPr>
        <w:t>, стр. 5 (раздел 4) — выводы по бенчмаркингу не оформлены как мини-таблица:</w:t>
      </w:r>
      <w:r>
        <w:rPr>
          <w:rFonts w:eastAsia="Times New Roman" w:cs="Times New Roman"/>
        </w:rPr>
        <w:t xml:space="preserve"> добавленный текст со ссылками на строки матрицы — это уже уровень дескриптора 3/4. До 4/4 не хватает компактной таблицы вида «</w:t>
      </w:r>
      <w:r>
        <w:rPr>
          <w:rFonts w:eastAsia="Times New Roman" w:cs="Times New Roman"/>
          <w:b/>
          <w:bCs/>
        </w:rPr>
        <w:t>Преимущества проекта</w:t>
      </w:r>
      <w:r>
        <w:rPr>
          <w:rFonts w:eastAsia="Times New Roman" w:cs="Times New Roman"/>
        </w:rPr>
        <w:t xml:space="preserve"> vs </w:t>
      </w:r>
      <w:r>
        <w:rPr>
          <w:rFonts w:eastAsia="Times New Roman" w:cs="Times New Roman"/>
          <w:b/>
          <w:bCs/>
        </w:rPr>
        <w:t>Пробелы проекта</w:t>
      </w:r>
      <w:r>
        <w:rPr>
          <w:rFonts w:eastAsia="Times New Roman" w:cs="Times New Roman"/>
        </w:rPr>
        <w:t xml:space="preserve">» с конкретными строками матрицы в каждой колонке. Критерий «Обоснованность выводов из бенчмаркинга» —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после абзацев «Вывод по бенчмаркингу» добавить мини-таблицу 2 столбца × 4–5 строк: слева — функции с оценкой 4–5 у проекта (импорт Excel, документы, потоки), справа — функции с оценкой 0–2 (учебный процесс, интеграции).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lastRenderedPageBreak/>
        <w:t>5. Рекомендации по улучшению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376"/>
        <w:gridCol w:w="4624"/>
        <w:gridCol w:w="2621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676715" w:rsidTr="002F718D">
        <w:trPr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перед списком конкурентов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1–2</w:t>
            </w:r>
            <w:r>
              <w:rPr>
                <w:rFonts w:eastAsia="Times New Roman" w:cs="Times New Roman"/>
                <w:sz w:val="22"/>
              </w:rPr>
              <w:t xml:space="preserve">) </w:t>
            </w:r>
            <w:r>
              <w:rPr>
                <w:rFonts w:eastAsia="Times New Roman" w:cs="Times New Roman"/>
                <w:b/>
                <w:bCs/>
                <w:sz w:val="22"/>
              </w:rPr>
              <w:t>карту сегментов</w:t>
            </w:r>
            <w:r>
              <w:rPr>
                <w:rFonts w:eastAsia="Times New Roman" w:cs="Times New Roman"/>
                <w:sz w:val="22"/>
              </w:rPr>
              <w:t xml:space="preserve"> (4–5 категорий) с представителями недостающих сегментов (LMS вузовского контура, корпоративные LMS, open-source, status quo Excel); GetCourse при этом отнести к отдельному сегменту «Платформы онлайн-обучения» с пометкой «непрямой конкурент»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покрытия сегментов»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«Релевантность теме ВКР» — до 12/12 при перепозиционировании GetCourse (</w:t>
            </w:r>
            <w:r>
              <w:rPr>
                <w:rFonts w:eastAsia="Times New Roman" w:cs="Times New Roman"/>
                <w:b/>
                <w:bCs/>
                <w:sz w:val="22"/>
              </w:rPr>
              <w:t>+0…+3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Под каждой SWOT-таблицей в разделе 3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2–3</w:t>
            </w:r>
            <w:r>
              <w:rPr>
                <w:rFonts w:eastAsia="Times New Roman" w:cs="Times New Roman"/>
                <w:sz w:val="22"/>
              </w:rPr>
              <w:t>) добавить 2–3 строки «Что значит для проекта»: какую слабость конкурента использовать, какая сильная сторона — барьер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«Практическая применимость SWOT»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Добавить в бенчмаркинг (раздел 4,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4–5</w:t>
            </w:r>
            <w:r>
              <w:rPr>
                <w:rFonts w:eastAsia="Times New Roman" w:cs="Times New Roman"/>
                <w:sz w:val="22"/>
              </w:rPr>
              <w:t>) колонку с количественными рыночными метриками (доля внедрений в вузах, число известных клиентов — даже порядком величины) рядом с шкалой 0–5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«Числовые шкалы / метрики сравнения»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 абзацев «Вывод по бенчмаркингу»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 оформить мини-таблицу «Преимущества проекта vs Пробелы проекта» со ссылками на строки матрицы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«Обоснованность выводов из бенчмаркинга»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трёх конкурентов с обобщёнными Opportunities (1С: Университет, GetCourse, Парус) заменить формулировки на конкретные внешние возможности (изменения в нормативной базе ДПО, спрос на цифровизацию приёмной кампании, рост рынка корпоративного обучения)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S/W/O/T»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237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6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разделе 6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6–10</w:t>
            </w:r>
            <w:r>
              <w:rPr>
                <w:rFonts w:eastAsia="Times New Roman" w:cs="Times New Roman"/>
                <w:sz w:val="22"/>
              </w:rPr>
              <w:t>) для ключевых порогов SLA (99%, 4 ч RTO, 3 с отклика) добавить однострочное расчётное обоснование «при N пользователях и объёме K — почему именно это число»</w:t>
            </w:r>
          </w:p>
        </w:tc>
        <w:tc>
          <w:tcPr>
            <w:tcW w:w="26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«Реалистичность целевых значений SLA»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138 / 156</w:t>
      </w:r>
      <w:r>
        <w:rPr>
          <w:rFonts w:eastAsia="Times New Roman" w:cs="Times New Roman"/>
        </w:rPr>
        <w:t xml:space="preserve"> (~88,5%, «Отлично»).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scoring_1.md</w:t>
      </w:r>
      <w:r>
        <w:rPr>
          <w:rFonts w:eastAsia="Times New Roman" w:cs="Times New Roman"/>
        </w:rPr>
        <w:t>, не гарантии. Эффекты P1 пересекаются: например, карта сегментов одновременно влияет на «Полноту сегментов» и «Релевантность ВКР» (через перепозиционирование GetCourse). Простое суммирование верхних границ диапазонов завысит прогноз.</w:t>
      </w:r>
    </w:p>
    <w:p w:rsidR="00676715" w:rsidRDefault="00421C40">
      <w:pPr>
        <w:pStyle w:val="a0"/>
      </w:pPr>
      <w:r>
        <w:rPr>
          <w:rFonts w:eastAsia="Times New Roman" w:cs="Times New Roman"/>
        </w:rPr>
        <w:lastRenderedPageBreak/>
        <w:t>Условные сценарии (не гарантии; зависят от полноты внедрения каждой рекомендации):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Стабилизация в середине «Отлично» (~91–92%):</w:t>
      </w:r>
      <w:r>
        <w:rPr>
          <w:rFonts w:eastAsia="Times New Roman" w:cs="Times New Roman"/>
        </w:rPr>
        <w:t xml:space="preserve"> реализовать любые две P1 на минимальном уровне дескрипторов → расчётный прирост </w:t>
      </w:r>
      <w:r>
        <w:rPr>
          <w:rFonts w:eastAsia="Times New Roman" w:cs="Times New Roman"/>
          <w:b/>
          <w:bCs/>
        </w:rPr>
        <w:t>+5…+8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143–146 / 156</w:t>
      </w:r>
      <w:r>
        <w:rPr>
          <w:rFonts w:eastAsia="Times New Roman" w:cs="Times New Roman"/>
        </w:rPr>
        <w:t xml:space="preserve"> (~92–94%).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Верх «Отлично» (~95%):</w:t>
      </w:r>
      <w:r>
        <w:rPr>
          <w:rFonts w:eastAsia="Times New Roman" w:cs="Times New Roman"/>
        </w:rPr>
        <w:t xml:space="preserve"> все три P1 + одна P2 → расчётный прирост </w:t>
      </w:r>
      <w:r>
        <w:rPr>
          <w:rFonts w:eastAsia="Times New Roman" w:cs="Times New Roman"/>
          <w:b/>
          <w:bCs/>
        </w:rPr>
        <w:t>+9…+12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147–150 / 156</w:t>
      </w:r>
      <w:r>
        <w:rPr>
          <w:rFonts w:eastAsia="Times New Roman" w:cs="Times New Roman"/>
        </w:rPr>
        <w:t xml:space="preserve"> (~94–96%).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Близко к 156/156:</w:t>
      </w:r>
      <w:r>
        <w:rPr>
          <w:rFonts w:eastAsia="Times New Roman" w:cs="Times New Roman"/>
        </w:rPr>
        <w:t xml:space="preserve"> все P1 + все P2 — реалистичный, но не гарантированный сценарий; требует развёртывания каждого пункта на дескриптор 4.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2126"/>
        <w:gridCol w:w="2977"/>
        <w:gridCol w:w="3134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84" w:type="dxa"/>
          </w:tcPr>
          <w:p w:rsidR="00676715" w:rsidRDefault="00676715">
            <w:pPr>
              <w:pStyle w:val="Compact"/>
              <w:spacing w:before="0" w:after="60"/>
            </w:pP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29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3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676715" w:rsidTr="002F718D">
        <w:trPr>
          <w:jc w:val="center"/>
        </w:trPr>
        <w:tc>
          <w:tcPr>
            <w:tcW w:w="13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29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Обобщённые Opportunities у 3 из 5 конкурентов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2–3</w:t>
            </w:r>
            <w:r>
              <w:rPr>
                <w:rFonts w:eastAsia="Times New Roman" w:cs="Times New Roman"/>
                <w:sz w:val="22"/>
              </w:rPr>
              <w:t>); выводы по бенчмаркингу не оформлены как мини-таблица «пробелы/преимущества»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3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  <w:tr w:rsidR="00676715" w:rsidTr="002F718D">
        <w:trPr>
          <w:jc w:val="center"/>
        </w:trPr>
        <w:tc>
          <w:tcPr>
            <w:tcW w:w="13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вероятность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29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Сводный «Вывод по SWOT» без разбора по каждому конкуренту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</w:t>
            </w:r>
            <w:r>
              <w:rPr>
                <w:rFonts w:eastAsia="Times New Roman" w:cs="Times New Roman"/>
                <w:sz w:val="22"/>
              </w:rPr>
              <w:t>); количественные рыночные метрики в бенчмаркинге не введены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4–5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3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Карта сегментов рынка не введена; недостающие классы решений (LMS вузовского контура, корпоративные LMS, open-source) не представлены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1–2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676715" w:rsidTr="002F718D">
        <w:trPr>
          <w:jc w:val="center"/>
        </w:trPr>
        <w:tc>
          <w:tcPr>
            <w:tcW w:w="13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297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GetCourse не отнесён к отдельному сегменту с явным статусом «непрямой конкурент»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3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  <w:bookmarkEnd w:id="0"/>
    </w:tbl>
    <w:p w:rsidR="00676715" w:rsidRDefault="00421C40">
      <w:r>
        <w:rPr>
          <w:rFonts w:eastAsia="Times New Roman" w:cs="Times New Roman"/>
        </w:rPr>
        <w:br w:type="page"/>
      </w:r>
    </w:p>
    <w:p w:rsidR="00676715" w:rsidRDefault="00421C40">
      <w:pPr>
        <w:pStyle w:val="1"/>
      </w:pPr>
      <w:bookmarkStart w:id="6" w:name="аудит-задания-2"/>
      <w:r>
        <w:rPr>
          <w:rFonts w:ascii="Times New Roman" w:eastAsia="Times New Roman" w:hAnsi="Times New Roman" w:cs="Times New Roman"/>
        </w:rPr>
        <w:lastRenderedPageBreak/>
        <w:t>Аудит Задания 2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в вузе (ведение базы студентов, импорт из Excel, управление курсами и потоками, зачисление/отчисление, генерация приказов и служебных записок, отчётность и статистика); стек React + FastAPI + реляционная БД. В текущем задании проект формализуется как ИТ-услуга в терминах ITIL: процессы, RACI, регламенты, метрики и PDCA.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1. Итоговая оценка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Обязательная часть: 113 из 128 баллов (~88,3%).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Задание «со звёздочкой»: 9 из 12 баллов (~75%)</w:t>
      </w:r>
      <w:r>
        <w:rPr>
          <w:rFonts w:eastAsia="Times New Roman" w:cs="Times New Roman"/>
        </w:rPr>
        <w:t xml:space="preserve"> — задание со звёздочкой выполнено: бонус </w:t>
      </w:r>
      <w:r>
        <w:rPr>
          <w:rFonts w:eastAsia="Times New Roman" w:cs="Times New Roman"/>
          <w:b/>
          <w:bCs/>
        </w:rPr>
        <w:t>закрепляет</w:t>
      </w:r>
      <w:r>
        <w:rPr>
          <w:rFonts w:eastAsia="Times New Roman" w:cs="Times New Roman"/>
        </w:rPr>
        <w:t xml:space="preserve"> оценку «Отлично».</w:t>
      </w:r>
    </w:p>
    <w:p w:rsidR="00676715" w:rsidRDefault="00421C40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Отлично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676715" w:rsidRDefault="00421C40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= сырая оценка 0–4 × вес (взвешенный вклад критерия).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критерия).</w:t>
      </w:r>
    </w:p>
    <w:p w:rsidR="00676715" w:rsidRDefault="00421C40">
      <w:pPr>
        <w:pStyle w:val="3"/>
      </w:pPr>
      <w:bookmarkStart w:id="7" w:name="itil-процессы"/>
      <w:r>
        <w:rPr>
          <w:rFonts w:eastAsia="Times New Roman" w:cs="Times New Roman"/>
        </w:rPr>
        <w:t>ITIL-процессы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985"/>
        <w:gridCol w:w="1108"/>
        <w:gridCol w:w="992"/>
        <w:gridCol w:w="2410"/>
        <w:gridCol w:w="4126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Выбор релевантных ITIL-процессов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процессов из стандартного перечня ITIL: инциденты, проблемы, изменения, уровень услуг, доступ, конфигурации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2–7</w:t>
            </w:r>
            <w:r>
              <w:rPr>
                <w:rFonts w:eastAsia="Times New Roman" w:cs="Times New Roman"/>
                <w:sz w:val="22"/>
              </w:rPr>
              <w:t>). Полностью релевантны административной ИС с ПДн, импортом данных и управлением учётными записями.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выбора процессов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Сводное обоснование на трёх тезисах в конце раздела 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</w:t>
            </w:r>
            <w:r>
              <w:rPr>
                <w:rFonts w:eastAsia="Times New Roman" w:cs="Times New Roman"/>
                <w:sz w:val="22"/>
              </w:rPr>
              <w:t>). Логично, но без разбора критичности по каждому процессу.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Описание </w:t>
            </w:r>
            <w:r>
              <w:rPr>
                <w:rFonts w:eastAsia="Times New Roman" w:cs="Times New Roman"/>
                <w:sz w:val="22"/>
              </w:rPr>
              <w:lastRenderedPageBreak/>
              <w:t>целей процессов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Для каждого процесса — одна чёткая </w:t>
            </w:r>
            <w:r>
              <w:rPr>
                <w:rFonts w:eastAsia="Times New Roman" w:cs="Times New Roman"/>
                <w:sz w:val="22"/>
              </w:rPr>
              <w:lastRenderedPageBreak/>
              <w:t>управленческая фраза цели.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Определение границ процессов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процесса явно указаны точки старта/финиша.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ролей процессов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процесса перечислен набор ролей; согласован с RACI, кроме «Службы аудита» (см. § 4).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этапов процессов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Этапы перечислены последовательно (5–8 шагов на процесс). В «Управлении проблемами»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</w:t>
            </w:r>
            <w:r>
              <w:rPr>
                <w:rFonts w:eastAsia="Times New Roman" w:cs="Times New Roman"/>
                <w:sz w:val="22"/>
              </w:rPr>
              <w:t>) пересечение с управлением изменениями (см. § 4).</w:t>
            </w:r>
          </w:p>
        </w:tc>
      </w:tr>
      <w:tr w:rsidR="00676715" w:rsidTr="002F718D">
        <w:trPr>
          <w:jc w:val="center"/>
        </w:trPr>
        <w:tc>
          <w:tcPr>
            <w:tcW w:w="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процессов между собой</w:t>
            </w:r>
          </w:p>
        </w:tc>
        <w:tc>
          <w:tcPr>
            <w:tcW w:w="110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Подраздел «Связь с другими процессами» в каждом процессе + отдельный раздел 2 «Карта взаимосвязей» с потоками входов/выходов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 ITIL: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40 из 44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8" w:name="raci"/>
      <w:bookmarkEnd w:id="7"/>
      <w:r>
        <w:rPr>
          <w:rFonts w:eastAsia="Times New Roman" w:cs="Times New Roman"/>
        </w:rPr>
        <w:t>RACI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510"/>
        <w:gridCol w:w="866"/>
        <w:gridCol w:w="851"/>
        <w:gridCol w:w="2268"/>
        <w:gridCol w:w="4126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8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2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5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матрицы RACI</w:t>
            </w:r>
          </w:p>
        </w:tc>
        <w:tc>
          <w:tcPr>
            <w:tcW w:w="8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Полная матрица 16 действий × 6 ролей с шапкой и легендой R/A/C/I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8–9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5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распределения ролей</w:t>
            </w:r>
          </w:p>
        </w:tc>
        <w:tc>
          <w:tcPr>
            <w:tcW w:w="8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Базовая логика читается (АС — поддержка, Р — разработка, D — релиз, А — анализ, МП — accountable). Снижение из-за проблемных строк с двойными R и совмещениями R/A, R/C.</w:t>
            </w:r>
          </w:p>
        </w:tc>
      </w:tr>
      <w:tr w:rsidR="00676715" w:rsidTr="002F718D">
        <w:trPr>
          <w:jc w:val="center"/>
        </w:trPr>
        <w:tc>
          <w:tcPr>
            <w:tcW w:w="15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конфликтов ответственности</w:t>
            </w:r>
          </w:p>
        </w:tc>
        <w:tc>
          <w:tcPr>
            <w:tcW w:w="8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5 проблемных строк из 16 (R/A, R/C на одной роли в одном этапе, двойные R) —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</w:p>
        </w:tc>
      </w:tr>
      <w:tr w:rsidR="00676715" w:rsidTr="002F718D">
        <w:trPr>
          <w:jc w:val="center"/>
        </w:trPr>
        <w:tc>
          <w:tcPr>
            <w:tcW w:w="15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Связь ролей с </w:t>
            </w:r>
            <w:r>
              <w:rPr>
                <w:rFonts w:eastAsia="Times New Roman" w:cs="Times New Roman"/>
                <w:sz w:val="22"/>
              </w:rPr>
              <w:lastRenderedPageBreak/>
              <w:t>процессами</w:t>
            </w:r>
          </w:p>
        </w:tc>
        <w:tc>
          <w:tcPr>
            <w:tcW w:w="8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2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Состав ролей RACI совпадает с </w:t>
            </w:r>
            <w:r>
              <w:rPr>
                <w:rFonts w:eastAsia="Times New Roman" w:cs="Times New Roman"/>
                <w:sz w:val="22"/>
              </w:rPr>
              <w:lastRenderedPageBreak/>
              <w:t>описаниями процессов, кроме «Службы аудита»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 xml:space="preserve"> vs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5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Соответствие масштабу проекта</w:t>
            </w:r>
          </w:p>
        </w:tc>
        <w:tc>
          <w:tcPr>
            <w:tcW w:w="8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Шесть ролей (Пользователь, АС, Разработчик, DevOps, Аналитик, МП) — реалистичный набор для внутреннего цифрового сервиса вуза.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 RACI: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25 из 32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9" w:name="регламенты-и-их-описание"/>
      <w:bookmarkEnd w:id="8"/>
      <w:r>
        <w:rPr>
          <w:rFonts w:eastAsia="Times New Roman" w:cs="Times New Roman"/>
        </w:rPr>
        <w:t>Регламенты и их описание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555"/>
        <w:gridCol w:w="963"/>
        <w:gridCol w:w="851"/>
        <w:gridCol w:w="2126"/>
        <w:gridCol w:w="4126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регламентов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5 регламентов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9–15</w:t>
            </w:r>
            <w:r>
              <w:rPr>
                <w:rFonts w:eastAsia="Times New Roman" w:cs="Times New Roman"/>
                <w:sz w:val="22"/>
              </w:rPr>
              <w:t>) при 6 описанных как ключевых процессах в разделе 1; нет регламента для «Управления уровнем услуг».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Соответствие регламентов процессам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Каждый из 5 регламентов привязан к соответствующему ITIL-процессу; названия и содержание совпадают с границами и этапами раздела 1.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Структурированность перечня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Единый формат: Цель → Область → Ценность → Входы → Выходы → Действия.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Формулировка цели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каждого регламента — одна короткая управленческая фраза цели.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области применения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Область применения чётко очерчена для каждого регламента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9–15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ценности регламента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 4–6 пунктов ценности на регламент; часть пунктов описывает эффект, а не управленческую ценность для роли/бизнес-цели.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входов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Перечни входов из 4–5 конкретных пунктов (логи, скриншоты, история инцидентов, метрики SLA).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выходов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Выходы перечислены явно и согласованы с целями регламентов.</w:t>
            </w:r>
          </w:p>
        </w:tc>
      </w:tr>
      <w:tr w:rsidR="00676715" w:rsidTr="002F718D">
        <w:trPr>
          <w:jc w:val="center"/>
        </w:trPr>
        <w:tc>
          <w:tcPr>
            <w:tcW w:w="15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последовательности действий</w:t>
            </w:r>
          </w:p>
        </w:tc>
        <w:tc>
          <w:tcPr>
            <w:tcW w:w="9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Последовательности 7–9 шагов без логических разрывов; шаги завершаются закрытием/документированием.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lastRenderedPageBreak/>
        <w:t>Подытог блока «Регламенты»: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48 из 52</w:t>
      </w:r>
      <w:r>
        <w:rPr>
          <w:rFonts w:eastAsia="Times New Roman" w:cs="Times New Roman"/>
        </w:rPr>
        <w:t>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Сводный расчёт обязательной части:</w:t>
      </w:r>
      <w:r>
        <w:rPr>
          <w:rFonts w:eastAsia="Times New Roman" w:cs="Times New Roman"/>
        </w:rPr>
        <w:t xml:space="preserve"> 40 + 25 + 48 = </w:t>
      </w:r>
      <w:r>
        <w:rPr>
          <w:rFonts w:eastAsia="Times New Roman" w:cs="Times New Roman"/>
          <w:b/>
          <w:bCs/>
        </w:rPr>
        <w:t>113 из 128</w:t>
      </w:r>
      <w:r>
        <w:rPr>
          <w:rFonts w:eastAsia="Times New Roman" w:cs="Times New Roman"/>
        </w:rPr>
        <w:t>.</w:t>
      </w:r>
    </w:p>
    <w:bookmarkEnd w:id="9"/>
    <w:p w:rsidR="00676715" w:rsidRDefault="002F718D">
      <w:pPr>
        <w:pStyle w:val="3"/>
      </w:pPr>
      <w:r>
        <w:rPr>
          <w:rFonts w:eastAsia="Times New Roman" w:cs="Times New Roman"/>
          <w:lang w:val="ru-RU"/>
        </w:rPr>
        <w:t>Задание</w:t>
      </w:r>
      <w:r w:rsidR="00421C40">
        <w:rPr>
          <w:rFonts w:eastAsia="Times New Roman" w:cs="Times New Roman"/>
        </w:rPr>
        <w:t xml:space="preserve"> «со звёздочкой»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511"/>
        <w:gridCol w:w="1149"/>
        <w:gridCol w:w="1559"/>
        <w:gridCol w:w="1701"/>
        <w:gridCol w:w="3701"/>
      </w:tblGrid>
      <w:tr w:rsidR="00676715" w:rsidTr="002F71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1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14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3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2F718D">
        <w:trPr>
          <w:jc w:val="center"/>
        </w:trPr>
        <w:tc>
          <w:tcPr>
            <w:tcW w:w="151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Карта взаимосвязей процессов</w:t>
            </w:r>
          </w:p>
        </w:tc>
        <w:tc>
          <w:tcPr>
            <w:tcW w:w="114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2: основная цепочка + список передачи входов/выходов между парами процессов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7–8</w:t>
            </w:r>
            <w:r>
              <w:rPr>
                <w:rFonts w:eastAsia="Times New Roman" w:cs="Times New Roman"/>
                <w:sz w:val="22"/>
              </w:rPr>
              <w:t>). Только текст, без схемы/матрицы потоков.</w:t>
            </w:r>
          </w:p>
        </w:tc>
      </w:tr>
      <w:tr w:rsidR="00676715" w:rsidTr="002F718D">
        <w:trPr>
          <w:jc w:val="center"/>
        </w:trPr>
        <w:tc>
          <w:tcPr>
            <w:tcW w:w="151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Метрики эффективности (KPI/SLA/OLA)</w:t>
            </w:r>
          </w:p>
        </w:tc>
        <w:tc>
          <w:tcPr>
            <w:tcW w:w="114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Три таблицы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15</w:t>
            </w:r>
            <w:r>
              <w:rPr>
                <w:rFonts w:eastAsia="Times New Roman" w:cs="Times New Roman"/>
                <w:sz w:val="22"/>
              </w:rPr>
              <w:t>): KPI на 5 процессов, SLA — 9, OLA — 5. У KPI нет числовых таргетов, формул и источников данных.</w:t>
            </w:r>
          </w:p>
        </w:tc>
      </w:tr>
      <w:tr w:rsidR="00676715" w:rsidTr="002F718D">
        <w:trPr>
          <w:jc w:val="center"/>
        </w:trPr>
        <w:tc>
          <w:tcPr>
            <w:tcW w:w="151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Риски и механизм улучшения (PDCA)</w:t>
            </w:r>
          </w:p>
        </w:tc>
        <w:tc>
          <w:tcPr>
            <w:tcW w:w="114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 — четыре группы рисков; раздел 8 — все фазы PDCA с примером (импорт Excel). Нет приоритезации рисков и количественных индикаторов фазы Check.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бонуса: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>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Полная карта ITIL-процессов с явными связями.</w:t>
      </w:r>
      <w:r>
        <w:rPr>
          <w:rFonts w:eastAsia="Times New Roman" w:cs="Times New Roman"/>
        </w:rPr>
        <w:t xml:space="preserve"> В разделе 1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2–7</w:t>
      </w:r>
      <w:r>
        <w:rPr>
          <w:rFonts w:eastAsia="Times New Roman" w:cs="Times New Roman"/>
        </w:rPr>
        <w:t>) для каждого из шести процессов системно раскрыты цель, границы, роли, этапы и связь с другими процессами; дополнительно в разделе 2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7–8</w:t>
      </w:r>
      <w:r>
        <w:rPr>
          <w:rFonts w:eastAsia="Times New Roman" w:cs="Times New Roman"/>
        </w:rPr>
        <w:t>) сведены потоки входов/выходов между процессами — это редкая для учебных работ степень системности.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Полная RACI-матрица под все ключевые активности.</w:t>
      </w:r>
      <w:r>
        <w:rPr>
          <w:rFonts w:eastAsia="Times New Roman" w:cs="Times New Roman"/>
        </w:rPr>
        <w:t xml:space="preserve"> В разделе 3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8–9</w:t>
      </w:r>
      <w:r>
        <w:rPr>
          <w:rFonts w:eastAsia="Times New Roman" w:cs="Times New Roman"/>
        </w:rPr>
        <w:t>) — матрица 16 действий × 6 ролей с понятной легендой; шапка и обозначения соответствуют классической RACI.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Унифицированный формат регламентов и исчерпывающие списки входов/выходов.</w:t>
      </w:r>
      <w:r>
        <w:rPr>
          <w:rFonts w:eastAsia="Times New Roman" w:cs="Times New Roman"/>
        </w:rPr>
        <w:t xml:space="preserve"> Все 5 регламентов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9–15</w:t>
      </w:r>
      <w:r>
        <w:rPr>
          <w:rFonts w:eastAsia="Times New Roman" w:cs="Times New Roman"/>
        </w:rPr>
        <w:t>) построены по единой структуре (Цель → Область → Ценность → Входы → Выходы → Действия); каждый раздел содержит конкретные элементы (логи, метрики, журналы, артефакты конфигураций). Это даёт документу высокую сопоставимость и переиспользуемость.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lastRenderedPageBreak/>
        <w:t>Полное выполнение задания «со звёздочкой».</w:t>
      </w:r>
      <w:r>
        <w:rPr>
          <w:rFonts w:eastAsia="Times New Roman" w:cs="Times New Roman"/>
        </w:rPr>
        <w:t xml:space="preserve"> Закрыты все четыре блока: карта взаимосвязей, метрики KPI/SLA/OLA, риски без регламентов и цикл PDCA с прикладным примером (импорт Excel).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4. Замечания по блокам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«Первичная диагностика инцидента»):</w:t>
      </w:r>
      <w:r>
        <w:rPr>
          <w:rFonts w:eastAsia="Times New Roman" w:cs="Times New Roman"/>
        </w:rPr>
        <w:t xml:space="preserve"> у роли АС стоят </w:t>
      </w:r>
      <w:r>
        <w:rPr>
          <w:rFonts w:eastAsia="Times New Roman" w:cs="Times New Roman"/>
          <w:b/>
          <w:bCs/>
        </w:rPr>
        <w:t>R и A</w:t>
      </w:r>
      <w:r>
        <w:rPr>
          <w:rFonts w:eastAsia="Times New Roman" w:cs="Times New Roman"/>
        </w:rPr>
        <w:t xml:space="preserve"> одновременно — нарушение принципа «одна буква на роль в этапе» (исполнитель ≠ accountable).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оставить </w:t>
      </w:r>
      <w:r>
        <w:rPr>
          <w:rFonts w:eastAsia="Times New Roman" w:cs="Times New Roman"/>
          <w:b/>
          <w:bCs/>
        </w:rPr>
        <w:t>R</w:t>
      </w:r>
      <w:r>
        <w:rPr>
          <w:rFonts w:eastAsia="Times New Roman" w:cs="Times New Roman"/>
        </w:rPr>
        <w:t xml:space="preserve"> на АС, </w:t>
      </w:r>
      <w:r>
        <w:rPr>
          <w:rFonts w:eastAsia="Times New Roman" w:cs="Times New Roman"/>
          <w:b/>
          <w:bCs/>
        </w:rPr>
        <w:t>A</w:t>
      </w:r>
      <w:r>
        <w:rPr>
          <w:rFonts w:eastAsia="Times New Roman" w:cs="Times New Roman"/>
        </w:rPr>
        <w:t xml:space="preserve"> перенести на МП или на владельца процесса инцидентов.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«Устранение сбоя в работе системы»):</w:t>
      </w:r>
      <w:r>
        <w:rPr>
          <w:rFonts w:eastAsia="Times New Roman" w:cs="Times New Roman"/>
        </w:rPr>
        <w:t xml:space="preserve"> у Р и D — комбинация </w:t>
      </w:r>
      <w:r>
        <w:rPr>
          <w:rFonts w:eastAsia="Times New Roman" w:cs="Times New Roman"/>
          <w:b/>
          <w:bCs/>
        </w:rPr>
        <w:t>R/C</w:t>
      </w:r>
      <w:r>
        <w:rPr>
          <w:rFonts w:eastAsia="Times New Roman" w:cs="Times New Roman"/>
        </w:rPr>
        <w:t xml:space="preserve"> на одной роли в одном этапе. По строгому RACI каждый этап для каждой роли должен иметь одну букву; такая запись допустима только как компактная сокращённая форма для декомпозированного этапа.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декомпозировать строку на две (например, «Подготовка фикса» — R: Р; «Деплой фикса» — R: D).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«Назначение или отзыв прав»):</w:t>
      </w:r>
      <w:r>
        <w:rPr>
          <w:rFonts w:eastAsia="Times New Roman" w:cs="Times New Roman"/>
        </w:rPr>
        <w:t xml:space="preserve"> у АС снова </w:t>
      </w:r>
      <w:r>
        <w:rPr>
          <w:rFonts w:eastAsia="Times New Roman" w:cs="Times New Roman"/>
          <w:b/>
          <w:bCs/>
        </w:rPr>
        <w:t>R/A</w:t>
      </w:r>
      <w:r>
        <w:rPr>
          <w:rFonts w:eastAsia="Times New Roman" w:cs="Times New Roman"/>
        </w:rPr>
        <w:t xml:space="preserve"> — аналогично первому замечанию.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развести </w:t>
      </w:r>
      <w:r>
        <w:rPr>
          <w:rFonts w:eastAsia="Times New Roman" w:cs="Times New Roman"/>
          <w:b/>
          <w:bCs/>
        </w:rPr>
        <w:t>R</w:t>
      </w:r>
      <w:r>
        <w:rPr>
          <w:rFonts w:eastAsia="Times New Roman" w:cs="Times New Roman"/>
        </w:rPr>
        <w:t xml:space="preserve"> (АС) и </w:t>
      </w:r>
      <w:r>
        <w:rPr>
          <w:rFonts w:eastAsia="Times New Roman" w:cs="Times New Roman"/>
          <w:b/>
          <w:bCs/>
        </w:rPr>
        <w:t>A</w:t>
      </w:r>
      <w:r>
        <w:rPr>
          <w:rFonts w:eastAsia="Times New Roman" w:cs="Times New Roman"/>
        </w:rPr>
        <w:t xml:space="preserve"> (Руководитель/владелец процесса доступа из описания на </w:t>
      </w:r>
      <w:r>
        <w:rPr>
          <w:rFonts w:eastAsia="Times New Roman" w:cs="Times New Roman"/>
          <w:b/>
          <w:bCs/>
        </w:rPr>
        <w:t>стр. 6</w:t>
      </w:r>
      <w:r>
        <w:rPr>
          <w:rFonts w:eastAsia="Times New Roman" w:cs="Times New Roman"/>
        </w:rPr>
        <w:t>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строки «Формирование запроса на изменение» и «Обработка заявки на доступ»):</w:t>
      </w:r>
      <w:r>
        <w:rPr>
          <w:rFonts w:eastAsia="Times New Roman" w:cs="Times New Roman"/>
        </w:rPr>
        <w:t xml:space="preserve"> двойной </w:t>
      </w:r>
      <w:r>
        <w:rPr>
          <w:rFonts w:eastAsia="Times New Roman" w:cs="Times New Roman"/>
          <w:b/>
          <w:bCs/>
        </w:rPr>
        <w:t>R</w:t>
      </w:r>
      <w:r>
        <w:rPr>
          <w:rFonts w:eastAsia="Times New Roman" w:cs="Times New Roman"/>
        </w:rPr>
        <w:t xml:space="preserve"> у АС/А и ПС/АС соответственно. Допустимо при декомпозиции, но в текущем виде неопределённость, кто фактически выполняет шаг.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детализировать строку или назначить одного R.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6 vs стр. 9 (Управление доступом):</w:t>
      </w:r>
      <w:r>
        <w:rPr>
          <w:rFonts w:eastAsia="Times New Roman" w:cs="Times New Roman"/>
        </w:rPr>
        <w:t xml:space="preserve"> в описании процесса роль «Служба аудита» есть, в RACI её нет.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либо добавить «Служба аудита» в матрицу с ролью </w:t>
      </w:r>
      <w:r>
        <w:rPr>
          <w:rFonts w:eastAsia="Times New Roman" w:cs="Times New Roman"/>
          <w:b/>
          <w:bCs/>
        </w:rPr>
        <w:t>C/I</w:t>
      </w:r>
      <w:r>
        <w:rPr>
          <w:rFonts w:eastAsia="Times New Roman" w:cs="Times New Roman"/>
        </w:rPr>
        <w:t xml:space="preserve"> на этапах «Назначение или отзыв прав» и «Периодический пересмотр прав», либо убрать роль из описания процесса.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3 (Управление проблемами, ключевые этапы):</w:t>
      </w:r>
      <w:r>
        <w:rPr>
          <w:rFonts w:eastAsia="Times New Roman" w:cs="Times New Roman"/>
        </w:rPr>
        <w:t xml:space="preserve"> одновременно присутствуют «Внедрение изменения» и «Взаимодействие с управлением изменениями» — пересечение границ. По ITIL внедрение — функция управления изменениями; проблема </w:t>
      </w:r>
      <w:r>
        <w:rPr>
          <w:rFonts w:eastAsia="Times New Roman" w:cs="Times New Roman"/>
          <w:b/>
          <w:bCs/>
        </w:rPr>
        <w:t>передаёт</w:t>
      </w:r>
      <w:r>
        <w:rPr>
          <w:rFonts w:eastAsia="Times New Roman" w:cs="Times New Roman"/>
        </w:rPr>
        <w:t xml:space="preserve"> RFC.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исключить «Внедрение изменения» из этапов проблемы, оставить только «Передача запроса в управление изменениями».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9–15 (раздел «Перечень регламентов») — отсутствие регламента для процесса «Управление уровнем услуг»:</w:t>
      </w:r>
      <w:r>
        <w:rPr>
          <w:rFonts w:eastAsia="Times New Roman" w:cs="Times New Roman"/>
        </w:rPr>
        <w:t xml:space="preserve"> сам процесс описан как ключевой в разделе 1 (</w:t>
      </w:r>
      <w:r>
        <w:rPr>
          <w:rFonts w:eastAsia="Times New Roman" w:cs="Times New Roman"/>
          <w:b/>
          <w:bCs/>
        </w:rPr>
        <w:t>стр. 5</w:t>
      </w:r>
      <w:r>
        <w:rPr>
          <w:rFonts w:eastAsia="Times New Roman" w:cs="Times New Roman"/>
        </w:rPr>
        <w:t xml:space="preserve">) и присутствует в RACI отдельными активностями («Согласование SLA и KPI», «Мониторинг уровня и услуг», «Подготовка отчёта по качеству процесса»), но регламент по нему не сформулирован. Раздел 5 «Метрики </w:t>
      </w:r>
      <w:r>
        <w:rPr>
          <w:rFonts w:eastAsia="Times New Roman" w:cs="Times New Roman"/>
        </w:rPr>
        <w:lastRenderedPageBreak/>
        <w:t xml:space="preserve">эффективности» содержательно покрывает SLA/OLA — это </w:t>
      </w:r>
      <w:r>
        <w:rPr>
          <w:rFonts w:eastAsia="Times New Roman" w:cs="Times New Roman"/>
          <w:b/>
          <w:bCs/>
        </w:rPr>
        <w:t>частичная компенсация</w:t>
      </w:r>
      <w:r>
        <w:rPr>
          <w:rFonts w:eastAsia="Times New Roman" w:cs="Times New Roman"/>
        </w:rPr>
        <w:t xml:space="preserve">, поэтому уровень дескриптора 3 («почти полный набор»), а не 2.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регламент «Управление уровнем услуг» в едином формате (Цель → Область → Ценность → Входы → Выходы → Действия) со ссылками на таблицы SLA/OLA из раздела 5.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9–15 (ценность регламентов):</w:t>
      </w:r>
      <w:r>
        <w:rPr>
          <w:rFonts w:eastAsia="Times New Roman" w:cs="Times New Roman"/>
        </w:rPr>
        <w:t xml:space="preserve"> часть пунктов ценности описывает </w:t>
      </w:r>
      <w:r>
        <w:rPr>
          <w:rFonts w:eastAsia="Times New Roman" w:cs="Times New Roman"/>
          <w:b/>
          <w:bCs/>
        </w:rPr>
        <w:t>эффект</w:t>
      </w:r>
      <w:r>
        <w:rPr>
          <w:rFonts w:eastAsia="Times New Roman" w:cs="Times New Roman"/>
        </w:rPr>
        <w:t xml:space="preserve"> («сокращение времени простоя», «повышение предсказуемости поддержки»), а не </w:t>
      </w:r>
      <w:r>
        <w:rPr>
          <w:rFonts w:eastAsia="Times New Roman" w:cs="Times New Roman"/>
          <w:b/>
          <w:bCs/>
        </w:rPr>
        <w:t>управленческую ценность для роли-стейкхолдера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каждого пункта ценности указать получателя (роль или бизнес-цель), к которой эта ценность привязана.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15 (раздел 5, KPI):</w:t>
      </w:r>
      <w:r>
        <w:rPr>
          <w:rFonts w:eastAsia="Times New Roman" w:cs="Times New Roman"/>
        </w:rPr>
        <w:t xml:space="preserve"> KPI заданы как перечни без числовых таргетов, формул и источников.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привести KPI к виду «метрика — формула — целевое значение — источник данных»; явно связать каждый KPI с процессом и с пунктом OLA, который он операционализирует.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7 (обоснование выбора процессов):</w:t>
      </w:r>
      <w:r>
        <w:rPr>
          <w:rFonts w:eastAsia="Times New Roman" w:cs="Times New Roman"/>
        </w:rPr>
        <w:t xml:space="preserve"> общее обоснование на трёх тезисах (устойчивость, защита ПДн, техническая структура).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разбор критичности </w:t>
      </w:r>
      <w:r>
        <w:rPr>
          <w:rFonts w:eastAsia="Times New Roman" w:cs="Times New Roman"/>
          <w:b/>
          <w:bCs/>
        </w:rPr>
        <w:t>по каждому из шести процессов</w:t>
      </w:r>
      <w:r>
        <w:rPr>
          <w:rFonts w:eastAsia="Times New Roman" w:cs="Times New Roman"/>
        </w:rPr>
        <w:t xml:space="preserve"> в формате «процесс → бизнес-риск без него → последствия для ДПО-сервиса».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solution_2.docx</w:t>
      </w:r>
      <w:r>
        <w:rPr>
          <w:rFonts w:eastAsia="Times New Roman" w:cs="Times New Roman"/>
          <w:b/>
          <w:bCs/>
        </w:rPr>
        <w:t>, стр. 9 (RACI, строка «Периодический пересмотр праы»):</w:t>
      </w:r>
      <w:r>
        <w:rPr>
          <w:rFonts w:eastAsia="Times New Roman" w:cs="Times New Roman"/>
        </w:rPr>
        <w:t xml:space="preserve"> опечатка «праы» вместо «прав». На балл не влияет; снижает воспринимаемое качество.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5. Рекомендации по улучшению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3774"/>
        <w:gridCol w:w="3896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Устранить три R/A-конфликта и совмещение R/C на одной роли — разнести по правилам RACI: один R, один A на этап, остальные C/I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«Отсутствие конфликтов» с 4 до 6–8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+2…+4</w:t>
            </w:r>
            <w:r>
              <w:rPr>
                <w:rFonts w:eastAsia="Times New Roman" w:cs="Times New Roman"/>
                <w:sz w:val="22"/>
              </w:rPr>
              <w:t>); «Логика распределения ролей» до 8/8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регламент для процесса «Управление уровнем услуг» в едином формате с остальными (со ссылками на SLA/OLA из раздела 5)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регламентов»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Привести KPI к виду «метрика — формула — целевое значение — источник данных»; связать с OLA и процессами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«Метрики эффективности»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Углубить «Описание ценности регламента»: для каждого пункта ценности — получатель </w:t>
            </w:r>
            <w:r>
              <w:rPr>
                <w:rFonts w:eastAsia="Times New Roman" w:cs="Times New Roman"/>
                <w:sz w:val="22"/>
              </w:rPr>
              <w:lastRenderedPageBreak/>
              <w:t>(роль/бизнес-цель)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«Описание ценности»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Доработать обоснование выбора ITIL-процессов — критичность по каждому процессу в формате «процесс → бизнес-риск без него → последствия»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«Обоснование выбора процессов»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Согласовать состав ролей RACI ↔ описания процессов: добавить «Службу аудита» в RACI или убрать из описания «Управления доступом»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«Связь ролей с процессами»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Исправить пересечение в этапах «Управления проблемами» (исключить «Внедрение изменения»)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«Описание этапов процессов»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Преобразовать карту взаимосвязей в графическую схему или матрицу потоков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«Карта взаимосвязей»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приоритезацию рисков (вероятность × влияние) и индикаторы фазы Check в PDCA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«Риски и PDCA»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37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Исправить опечатку «праы» → «прав»</w:t>
            </w:r>
          </w:p>
        </w:tc>
        <w:tc>
          <w:tcPr>
            <w:tcW w:w="389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 балл не влияет; повышает воспринимаемое качество.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 (с оговорками).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113 / 128</w:t>
      </w:r>
      <w:r>
        <w:rPr>
          <w:rFonts w:eastAsia="Times New Roman" w:cs="Times New Roman"/>
        </w:rPr>
        <w:t xml:space="preserve"> (~88,3%), категория «Отлично».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scoring_2.md</w:t>
      </w:r>
      <w:r>
        <w:rPr>
          <w:rFonts w:eastAsia="Times New Roman" w:cs="Times New Roman"/>
        </w:rPr>
        <w:t xml:space="preserve">, не гарантии. Эффекты P0/P1 </w:t>
      </w:r>
      <w:r>
        <w:rPr>
          <w:rFonts w:eastAsia="Times New Roman" w:cs="Times New Roman"/>
          <w:b/>
          <w:bCs/>
        </w:rPr>
        <w:t>пересекаются</w:t>
      </w:r>
      <w:r>
        <w:rPr>
          <w:rFonts w:eastAsia="Times New Roman" w:cs="Times New Roman"/>
        </w:rPr>
        <w:t>: исправление R/A-конфликтов одновременно поднимает «Логику» и «Отсутствие конфликтов»; добавление SLM-регламента частично разгружает «Описание ценности». Простое суммирование верхних границ диапазонов завысит прогноз.</w:t>
      </w:r>
    </w:p>
    <w:p w:rsidR="00676715" w:rsidRDefault="00421C40">
      <w:pPr>
        <w:pStyle w:val="a0"/>
      </w:pPr>
      <w:r>
        <w:rPr>
          <w:rFonts w:eastAsia="Times New Roman" w:cs="Times New Roman"/>
        </w:rPr>
        <w:t>Условные сценарии (не гарантии):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Стабилизация в середине «Отлично» (~91–92%):</w:t>
      </w:r>
      <w:r>
        <w:rPr>
          <w:rFonts w:eastAsia="Times New Roman" w:cs="Times New Roman"/>
        </w:rPr>
        <w:t xml:space="preserve"> обе P0 на минимальном уровне дескрипторов → прирост </w:t>
      </w:r>
      <w:r>
        <w:rPr>
          <w:rFonts w:eastAsia="Times New Roman" w:cs="Times New Roman"/>
          <w:b/>
          <w:bCs/>
        </w:rPr>
        <w:t>+4…+6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117–119 / 128</w:t>
      </w:r>
      <w:r>
        <w:rPr>
          <w:rFonts w:eastAsia="Times New Roman" w:cs="Times New Roman"/>
        </w:rPr>
        <w:t xml:space="preserve"> (91–93%).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Верх «Отлично» (~94%):</w:t>
      </w:r>
      <w:r>
        <w:rPr>
          <w:rFonts w:eastAsia="Times New Roman" w:cs="Times New Roman"/>
        </w:rPr>
        <w:t xml:space="preserve"> обе P0 + две P1 на уровне дескриптора 4 → прирост </w:t>
      </w:r>
      <w:r>
        <w:rPr>
          <w:rFonts w:eastAsia="Times New Roman" w:cs="Times New Roman"/>
          <w:b/>
          <w:bCs/>
        </w:rPr>
        <w:t>+8…+12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121–125 / 128</w:t>
      </w:r>
      <w:r>
        <w:rPr>
          <w:rFonts w:eastAsia="Times New Roman" w:cs="Times New Roman"/>
        </w:rPr>
        <w:t xml:space="preserve"> (94–98%).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Близко к 128/128:</w:t>
      </w:r>
      <w:r>
        <w:rPr>
          <w:rFonts w:eastAsia="Times New Roman" w:cs="Times New Roman"/>
        </w:rPr>
        <w:t xml:space="preserve"> все P0 + все P1 + устранение мелких пунктов P2 — реалистичный, но не гарантированный сценарий.</w:t>
      </w:r>
    </w:p>
    <w:p w:rsidR="00676715" w:rsidRPr="00C31BE9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lastRenderedPageBreak/>
        <w:t>6. Карта рисков работы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807"/>
        <w:gridCol w:w="936"/>
        <w:gridCol w:w="4812"/>
        <w:gridCol w:w="3066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07" w:type="dxa"/>
          </w:tcPr>
          <w:p w:rsidR="00676715" w:rsidRDefault="00676715">
            <w:pPr>
              <w:pStyle w:val="Compact"/>
              <w:spacing w:before="0" w:after="60"/>
            </w:pPr>
          </w:p>
        </w:tc>
        <w:tc>
          <w:tcPr>
            <w:tcW w:w="93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481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30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676715" w:rsidTr="00C31BE9">
        <w:trPr>
          <w:jc w:val="center"/>
        </w:trPr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93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Опечатка «праы» в RACI</w:t>
            </w:r>
          </w:p>
        </w:tc>
        <w:tc>
          <w:tcPr>
            <w:tcW w:w="481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числовых таргетов у KPI; ценность регламентов как «эффект», а не «управленческая ценность»</w:t>
            </w:r>
          </w:p>
        </w:tc>
        <w:tc>
          <w:tcPr>
            <w:tcW w:w="30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R/A-конфликты в RACI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solution_2.docx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  <w:r>
              <w:rPr>
                <w:rFonts w:eastAsia="Times New Roman" w:cs="Times New Roman"/>
                <w:sz w:val="22"/>
              </w:rPr>
              <w:t>) и R/C на одной роли</w:t>
            </w:r>
          </w:p>
        </w:tc>
      </w:tr>
      <w:tr w:rsidR="00676715" w:rsidTr="00C31BE9">
        <w:trPr>
          <w:jc w:val="center"/>
        </w:trPr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 вероятность</w:t>
            </w:r>
          </w:p>
        </w:tc>
        <w:tc>
          <w:tcPr>
            <w:tcW w:w="93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481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Несогласованность ролей RACI ↔ описание процесса доступа («Служба аудита»)</w:t>
            </w:r>
          </w:p>
        </w:tc>
        <w:tc>
          <w:tcPr>
            <w:tcW w:w="30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Отсутствие регламента для процесса «Управление уровнем услуг»</w:t>
            </w:r>
          </w:p>
        </w:tc>
      </w:tr>
      <w:tr w:rsidR="00676715" w:rsidTr="00C31BE9">
        <w:trPr>
          <w:jc w:val="center"/>
        </w:trPr>
        <w:tc>
          <w:tcPr>
            <w:tcW w:w="80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93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481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Пересечение границ процессов в этапах «Управления проблемами»; отсутствие приоритезации рисков и индикаторов PDCA</w:t>
            </w:r>
          </w:p>
        </w:tc>
        <w:tc>
          <w:tcPr>
            <w:tcW w:w="306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</w:tbl>
    <w:p w:rsidR="00C31BE9" w:rsidRDefault="00C31BE9">
      <w:r>
        <w:br w:type="page"/>
      </w:r>
    </w:p>
    <w:p w:rsidR="00676715" w:rsidRDefault="00421C40">
      <w:pPr>
        <w:pStyle w:val="1"/>
      </w:pPr>
      <w:bookmarkStart w:id="10" w:name="аудит-задания-3"/>
      <w:bookmarkEnd w:id="6"/>
      <w:r>
        <w:rPr>
          <w:rFonts w:ascii="Times New Roman" w:eastAsia="Times New Roman" w:hAnsi="Times New Roman" w:cs="Times New Roman"/>
        </w:rPr>
        <w:lastRenderedPageBreak/>
        <w:t>Аудит Задания 3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(ведение базы обучающихся, импорт Excel, управление курсами и потоками, генерация приказов и служебных записок). В текущем задании для проекта разрабатывается система метрик и мониторинга: ключевые показатели сервиса, методика измерения, макет дашборда, пороги/алерты и сценарии реагирования. Бонус «со звёздочкой» — продвинутая часть: уровни метрик, leading/lagging, эволюция дашборда, защита от шумных алертов.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1. Итоговая оценка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Обязательная часть: 135 из 160 баллов (~84,4%).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Задание «со звёздочкой»: 10 из 12 баллов (~83%)</w:t>
      </w:r>
      <w:r>
        <w:rPr>
          <w:rFonts w:eastAsia="Times New Roman" w:cs="Times New Roman"/>
        </w:rPr>
        <w:t xml:space="preserve"> — продвинутая часть выполнена</w:t>
      </w:r>
    </w:p>
    <w:p w:rsidR="00676715" w:rsidRDefault="00421C40">
      <w:pPr>
        <w:pStyle w:val="a0"/>
      </w:pPr>
      <w:r>
        <w:rPr>
          <w:rFonts w:eastAsia="Times New Roman" w:cs="Times New Roman"/>
        </w:rPr>
        <w:t>Выполнение бонусоного задания, позволяет уменьшить планку до отметки “отлично”</w:t>
      </w:r>
    </w:p>
    <w:p w:rsidR="00676715" w:rsidRDefault="00421C40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Отлично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676715" w:rsidRDefault="00421C40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= сырая оценка 0–4 × вес (взвешенный вклад критерия). Чтобы восстановить сырую оценку — поделить значение в колонке «Балл» на «Вес».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критерия).</w:t>
      </w:r>
    </w:p>
    <w:p w:rsidR="00676715" w:rsidRDefault="00421C40">
      <w:pPr>
        <w:pStyle w:val="3"/>
      </w:pPr>
      <w:bookmarkStart w:id="11" w:name="ключевые-метрики-сервиса"/>
      <w:r>
        <w:rPr>
          <w:rFonts w:eastAsia="Times New Roman" w:cs="Times New Roman"/>
        </w:rPr>
        <w:t>Ключевые метрики сервиса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474"/>
        <w:gridCol w:w="902"/>
        <w:gridCol w:w="993"/>
        <w:gridCol w:w="1984"/>
        <w:gridCol w:w="4268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4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Релевантность набора метрик сервису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 метрик закрывают все типовые срезы для административной ИС: доступность, отклик API, ошибки, RTO, импорт Excel ×2, генерация документов ×2, инциденты, CSAT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1–4</w:t>
            </w:r>
            <w:r>
              <w:rPr>
                <w:rFonts w:eastAsia="Times New Roman" w:cs="Times New Roman"/>
                <w:sz w:val="22"/>
              </w:rPr>
              <w:t>, разделы 2.1–2.10). Привязка к ключевым сценариям проекта явная.</w:t>
            </w:r>
          </w:p>
        </w:tc>
      </w:tr>
      <w:tr w:rsidR="00676715" w:rsidTr="00C31BE9">
        <w:trPr>
          <w:jc w:val="center"/>
        </w:trPr>
        <w:tc>
          <w:tcPr>
            <w:tcW w:w="14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Баланс метрик (стабильность, качество, клиент/бизне</w:t>
            </w:r>
            <w:r>
              <w:rPr>
                <w:rFonts w:eastAsia="Times New Roman" w:cs="Times New Roman"/>
                <w:sz w:val="22"/>
              </w:rPr>
              <w:lastRenderedPageBreak/>
              <w:t>с)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Системный баланс по уровням закреплён в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24</w:t>
            </w:r>
            <w:r>
              <w:rPr>
                <w:rFonts w:eastAsia="Times New Roman" w:cs="Times New Roman"/>
                <w:sz w:val="22"/>
              </w:rPr>
              <w:t>: технические — 4 метрики, процессные — 4, бизнес/пользовательские — 2.</w:t>
            </w:r>
          </w:p>
        </w:tc>
      </w:tr>
      <w:tr w:rsidR="00676715" w:rsidTr="00C31BE9">
        <w:trPr>
          <w:jc w:val="center"/>
        </w:trPr>
        <w:tc>
          <w:tcPr>
            <w:tcW w:w="14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важности каждой метрики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Блок «Почему важна» есть для всех 10 метрик. Привязка качественная — без количественной увязки с рисками, SLA из Задания 1/2 и потерями.</w:t>
            </w:r>
          </w:p>
        </w:tc>
      </w:tr>
      <w:tr w:rsidR="00676715" w:rsidTr="00C31BE9">
        <w:trPr>
          <w:jc w:val="center"/>
        </w:trPr>
        <w:tc>
          <w:tcPr>
            <w:tcW w:w="14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Управленческая применимость метрик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Блок «Управленческие решения» есть для всех 10 метрик. Для части (CSAT, инциденты) формулировки декларативны — без триггера «при каком значении что запускается».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25 из 28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12" w:name="методика-измерения"/>
      <w:bookmarkEnd w:id="11"/>
      <w:r>
        <w:rPr>
          <w:rFonts w:eastAsia="Times New Roman" w:cs="Times New Roman"/>
        </w:rPr>
        <w:t>Методика измерения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162"/>
        <w:gridCol w:w="1214"/>
        <w:gridCol w:w="993"/>
        <w:gridCol w:w="1984"/>
        <w:gridCol w:w="4268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21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1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Определение источников данных</w:t>
            </w:r>
          </w:p>
        </w:tc>
        <w:tc>
          <w:tcPr>
            <w:tcW w:w="121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Источники определены для всех 10 метрик в таблице методики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, раздел 3): мониторинг, APM, логи backend, тикет-система, опросы, формы обратной связи. Реалистичны и проверяемы.</w:t>
            </w:r>
          </w:p>
        </w:tc>
      </w:tr>
      <w:tr w:rsidR="00676715" w:rsidTr="00C31BE9">
        <w:trPr>
          <w:jc w:val="center"/>
        </w:trPr>
        <w:tc>
          <w:tcPr>
            <w:tcW w:w="11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Корректность формул/способа расчёта</w:t>
            </w:r>
          </w:p>
        </w:tc>
        <w:tc>
          <w:tcPr>
            <w:tcW w:w="121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Формулы заданы для всех метрик, в целом корректны. Методологические неточности: средние времён без указания агрегата (среднее vs медиана vs P95/P99); формула доступности не разделяет плановые и аварийные простои.</w:t>
            </w:r>
          </w:p>
        </w:tc>
      </w:tr>
      <w:tr w:rsidR="00676715" w:rsidTr="00C31BE9">
        <w:trPr>
          <w:jc w:val="center"/>
        </w:trPr>
        <w:tc>
          <w:tcPr>
            <w:tcW w:w="11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Периодичность и регламент измерений</w:t>
            </w:r>
          </w:p>
        </w:tc>
        <w:tc>
          <w:tcPr>
            <w:tcW w:w="121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Периодичность задана для каждой метрики (непрерывно, по часу/дню, еженедельно, ежемесячно). По целям контроля адекватна.</w:t>
            </w:r>
          </w:p>
        </w:tc>
      </w:tr>
      <w:tr w:rsidR="00676715" w:rsidTr="00C31BE9">
        <w:trPr>
          <w:jc w:val="center"/>
        </w:trPr>
        <w:tc>
          <w:tcPr>
            <w:tcW w:w="11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Воспроизводимость и измеримость</w:t>
            </w:r>
          </w:p>
        </w:tc>
        <w:tc>
          <w:tcPr>
            <w:tcW w:w="121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Большинство метрик воспроизводимы: формула + источник + периодичность. CSAT субъективна (отмечено). Для RTO воспроизводимость зависит от качества фиксации в тикет-системе — упомянуто, но не уточнено.</w:t>
            </w:r>
          </w:p>
        </w:tc>
      </w:tr>
      <w:tr w:rsidR="00676715" w:rsidTr="00C31BE9">
        <w:trPr>
          <w:jc w:val="center"/>
        </w:trPr>
        <w:tc>
          <w:tcPr>
            <w:tcW w:w="11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Ограничения и </w:t>
            </w:r>
            <w:r>
              <w:rPr>
                <w:rFonts w:eastAsia="Times New Roman" w:cs="Times New Roman"/>
                <w:sz w:val="22"/>
              </w:rPr>
              <w:lastRenderedPageBreak/>
              <w:t>допущения</w:t>
            </w:r>
          </w:p>
        </w:tc>
        <w:tc>
          <w:tcPr>
            <w:tcW w:w="121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Колонка «Ограничения и допущения» заполнена для всех метрик </w:t>
            </w:r>
            <w:r>
              <w:rPr>
                <w:rFonts w:eastAsia="Times New Roman" w:cs="Times New Roman"/>
                <w:sz w:val="22"/>
              </w:rPr>
              <w:lastRenderedPageBreak/>
              <w:t>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, раздел 3): фильтрация краткосрочных колебаний, контекст нагрузки, объём файла, классификация инцидентов — учтены в интерпретации.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lastRenderedPageBreak/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31 из 36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13" w:name="макет-дашборда"/>
      <w:bookmarkEnd w:id="12"/>
      <w:r>
        <w:rPr>
          <w:rFonts w:eastAsia="Times New Roman" w:cs="Times New Roman"/>
        </w:rPr>
        <w:t>Макет дашборда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1134"/>
        <w:gridCol w:w="993"/>
        <w:gridCol w:w="1984"/>
        <w:gridCol w:w="4268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схемы/макета дашборда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Макет описан текстово и таблично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11–15</w:t>
            </w:r>
            <w:r>
              <w:rPr>
                <w:rFonts w:eastAsia="Times New Roman" w:cs="Times New Roman"/>
                <w:sz w:val="22"/>
              </w:rPr>
              <w:t>, раздел 4): 4 блока, форматы виджетов перечислены. Нет визуального графического макета.</w:t>
            </w:r>
          </w:p>
        </w:tc>
      </w:tr>
      <w:tr w:rsidR="00676715" w:rsidTr="00C31BE9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Структура и иерархия виджетов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Чёткая вертикаль: общее состояние → производительность → ключевые операции → пользовательский эффект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11, 15</w:t>
            </w:r>
            <w:r>
              <w:rPr>
                <w:rFonts w:eastAsia="Times New Roman" w:cs="Times New Roman"/>
                <w:sz w:val="22"/>
              </w:rPr>
              <w:t>). Логика «от обзора к деталям» соблюдена.</w:t>
            </w:r>
          </w:p>
        </w:tc>
      </w:tr>
      <w:tr w:rsidR="00676715" w:rsidTr="00C31BE9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Соответствие метрик целевой аудитории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Аудитория явно указана для каждого блока (стр. 11), но смешаны во всех блоках, нет чёткого разделения operator view / executive view.</w:t>
            </w:r>
          </w:p>
        </w:tc>
      </w:tr>
      <w:tr w:rsidR="00676715" w:rsidTr="00C31BE9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Группировка метрик по блокам управления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Управленческая группировка чёткая: техническая стабильность, производительность, прикладные операции, пользовательский эффект.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24 из 28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14" w:name="пороги-алерты-и-реагирование"/>
      <w:bookmarkEnd w:id="13"/>
      <w:r>
        <w:rPr>
          <w:rFonts w:eastAsia="Times New Roman" w:cs="Times New Roman"/>
        </w:rPr>
        <w:t>Пороги, алерты и реагирование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521"/>
        <w:gridCol w:w="855"/>
        <w:gridCol w:w="851"/>
        <w:gridCol w:w="2126"/>
        <w:gridCol w:w="4268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8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5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порогов (норма/warning/critical) по метрикам</w:t>
            </w:r>
          </w:p>
        </w:tc>
        <w:tc>
          <w:tcPr>
            <w:tcW w:w="8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Все 10 метрик имеют три уровня порогов в таблице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, раздел 5).</w:t>
            </w:r>
          </w:p>
        </w:tc>
      </w:tr>
      <w:tr w:rsidR="00676715" w:rsidTr="00C31BE9">
        <w:trPr>
          <w:jc w:val="center"/>
        </w:trPr>
        <w:tc>
          <w:tcPr>
            <w:tcW w:w="15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</w:t>
            </w:r>
            <w:r>
              <w:rPr>
                <w:rFonts w:eastAsia="Times New Roman" w:cs="Times New Roman"/>
                <w:sz w:val="22"/>
              </w:rPr>
              <w:lastRenderedPageBreak/>
              <w:t>ть пороговых значений</w:t>
            </w:r>
          </w:p>
        </w:tc>
        <w:tc>
          <w:tcPr>
            <w:tcW w:w="8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×3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Числа сами по себе индустриально </w:t>
            </w:r>
            <w:r>
              <w:rPr>
                <w:rFonts w:eastAsia="Times New Roman" w:cs="Times New Roman"/>
                <w:sz w:val="22"/>
              </w:rPr>
              <w:lastRenderedPageBreak/>
              <w:t>разумны (доступность 99/97%, отклик 2/4 сек, RTO 2/4 ч, импорт ≥98%, генерация ≥99%). Контекст эксплуатации (нагрузка, пиковые периоды, объёмы данных) в работе не задан — реалистичность нельзя верифицировать.</w:t>
            </w:r>
          </w:p>
        </w:tc>
      </w:tr>
      <w:tr w:rsidR="00676715" w:rsidTr="00C31BE9">
        <w:trPr>
          <w:jc w:val="center"/>
        </w:trPr>
        <w:tc>
          <w:tcPr>
            <w:tcW w:w="15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Логика формирования алертов</w:t>
            </w:r>
          </w:p>
        </w:tc>
        <w:tc>
          <w:tcPr>
            <w:tcW w:w="8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После таблицы (стр. 22) описано: технические — автоматически, бизнес/пользовательские — по агрегации; warning → уведомление, critical → формализованный сценарий. Логика чёткая и операционно применимая.</w:t>
            </w:r>
          </w:p>
        </w:tc>
      </w:tr>
      <w:tr w:rsidR="00676715" w:rsidTr="00C31BE9">
        <w:trPr>
          <w:jc w:val="center"/>
        </w:trPr>
        <w:tc>
          <w:tcPr>
            <w:tcW w:w="15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Маршрутизация алертов (роль, канал, ответственность)</w:t>
            </w:r>
          </w:p>
        </w:tc>
        <w:tc>
          <w:tcPr>
            <w:tcW w:w="8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Роль-получатель указана для каждой метрики (администратор, тех. команда, разработчик, менеджер проекта, технический лидер). Канал оповещения и эскалационная матрица не определены.</w:t>
            </w:r>
          </w:p>
        </w:tc>
      </w:tr>
      <w:tr w:rsidR="00676715" w:rsidTr="00C31BE9">
        <w:trPr>
          <w:jc w:val="center"/>
        </w:trPr>
        <w:tc>
          <w:tcPr>
            <w:tcW w:w="15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Действия по алерту (runbook/сценарий)</w:t>
            </w:r>
          </w:p>
        </w:tc>
        <w:tc>
          <w:tcPr>
            <w:tcW w:w="85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Колонка «Действие» заполнена для каждой метрики (стр. 16–22), раздел 9 (стр. 25) даёт уровни алертов. Это описание, а не runbook: нет шагов с временными целями, чек-листов, точек принятия решений и критериев закрытия.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40 из 48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15" w:name="ценность-системы-мониторинга"/>
      <w:bookmarkEnd w:id="14"/>
      <w:r>
        <w:rPr>
          <w:rFonts w:eastAsia="Times New Roman" w:cs="Times New Roman"/>
        </w:rPr>
        <w:t>Ценность системы мониторинга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462"/>
        <w:gridCol w:w="1056"/>
        <w:gridCol w:w="709"/>
        <w:gridCol w:w="1984"/>
        <w:gridCol w:w="4410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05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4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Привязка метрик к бизнес-рискам и потерям</w:t>
            </w:r>
          </w:p>
        </w:tc>
        <w:tc>
          <w:tcPr>
            <w:tcW w:w="105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23</w:t>
            </w:r>
            <w:r>
              <w:rPr>
                <w:rFonts w:eastAsia="Times New Roman" w:cs="Times New Roman"/>
                <w:sz w:val="22"/>
              </w:rPr>
              <w:t>) и колонка «Ценность алерта» (стр. 16–22) дают качественную привязку: «снижение риска нарушения SLA», «предотвращение роста ручной обработки». Количественной оценки потерь нет.</w:t>
            </w:r>
          </w:p>
        </w:tc>
      </w:tr>
      <w:tr w:rsidR="00676715" w:rsidTr="00C31BE9">
        <w:trPr>
          <w:jc w:val="center"/>
        </w:trPr>
        <w:tc>
          <w:tcPr>
            <w:tcW w:w="146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 алертов на SLA и устойчивость сервиса</w:t>
            </w:r>
          </w:p>
        </w:tc>
        <w:tc>
          <w:tcPr>
            <w:tcW w:w="105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устойчивости проговорена в разделе 6 (стр. 23) и в колонке «Ценность алерта» (стр. 16–22). Прямой увязки каждой метрики с конкретным SLA-таргетом из Задания 1/2 нет.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15 из 20</w:t>
      </w:r>
      <w:r>
        <w:rPr>
          <w:rFonts w:eastAsia="Times New Roman" w:cs="Times New Roman"/>
        </w:rPr>
        <w:t>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lastRenderedPageBreak/>
        <w:t>Сводный расчёт обязательной части:</w:t>
      </w:r>
      <w:r>
        <w:rPr>
          <w:rFonts w:eastAsia="Times New Roman" w:cs="Times New Roman"/>
        </w:rPr>
        <w:t xml:space="preserve"> 25 + 31 + 24 + 40 + 15 = </w:t>
      </w:r>
      <w:r>
        <w:rPr>
          <w:rFonts w:eastAsia="Times New Roman" w:cs="Times New Roman"/>
          <w:b/>
          <w:bCs/>
        </w:rPr>
        <w:t>135 из 160</w:t>
      </w:r>
      <w:r>
        <w:rPr>
          <w:rFonts w:eastAsia="Times New Roman" w:cs="Times New Roman"/>
        </w:rPr>
        <w:t>.</w:t>
      </w:r>
    </w:p>
    <w:bookmarkEnd w:id="15"/>
    <w:p w:rsidR="00676715" w:rsidRDefault="00421C40">
      <w:pPr>
        <w:pStyle w:val="3"/>
      </w:pPr>
      <w:r>
        <w:rPr>
          <w:rFonts w:eastAsia="Times New Roman" w:cs="Times New Roman"/>
        </w:rPr>
        <w:t>Бонус «со звёздочкой»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397"/>
        <w:gridCol w:w="1121"/>
        <w:gridCol w:w="709"/>
        <w:gridCol w:w="1984"/>
        <w:gridCol w:w="4410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9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1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39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Уровни метрик и причинно-следственные связи (leading/lagging)</w:t>
            </w:r>
          </w:p>
        </w:tc>
        <w:tc>
          <w:tcPr>
            <w:tcW w:w="11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7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24</w:t>
            </w:r>
            <w:r>
              <w:rPr>
                <w:rFonts w:eastAsia="Times New Roman" w:cs="Times New Roman"/>
                <w:sz w:val="22"/>
              </w:rPr>
              <w:t>) — таблица уровней (технические/процессные/бизнес и пользовательские); Раздел 8 (стр. 24) — leading/lagging и цепочка связей «время отклика → ошибки → успешность операций → инциденты → CSAT». Системно.</w:t>
            </w:r>
          </w:p>
        </w:tc>
      </w:tr>
      <w:tr w:rsidR="00676715" w:rsidTr="00C31BE9">
        <w:trPr>
          <w:jc w:val="center"/>
        </w:trPr>
        <w:tc>
          <w:tcPr>
            <w:tcW w:w="139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Сценарии реагирования и эволюция дашборда</w:t>
            </w:r>
          </w:p>
        </w:tc>
        <w:tc>
          <w:tcPr>
            <w:tcW w:w="11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25</w:t>
            </w:r>
            <w:r>
              <w:rPr>
                <w:rFonts w:eastAsia="Times New Roman" w:cs="Times New Roman"/>
                <w:sz w:val="22"/>
              </w:rPr>
              <w:t xml:space="preserve">) — таблица 4 уровней реакции; Раздел 10 (стр. 25–26) — эволюция дашборда. Снижение из-за отсутствия runbook-связки на конкретные шаги/SLA и автоматизации (webhook → тикет → эскалация) —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task_3.md</w:t>
            </w:r>
            <w:r>
              <w:rPr>
                <w:rFonts w:eastAsia="Times New Roman" w:cs="Times New Roman"/>
                <w:sz w:val="22"/>
              </w:rPr>
              <w:t xml:space="preserve"> для звёздочки требует «как </w:t>
            </w:r>
            <w:r>
              <w:rPr>
                <w:rFonts w:eastAsia="Times New Roman" w:cs="Times New Roman"/>
                <w:b/>
                <w:bCs/>
                <w:sz w:val="22"/>
              </w:rPr>
              <w:t>автоматически или вручную</w:t>
            </w:r>
            <w:r>
              <w:rPr>
                <w:rFonts w:eastAsia="Times New Roman" w:cs="Times New Roman"/>
                <w:sz w:val="22"/>
              </w:rPr>
              <w:t xml:space="preserve"> запускаются процессы».</w:t>
            </w:r>
          </w:p>
        </w:tc>
      </w:tr>
      <w:tr w:rsidR="00676715" w:rsidTr="00C31BE9">
        <w:trPr>
          <w:jc w:val="center"/>
        </w:trPr>
        <w:tc>
          <w:tcPr>
            <w:tcW w:w="139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Механизм снижения шумных алертов</w:t>
            </w:r>
          </w:p>
        </w:tc>
        <w:tc>
          <w:tcPr>
            <w:tcW w:w="112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7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11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26–27</w:t>
            </w:r>
            <w:r>
              <w:rPr>
                <w:rFonts w:eastAsia="Times New Roman" w:cs="Times New Roman"/>
                <w:sz w:val="22"/>
              </w:rPr>
              <w:t xml:space="preserve">) — три общих принципа: повторное подтверждение, объединение похожих событий, приоритизация. механиз реалистичный, но не технически конкретный: нет описанного механизма корреляции (правила, окна, dedup, зависимость от сервиса мониторинга), как требует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task_3.md</w:t>
            </w:r>
            <w:r>
              <w:rPr>
                <w:rFonts w:eastAsia="Times New Roman" w:cs="Times New Roman"/>
                <w:sz w:val="22"/>
              </w:rPr>
              <w:t>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бонуса: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10 из 12</w:t>
      </w:r>
      <w:r>
        <w:rPr>
          <w:rFonts w:eastAsia="Times New Roman" w:cs="Times New Roman"/>
        </w:rPr>
        <w:t>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Полный охват уровней метрик.</w:t>
      </w:r>
      <w:r>
        <w:rPr>
          <w:rFonts w:eastAsia="Times New Roman" w:cs="Times New Roman"/>
        </w:rPr>
        <w:t xml:space="preserve"> Технический, процессный и бизнес/пользовательский уровни представлены и явно разнесены в раздел 7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24</w:t>
      </w:r>
      <w:r>
        <w:rPr>
          <w:rFonts w:eastAsia="Times New Roman" w:cs="Times New Roman"/>
        </w:rPr>
        <w:t xml:space="preserve">); набор из 10 метрик закрывает основные сценарии проекта —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1–4</w:t>
      </w:r>
      <w:r>
        <w:rPr>
          <w:rFonts w:eastAsia="Times New Roman" w:cs="Times New Roman"/>
        </w:rPr>
        <w:t>, разделы 2.1–2.10. Дескриптор «системный баланс по уровням сервиса» соответствует наблюдаемой картине.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Качественно проработанная бонусная часть.</w:t>
      </w:r>
      <w:r>
        <w:rPr>
          <w:rFonts w:eastAsia="Times New Roman" w:cs="Times New Roman"/>
        </w:rPr>
        <w:t xml:space="preserve"> Все четыре блока бонуса присутствуют и содержательны: leading/lagging-связи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24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lastRenderedPageBreak/>
        <w:t>раздел 8) — на 4/4 с явной причинно-следственной цепочкой «время отклика → ошибки → успешность операций → инциденты → CSAT»; сценарии реагирования и эволюция дашборда (стр. 25–26, раздел 9–10), механизм снижения шумных алертов (стр. 26–27, раздел 11) — на уровне 3/4 (см. раздел 2).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Единообразная и в целом воспроизводимая методика измерения.</w:t>
      </w:r>
      <w:r>
        <w:rPr>
          <w:rFonts w:eastAsia="Times New Roman" w:cs="Times New Roman"/>
        </w:rPr>
        <w:t xml:space="preserve"> Таблица в раздел 3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5</w:t>
      </w:r>
      <w:r>
        <w:rPr>
          <w:rFonts w:eastAsia="Times New Roman" w:cs="Times New Roman"/>
        </w:rPr>
        <w:t>) для каждой из 10 метрик содержит источник данных, формулу, периодичность и ограничения. Для большинства метрик методика воспроизводима; для CSAT и RTO воспроизводимость частично ограничена (отмечено в самой работе).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Чёткая иерархия дашборда.</w:t>
      </w:r>
      <w:r>
        <w:rPr>
          <w:rFonts w:eastAsia="Times New Roman" w:cs="Times New Roman"/>
        </w:rPr>
        <w:t xml:space="preserve"> раздел 4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11–15</w:t>
      </w:r>
      <w:r>
        <w:rPr>
          <w:rFonts w:eastAsia="Times New Roman" w:cs="Times New Roman"/>
        </w:rPr>
        <w:t>) выстраивает дашборд от обзора к деталям: общее состояние → производительность → ключевые операции → пользовательский эффект, с явно указанной аудиторией для каждого блока.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Полные пороговые значения по всем метрикам.</w:t>
      </w:r>
      <w:r>
        <w:rPr>
          <w:rFonts w:eastAsia="Times New Roman" w:cs="Times New Roman"/>
        </w:rPr>
        <w:t xml:space="preserve"> Таблица раздел 5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16–22</w:t>
      </w:r>
      <w:r>
        <w:rPr>
          <w:rFonts w:eastAsia="Times New Roman" w:cs="Times New Roman"/>
        </w:rPr>
        <w:t>) задаёт три уровня (норма/warning/critical) для всех 10 метрик с указанием получателя, действия и ценности алерта — критерий «Наличие порогов» закрыт на 4/4.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4. Замечания по блокам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1–4 (разделы 2.1–2.10, блоки «Почему важна»):</w:t>
      </w:r>
      <w:r>
        <w:rPr>
          <w:rFonts w:eastAsia="Times New Roman" w:cs="Times New Roman"/>
        </w:rPr>
        <w:t xml:space="preserve"> обоснование важности каждой метрики качественное («снижает доверие», «затрудняет работу», «приводит к задержке административных операций»), без количественной привязки к рискам, SLA-таргетам из Задания 1/2 и оценкам потерь рабочего времени. По дескриптору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scoring_3.md</w:t>
      </w:r>
      <w:r>
        <w:rPr>
          <w:rFonts w:eastAsia="Times New Roman" w:cs="Times New Roman"/>
        </w:rPr>
        <w:t xml:space="preserve"> «чётко привязано к рискам и целям» (4/4) этого недостаточно — критерий «Обоснование важности каждой метрики» оценён в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каждой метрики добавить связку «при отклонении от нормы — какой бизнес-риск (нарушение SLA, потеря времени сотрудников, отложенные приказы) и какова оценочная стоимость (часы простоя, число задержанных операций)».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1–4 (разделы 2.1–2.10, блоки «Управленческие решения»):</w:t>
      </w:r>
      <w:r>
        <w:rPr>
          <w:rFonts w:eastAsia="Times New Roman" w:cs="Times New Roman"/>
        </w:rPr>
        <w:t xml:space="preserve"> для части метрик (CSAT — раздел 2.10, количество критичных инцидентов — раздел 2.9) решения сформулированы как общие категории («принимать решения о развитии интерфейса», «пересматривать приоритеты исправлений»), без триггера «при каком значении метрики что запускается». Критерий «Управленческая применимость метрик» —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каждой метрики ввести триггеры вида «при значении X запускается процесс Y из регламента Задания 2 (например, регламент управления проблемами)».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5 (раздел 3, метрики средних времён):</w:t>
      </w:r>
      <w:r>
        <w:rPr>
          <w:rFonts w:eastAsia="Times New Roman" w:cs="Times New Roman"/>
        </w:rPr>
        <w:t xml:space="preserve"> в формулах для «Среднее время отклика API», «Среднее время импорта», «Среднее время </w:t>
      </w:r>
      <w:r>
        <w:rPr>
          <w:rFonts w:eastAsia="Times New Roman" w:cs="Times New Roman"/>
        </w:rPr>
        <w:lastRenderedPageBreak/>
        <w:t xml:space="preserve">генерации документа» задано «среднее время от … до …» без указания типа агрегата. При длинных хвостах распределения (медленные импорты больших файлов, тяжёлые отчёты) среднее арифметическое скрывает деградацию: P95/P99 могут уходить в красную зону, а среднее — оставаться в норме. Это методологическая неточность, дающая ложное чувство стабильности; критерий «Корректность формул»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рядом со средним второй агрегат (медиана и/или P95) и явно указать, к какому агрегату относятся пороги раздел 5.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5 (раздел 3, метрика «Доступность сервиса»):</w:t>
      </w:r>
      <w:r>
        <w:rPr>
          <w:rFonts w:eastAsia="Times New Roman" w:cs="Times New Roman"/>
        </w:rPr>
        <w:t xml:space="preserve"> формула «Время штатной доступности / общее время наблюдения × 100%» не разделяет плановые работы (release windows, backup) и аварийные простои; в практике SLA плановые окна обычно исключаются из расчёта. Без оговорки порог 99% (стр. 16) интерпретируется неоднозначно. Влияет на «Корректность формул» (входит в общую оценку 9/12).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уточнить формулу «(общее время − плановые работы − аварийные простои) / (общее время − плановые работы) × 100%» и явно описать, как считается частичный сбой (отказ одного модуля при работающих остальных).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5 (раздел 3, метрика «Время восстановления после сбоя», колонка «Ограничения»):</w:t>
      </w:r>
      <w:r>
        <w:rPr>
          <w:rFonts w:eastAsia="Times New Roman" w:cs="Times New Roman"/>
        </w:rPr>
        <w:t xml:space="preserve"> требование «корректной фиксации времени начала и завершения инцидента» сформулировано, но без операционного определения момента старта таймера (алерт мониторинга, регистрация тикета, эскалация). Критерий «Воспроизводимость и измеримость»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колонке «Способ расчёта» зафиксировать момент старта (например, «время первого алерта в системе мониторинга»), момент финиша («первое успешное прохождение heartbeat после восстановления»).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11–15 (раздел 4, макет дашборда):</w:t>
      </w:r>
      <w:r>
        <w:rPr>
          <w:rFonts w:eastAsia="Times New Roman" w:cs="Times New Roman"/>
        </w:rPr>
        <w:t xml:space="preserve"> макет описан таблично; визуальный графический mockup отсутствует, хотя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task_3.md</w:t>
      </w:r>
      <w:r>
        <w:rPr>
          <w:rFonts w:eastAsia="Times New Roman" w:cs="Times New Roman"/>
        </w:rPr>
        <w:t xml:space="preserve"> явно требует «представить в виде схемы», а в работе есть подпись «Рисунок 1 — Схема Дашборда» (стр. 15) без графического содержимого. Критерий «Наличие схемы/макета»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графический mockup (блочная схема с положением и размерами виджетов, цветовой кодировкой статусов) — даже в виде ASCII/Mermaid-схемы он закроет требование задания.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11 (раздел 4, таблица блоков дашборда — колонка «Основная аудитория»):</w:t>
      </w:r>
      <w:r>
        <w:rPr>
          <w:rFonts w:eastAsia="Times New Roman" w:cs="Times New Roman"/>
        </w:rPr>
        <w:t xml:space="preserve"> для каждого из четырёх блоков указано по 2–3 роли с разными задачами (администратор + менеджер проекта + руководитель направления). Это размывает фокус: оператору NOC нужны быстрые сигналы, менеджменту — тренды и SLA-сводки. Критерий «Соответствие метрик целевой аудитории»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разделить дашборд на operator view (для тех. команды и администратора — реальное время, активные алерты) и executive view (для менеджера и руководителя — тренды, SLA, динамика инцидентов).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lastRenderedPageBreak/>
        <w:t>solution_3.docx</w:t>
      </w:r>
      <w:r>
        <w:rPr>
          <w:rFonts w:eastAsia="Times New Roman" w:cs="Times New Roman"/>
          <w:b/>
          <w:bCs/>
        </w:rPr>
        <w:t>, стр. 16–22 (раздел 5, таблица порогов — колонка «Получатель алерта»):</w:t>
      </w:r>
      <w:r>
        <w:rPr>
          <w:rFonts w:eastAsia="Times New Roman" w:cs="Times New Roman"/>
        </w:rPr>
        <w:t xml:space="preserve"> указана только роль (администратор, тех. команда, менеджер проекта), без канала оповещения (Slack-канал, e-mail, on-call SMS) и эскалационной матрицы (что делать, если получатель не отреагировал в N минут). В реальной эксплуатации без этой связки алерты теряются. Критерий «Маршрутизация алертов»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добавить колонки «Канал оповещения» и «Эскалация» (например, «администратор → 15 мин → тех. лидер → 30 мин → менеджер проекта»).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16–22 (раздел 5, колонка «Действие») и стр. 25 (раздел 9):</w:t>
      </w:r>
      <w:r>
        <w:rPr>
          <w:rFonts w:eastAsia="Times New Roman" w:cs="Times New Roman"/>
        </w:rPr>
        <w:t xml:space="preserve"> действия описаны верхнеуровнево («анализ нагрузки», «эскалация», «разбор причин»), без шагов с временными SLA на процедуру (диагностика — N мин, эскалация — M мин, обходное решение — K часов), без точек принятия решений и критериев закрытия алерта. Это описание, а не runbook. Критерий «Действия по алерту»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для топ-3 критических алертов (доступность &lt;97%, импорт &lt;95%, генерация &lt;96%) развернуть пошаговый runbook: шаг → действие → ответственный → целевое время → критерий завершения.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16–22 (раздел 5, реалистичность порогов):</w:t>
      </w:r>
      <w:r>
        <w:rPr>
          <w:rFonts w:eastAsia="Times New Roman" w:cs="Times New Roman"/>
        </w:rPr>
        <w:t xml:space="preserve"> числа индустриально разумны, но в работе </w:t>
      </w:r>
      <w:r>
        <w:rPr>
          <w:rFonts w:eastAsia="Times New Roman" w:cs="Times New Roman"/>
          <w:b/>
          <w:bCs/>
        </w:rPr>
        <w:t>не задан контекст эксплуатации</w:t>
      </w:r>
      <w:r>
        <w:rPr>
          <w:rFonts w:eastAsia="Times New Roman" w:cs="Times New Roman"/>
        </w:rPr>
        <w:t xml:space="preserve">: число пользователей, пиковые периоды (начало семестра, формирование пакета приказов), типовые объёмы файлов Excel, режим доступности (24/7 или рабочее окно). Из текста работы реалистичность нельзя верифицировать; критерий «Реалистичность пороговых значений»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 xml:space="preserve">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преамбуле раздела 5 (стр. 16) добавить блок «Контекст эксплуатации» с базовыми параметрами (пользователи база/пик, объёмы данных, рабочее окно, критичные процессы) и привязать пороги к этому контексту; для разных типов API-маршрутов (CRUD vs тяжёлые отчёты) дать раздельные пороги.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23 (раздел 6, ценность системы мониторинга) и стр. 16–22 (колонка «Ценность алерта»):</w:t>
      </w:r>
      <w:r>
        <w:rPr>
          <w:rFonts w:eastAsia="Times New Roman" w:cs="Times New Roman"/>
        </w:rPr>
        <w:t xml:space="preserve"> привязка к бизнес-рискам качественная — формулировки общие («снижение риска нарушения SLA», «предотвращение роста ручной обработки»), без количественной оценки потерь и без таблицы соответствия «метрика → SLA-таргет → последствие нарушения». Критерии «Привязка к бизнес-рискам» (9/12) и «Влияние на SLA» (6/8) ограничены этим.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раздел 6 добавить таблицу «Метрика → SLA-таргет (из Задания 1/2) → бизнес-последствие нарушения», например: «Доступность &lt;97% → нарушение SLA “доступность 99%” → потеря Х часов работы Y сотрудников → Z отложенных приказов».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solution_3.docx</w:t>
      </w:r>
      <w:r>
        <w:rPr>
          <w:rFonts w:eastAsia="Times New Roman" w:cs="Times New Roman"/>
          <w:b/>
          <w:bCs/>
        </w:rPr>
        <w:t>, стр. 25 (раздел 9, сценарии реагирования) и стр. 26–27 (раздел 11, шумные алерты):</w:t>
      </w:r>
      <w:r>
        <w:rPr>
          <w:rFonts w:eastAsia="Times New Roman" w:cs="Times New Roman"/>
        </w:rPr>
        <w:t xml:space="preserve"> для бонуса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task_3.md</w:t>
      </w:r>
      <w:r>
        <w:rPr>
          <w:rFonts w:eastAsia="Times New Roman" w:cs="Times New Roman"/>
        </w:rPr>
        <w:t xml:space="preserve"> требует «как </w:t>
      </w:r>
      <w:r>
        <w:rPr>
          <w:rFonts w:eastAsia="Times New Roman" w:cs="Times New Roman"/>
          <w:b/>
          <w:bCs/>
        </w:rPr>
        <w:t>автоматически или вручную</w:t>
      </w:r>
      <w:r>
        <w:rPr>
          <w:rFonts w:eastAsia="Times New Roman" w:cs="Times New Roman"/>
        </w:rPr>
        <w:t xml:space="preserve"> запускаются процессы» и </w:t>
      </w:r>
      <w:r>
        <w:rPr>
          <w:rFonts w:eastAsia="Times New Roman" w:cs="Times New Roman"/>
          <w:b/>
          <w:bCs/>
        </w:rPr>
        <w:t>корреляцию событий</w:t>
      </w:r>
      <w:r>
        <w:rPr>
          <w:rFonts w:eastAsia="Times New Roman" w:cs="Times New Roman"/>
        </w:rPr>
        <w:t>. раздел 9 описывает уровни реакции таблично, но без связки с автоматизацией (webhook → тикет → эскалация); раздел 11 даёт три общих принципа без описанного механизма корреляции (правила окон, dedup, зависимость от сервиса мониторинга). Бонус-</w:t>
      </w:r>
      <w:r>
        <w:rPr>
          <w:rFonts w:eastAsia="Times New Roman" w:cs="Times New Roman"/>
        </w:rPr>
        <w:lastRenderedPageBreak/>
        <w:t xml:space="preserve">критерии 3/4 каждый. </w:t>
      </w:r>
      <w:r>
        <w:rPr>
          <w:rFonts w:eastAsia="Times New Roman" w:cs="Times New Roman"/>
          <w:b/>
          <w:bCs/>
        </w:rPr>
        <w:t>Как исправить:</w:t>
      </w:r>
      <w:r>
        <w:rPr>
          <w:rFonts w:eastAsia="Times New Roman" w:cs="Times New Roman"/>
        </w:rPr>
        <w:t xml:space="preserve"> в раздел 9 для критического алерта явно прописать «автоматически создаётся тикет в системе X через webhook, эскалация запускается через N минут без подтверждения»; в раздел 11 для типовой группы (отклик API + ошибки + импорт) описать правило корреляции «события в окне M минут с одним коренным сервисом объединяются в один инцидент».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5. Рекомендации по улучшению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4346"/>
        <w:gridCol w:w="3324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таблице методики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 для метрик «Среднее время отклика API», «Среднее время импорта», «Среднее время генерации документа» добавить P95 (или медиану) рядом со средним и явно указать, к какому агрегату относятся пороги раздел 5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«Корректность формул/способа расчёта»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таблице порогов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 добавить колонки «Канал оповещения» (Slack/почта/on-call SMS) и «Эскалация» с временными окнами (например, «администратор → 15 мин → тех. лидер → 30 мин → менеджер проекта»)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«Маршрутизация алертов»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P0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 6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23</w:t>
            </w:r>
            <w:r>
              <w:rPr>
                <w:rFonts w:eastAsia="Times New Roman" w:cs="Times New Roman"/>
                <w:sz w:val="22"/>
              </w:rPr>
              <w:t>) добавить таблицу «Метрика → SLA-таргет из Задания 1/2 → бизнес-последствие нарушения» с количественной оценкой потерь (часы работы сотрудников, отложенные приказы)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«Привязка метрик к бизнес-рискам»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); «Влияние алертов на SLA»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преамбуле раздела 5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</w:t>
            </w:r>
            <w:r>
              <w:rPr>
                <w:rFonts w:eastAsia="Times New Roman" w:cs="Times New Roman"/>
                <w:sz w:val="22"/>
              </w:rPr>
              <w:t>) добавить блок «Контекст эксплуатации» (пользователи база/пик, объёмы данных, рабочее окно, критичные процессы) и привязать к нему пороги; разнести пороги по типам API-маршрутов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«Реалистичность пороговых значений»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Заменить (или дополнить) текстовый макет дашборда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11–15</w:t>
            </w:r>
            <w:r>
              <w:rPr>
                <w:rFonts w:eastAsia="Times New Roman" w:cs="Times New Roman"/>
                <w:sz w:val="22"/>
              </w:rPr>
              <w:t>) графическим mockup’ом с положением и размерами виджетов; разделить дашборд на operator view и executive view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схемы/макета»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«Соответствие метрик целевой аудитории»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Развернуть колонку «Действие»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 xml:space="preserve">) и раздел 9 (стр. 25) в runbook для топ-3 критических </w:t>
            </w:r>
            <w:r>
              <w:rPr>
                <w:rFonts w:eastAsia="Times New Roman" w:cs="Times New Roman"/>
                <w:sz w:val="22"/>
              </w:rPr>
              <w:lastRenderedPageBreak/>
              <w:t>алертов: шаг → действие → ответственный → целевое время → критерий завершения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«Действия по алерту»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 xml:space="preserve">); закрывает бонус-критерий «Сценарии </w:t>
            </w:r>
            <w:r>
              <w:rPr>
                <w:rFonts w:eastAsia="Times New Roman" w:cs="Times New Roman"/>
                <w:sz w:val="22"/>
              </w:rPr>
              <w:lastRenderedPageBreak/>
              <w:t>реагирования»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P1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разделах 2.1–2.10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1–4</w:t>
            </w:r>
            <w:r>
              <w:rPr>
                <w:rFonts w:eastAsia="Times New Roman" w:cs="Times New Roman"/>
                <w:sz w:val="22"/>
              </w:rPr>
              <w:t>) для каждой метрики ввести триггер «при значении X запускается процесс Y из регламента Задания 2»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«Управленческая применимость метрик»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Уточнить формулу доступности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): исключить плановые работы; зафиксировать момент старта/финиша таймера для RTO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«Корректность формул» — частично перекрывается с P0 (могут дать +1 при дробных оценках); «Воспроизводимость и измеримость» с 6 до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C31BE9">
        <w:trPr>
          <w:jc w:val="center"/>
        </w:trPr>
        <w:tc>
          <w:tcPr>
            <w:tcW w:w="19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34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 раздел 11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26–27</w:t>
            </w:r>
            <w:r>
              <w:rPr>
                <w:rFonts w:eastAsia="Times New Roman" w:cs="Times New Roman"/>
                <w:sz w:val="22"/>
              </w:rPr>
              <w:t>) описать конкретный механизм корреляции: правила окон, dedup, зависимость от сервиса мониторинга — для типовых групп «отклик + ошибки + импорт»</w:t>
            </w:r>
          </w:p>
        </w:tc>
        <w:tc>
          <w:tcPr>
            <w:tcW w:w="332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«Механизм снижения шумных алертов»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 (с оговорками).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135 / 160</w:t>
      </w:r>
      <w:r>
        <w:rPr>
          <w:rFonts w:eastAsia="Times New Roman" w:cs="Times New Roman"/>
        </w:rPr>
        <w:t xml:space="preserve"> (~84,4%) обязательная часть + бонус </w:t>
      </w:r>
      <w:r>
        <w:rPr>
          <w:rFonts w:eastAsia="Times New Roman" w:cs="Times New Roman"/>
          <w:b/>
          <w:bCs/>
        </w:rPr>
        <w:t>10 / 12</w:t>
      </w:r>
      <w:r>
        <w:rPr>
          <w:rFonts w:eastAsia="Times New Roman" w:cs="Times New Roman"/>
        </w:rPr>
        <w:t xml:space="preserve">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scoring_3.md</w:t>
      </w:r>
      <w:r>
        <w:rPr>
          <w:rFonts w:eastAsia="Times New Roman" w:cs="Times New Roman"/>
        </w:rPr>
        <w:t xml:space="preserve">, не гарантии. Часть эффектов </w:t>
      </w:r>
      <w:r>
        <w:rPr>
          <w:rFonts w:eastAsia="Times New Roman" w:cs="Times New Roman"/>
          <w:b/>
          <w:bCs/>
        </w:rPr>
        <w:t>пересекается</w:t>
      </w:r>
      <w:r>
        <w:rPr>
          <w:rFonts w:eastAsia="Times New Roman" w:cs="Times New Roman"/>
        </w:rPr>
        <w:t>: например, добавление количественной таблицы «метрика → SLA → потери» одновременно усиливает «Привязку к бизнес-рискам» и «Влияние алертов на SLA»; runbook одновременно влияет на «Действия по алерту» и на бонус-критерий «Сценарии реагирования». Простое суммирование верхних границ диапазонов завысит прогноз.</w:t>
      </w:r>
    </w:p>
    <w:p w:rsidR="00676715" w:rsidRDefault="00421C40">
      <w:pPr>
        <w:pStyle w:val="a0"/>
      </w:pPr>
      <w:r>
        <w:rPr>
          <w:rFonts w:eastAsia="Times New Roman" w:cs="Times New Roman"/>
        </w:rPr>
        <w:t>Условные сценарии (не гарантии; зависят от полноты внедрения каждой рекомендации):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Войти в категорию «Отлично» (без учета бонуса) (≥ 85%):</w:t>
      </w:r>
      <w:r>
        <w:rPr>
          <w:rFonts w:eastAsia="Times New Roman" w:cs="Times New Roman"/>
        </w:rPr>
        <w:t xml:space="preserve"> реализовать </w:t>
      </w:r>
      <w:r>
        <w:rPr>
          <w:rFonts w:eastAsia="Times New Roman" w:cs="Times New Roman"/>
          <w:b/>
          <w:bCs/>
        </w:rPr>
        <w:t>любую одну</w:t>
      </w:r>
      <w:r>
        <w:rPr>
          <w:rFonts w:eastAsia="Times New Roman" w:cs="Times New Roman"/>
        </w:rPr>
        <w:t xml:space="preserve"> P0 на минимальном уровне дескриптора → расчётный прирост </w:t>
      </w:r>
      <w:r>
        <w:rPr>
          <w:rFonts w:eastAsia="Times New Roman" w:cs="Times New Roman"/>
          <w:b/>
          <w:bCs/>
        </w:rPr>
        <w:t>+3 балла</w:t>
      </w:r>
      <w:r>
        <w:rPr>
          <w:rFonts w:eastAsia="Times New Roman" w:cs="Times New Roman"/>
        </w:rPr>
        <w:t xml:space="preserve">, итог </w:t>
      </w:r>
      <w:r>
        <w:rPr>
          <w:rFonts w:eastAsia="Times New Roman" w:cs="Times New Roman"/>
          <w:b/>
          <w:bCs/>
        </w:rPr>
        <w:t>138 / 160 (~86,3%)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Стабилизация в середине «Отлично» (~90%):</w:t>
      </w:r>
      <w:r>
        <w:rPr>
          <w:rFonts w:eastAsia="Times New Roman" w:cs="Times New Roman"/>
        </w:rPr>
        <w:t xml:space="preserve"> все три P0 + одна P1 → расчётный прирост </w:t>
      </w:r>
      <w:r>
        <w:rPr>
          <w:rFonts w:eastAsia="Times New Roman" w:cs="Times New Roman"/>
          <w:b/>
          <w:bCs/>
        </w:rPr>
        <w:t>+11…+14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146–149 / 160</w:t>
      </w:r>
      <w:r>
        <w:rPr>
          <w:rFonts w:eastAsia="Times New Roman" w:cs="Times New Roman"/>
        </w:rPr>
        <w:t xml:space="preserve"> (~91–93%).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Верх «Отлично» (~95%) + полный бонус 12/12:</w:t>
      </w:r>
      <w:r>
        <w:rPr>
          <w:rFonts w:eastAsia="Times New Roman" w:cs="Times New Roman"/>
        </w:rPr>
        <w:t xml:space="preserve"> все P0 + три-четыре P1 + хотя бы одна P2 → расчётный прирост </w:t>
      </w:r>
      <w:r>
        <w:rPr>
          <w:rFonts w:eastAsia="Times New Roman" w:cs="Times New Roman"/>
          <w:b/>
          <w:bCs/>
        </w:rPr>
        <w:t>+18…+22 балла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153–157 / 160</w:t>
      </w:r>
      <w:r>
        <w:rPr>
          <w:rFonts w:eastAsia="Times New Roman" w:cs="Times New Roman"/>
        </w:rPr>
        <w:t xml:space="preserve"> (~96–98%) при бонусе 11–12/12.</w:t>
      </w:r>
    </w:p>
    <w:p w:rsidR="00676715" w:rsidRDefault="00676715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384"/>
        <w:gridCol w:w="1985"/>
        <w:gridCol w:w="3691"/>
        <w:gridCol w:w="2561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84" w:type="dxa"/>
          </w:tcPr>
          <w:p w:rsidR="00676715" w:rsidRDefault="00676715">
            <w:pPr>
              <w:pStyle w:val="Compact"/>
              <w:spacing w:before="0" w:after="60"/>
            </w:pP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36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256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676715" w:rsidTr="00C31BE9">
        <w:trPr>
          <w:jc w:val="center"/>
        </w:trPr>
        <w:tc>
          <w:tcPr>
            <w:tcW w:w="13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36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Действия по алерту описаны как сводка, а не runbook </w:t>
            </w:r>
            <w:r>
              <w:rPr>
                <w:rFonts w:eastAsia="Times New Roman" w:cs="Times New Roman"/>
                <w:sz w:val="22"/>
              </w:rPr>
              <w:lastRenderedPageBreak/>
              <w:t>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16–22, 25</w:t>
            </w:r>
            <w:r>
              <w:rPr>
                <w:rFonts w:eastAsia="Times New Roman" w:cs="Times New Roman"/>
                <w:sz w:val="22"/>
              </w:rPr>
              <w:t>) — время реакции зависит от опыта оператора</w:t>
            </w:r>
          </w:p>
        </w:tc>
        <w:tc>
          <w:tcPr>
            <w:tcW w:w="256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Метрики средних времён без P95/P99 </w:t>
            </w:r>
            <w:r>
              <w:rPr>
                <w:rFonts w:eastAsia="Times New Roman" w:cs="Times New Roman"/>
                <w:sz w:val="22"/>
              </w:rPr>
              <w:lastRenderedPageBreak/>
              <w:t>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</w:t>
            </w:r>
            <w:r>
              <w:rPr>
                <w:rFonts w:eastAsia="Times New Roman" w:cs="Times New Roman"/>
                <w:sz w:val="22"/>
              </w:rPr>
              <w:t>) — длинные хвосты деградации не выявляются</w:t>
            </w:r>
          </w:p>
        </w:tc>
      </w:tr>
      <w:tr w:rsidR="00676715" w:rsidTr="00C31BE9">
        <w:trPr>
          <w:jc w:val="center"/>
        </w:trPr>
        <w:tc>
          <w:tcPr>
            <w:tcW w:w="13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Средняя вероятность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36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порогов оспаривается из-за отсутствия контекста нагрузки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); бизнес-риски привязаны качественно, без количественной оценки потерь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23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256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Маршрутизация алертов без каналов и эскалации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16–22</w:t>
            </w:r>
            <w:r>
              <w:rPr>
                <w:rFonts w:eastAsia="Times New Roman" w:cs="Times New Roman"/>
                <w:sz w:val="22"/>
              </w:rPr>
              <w:t>) — алерты теряются в реальной эксплуатации</w:t>
            </w:r>
          </w:p>
        </w:tc>
      </w:tr>
      <w:tr w:rsidR="00676715" w:rsidTr="00C31BE9">
        <w:trPr>
          <w:jc w:val="center"/>
        </w:trPr>
        <w:tc>
          <w:tcPr>
            <w:tcW w:w="13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 вероятность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Графический макет дашборда отсутствует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11–15</w:t>
            </w:r>
            <w:r>
              <w:rPr>
                <w:rFonts w:eastAsia="Times New Roman" w:cs="Times New Roman"/>
                <w:sz w:val="22"/>
              </w:rPr>
              <w:t>) — расхождение реализации с задумкой</w:t>
            </w:r>
          </w:p>
        </w:tc>
        <w:tc>
          <w:tcPr>
            <w:tcW w:w="36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Дашборд со смешанной аудиторией во всех блоках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solution_3.docx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</w:t>
            </w:r>
            <w:r>
              <w:rPr>
                <w:rFonts w:eastAsia="Times New Roman" w:cs="Times New Roman"/>
                <w:sz w:val="22"/>
              </w:rPr>
              <w:t>) — менеджмент перегружен техникой, оператор — общими сводками</w:t>
            </w:r>
          </w:p>
        </w:tc>
        <w:tc>
          <w:tcPr>
            <w:tcW w:w="256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</w:tbl>
    <w:p w:rsidR="00C31BE9" w:rsidRDefault="00C31BE9">
      <w:r>
        <w:br w:type="page"/>
      </w:r>
    </w:p>
    <w:p w:rsidR="00676715" w:rsidRDefault="00421C40">
      <w:pPr>
        <w:pStyle w:val="1"/>
      </w:pPr>
      <w:bookmarkStart w:id="16" w:name="аудит-задания-4"/>
      <w:bookmarkEnd w:id="10"/>
      <w:r>
        <w:rPr>
          <w:rFonts w:ascii="Times New Roman" w:eastAsia="Times New Roman" w:hAnsi="Times New Roman" w:cs="Times New Roman"/>
        </w:rPr>
        <w:lastRenderedPageBreak/>
        <w:t>Аудит Задания 4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(ведение базы обучающихся, импорт Excel, управление курсами и потоками, генерация приказов и служебных записок). В текущем задании проект формализуется как инвестиционная инициатива: выделяются бизнес-проблемы и цели, формулируется IT-инициатива, рассчитываются TCO, выгоды, ROI и срок окупаемости, анализируются риски, допущения и альтернативы. Бонус «со звёздочкой» — расширенная финансовая модель: сценарии, sensitivity analysis, NPV и подход к управлению бюджетом.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Версия работы:</w:t>
      </w:r>
      <w:r>
        <w:rPr>
          <w:rFonts w:eastAsia="Times New Roman" w:cs="Times New Roman"/>
        </w:rPr>
        <w:t xml:space="preserve">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 — учтены исправления студента после первой итерации аудита (закрыто 4 P0 и</w:t>
      </w:r>
      <w:r w:rsidR="00C31BE9">
        <w:rPr>
          <w:rFonts w:eastAsia="Times New Roman" w:cs="Times New Roman"/>
        </w:rPr>
        <w:t xml:space="preserve"> 1 P1, частично закрыто 2 P1). </w:t>
      </w:r>
    </w:p>
    <w:p w:rsidR="00676715" w:rsidRDefault="00676715"/>
    <w:p w:rsidR="00676715" w:rsidRDefault="00421C40">
      <w:pPr>
        <w:pStyle w:val="2"/>
      </w:pPr>
      <w:bookmarkStart w:id="17" w:name="итоговая-оценка"/>
      <w:r>
        <w:rPr>
          <w:rFonts w:ascii="Times New Roman" w:eastAsia="Times New Roman" w:hAnsi="Times New Roman" w:cs="Times New Roman"/>
        </w:rPr>
        <w:t>1. Итоговая оценка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Обязательная часть: 173 из 200 баллов (~86,5%).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Бонус «со звёздочкой»: 10 из 12 баллов (~83,3%)</w:t>
      </w:r>
      <w:r>
        <w:rPr>
          <w:rFonts w:eastAsia="Times New Roman" w:cs="Times New Roman"/>
        </w:rPr>
        <w:t xml:space="preserve"> — расширенная модель выполнена качественно, но в NPV выявлена новая арифметическая неточность.</w:t>
      </w:r>
    </w:p>
    <w:p w:rsidR="00676715" w:rsidRDefault="00421C40">
      <w:pPr>
        <w:pStyle w:val="a0"/>
      </w:pPr>
      <w:r>
        <w:rPr>
          <w:rFonts w:eastAsia="Times New Roman" w:cs="Times New Roman"/>
        </w:rPr>
        <w:t xml:space="preserve">Оценка: </w:t>
      </w:r>
      <w:r>
        <w:rPr>
          <w:rFonts w:eastAsia="Times New Roman" w:cs="Times New Roman"/>
          <w:b/>
          <w:bCs/>
        </w:rPr>
        <w:t>Отлично</w:t>
      </w:r>
      <w:r>
        <w:rPr>
          <w:rFonts w:eastAsia="Times New Roman" w:cs="Times New Roman"/>
        </w:rPr>
        <w:t xml:space="preserve"> ↑ (с «Хорошо»)</w:t>
      </w:r>
    </w:p>
    <w:p w:rsidR="00676715" w:rsidRDefault="00421C40">
      <w:pPr>
        <w:pStyle w:val="a0"/>
      </w:pPr>
      <w:r>
        <w:rPr>
          <w:rFonts w:eastAsia="Times New Roman" w:cs="Times New Roman"/>
        </w:rPr>
        <w:t xml:space="preserve">После исправлений все четыре P0-замечания первой итерации устранены: арифметика прямых выгод сходится (420 000 + 150 000 + 30 000 = 600 000 руб.), числовые формулы монетизации раскрыты с явной ставкой, добавлена статья «Лицензии и подписки», 30 000 руб. на вывод включены в TCO/ROI через классическую формулу </w:t>
      </w:r>
      <w:r>
        <w:rPr>
          <w:rStyle w:val="VerbatimChar"/>
          <w:rFonts w:ascii="Times New Roman" w:eastAsia="Times New Roman" w:hAnsi="Times New Roman" w:cs="Times New Roman"/>
          <w:sz w:val="24"/>
        </w:rPr>
        <w:t>ROI = (Выгоды − TCO)/TCO × 100% = 25,0%</w:t>
      </w:r>
      <w:r>
        <w:rPr>
          <w:rFonts w:eastAsia="Times New Roman" w:cs="Times New Roman"/>
        </w:rPr>
        <w:t>. Сценарии раздела 9.1 пересчитаны и согласованы с базовой моделью. Остаются преимущественно P1/P2-замечания: финальное обоснование без executive-структуры, темп роста выгод обоснован качественно, sensitivity без tornado-таблицы, альтернативы без числовых TCO/ROI. Дополнительно — новая арифметическая ошибка в NPV (см. бонус-критерий).</w:t>
      </w:r>
    </w:p>
    <w:p w:rsidR="00676715" w:rsidRDefault="00676715"/>
    <w:p w:rsidR="00676715" w:rsidRDefault="00421C40">
      <w:pPr>
        <w:pStyle w:val="2"/>
      </w:pPr>
      <w:bookmarkStart w:id="18" w:name="детализация-по-критериям"/>
      <w:bookmarkEnd w:id="17"/>
      <w:r>
        <w:rPr>
          <w:rFonts w:ascii="Times New Roman" w:eastAsia="Times New Roman" w:hAnsi="Times New Roman" w:cs="Times New Roman"/>
        </w:rPr>
        <w:t>2. Детализация по критериям</w:t>
      </w:r>
    </w:p>
    <w:p w:rsidR="00676715" w:rsidRDefault="00421C40">
      <w:pPr>
        <w:pStyle w:val="FirstParagraph"/>
      </w:pPr>
      <w:r>
        <w:rPr>
          <w:rFonts w:eastAsia="Times New Roman" w:cs="Times New Roman"/>
        </w:rPr>
        <w:t>В колонках ниже: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Балл</w:t>
      </w:r>
      <w:r>
        <w:rPr>
          <w:rFonts w:eastAsia="Times New Roman" w:cs="Times New Roman"/>
        </w:rPr>
        <w:t xml:space="preserve"> = сырая оценка 0–4 × вес (взвешенный вклад критерия). Чтобы восстановить сырую оценку — поделить значение в колонке «Балл» на «Вес».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Максимальный балл</w:t>
      </w:r>
      <w:r>
        <w:rPr>
          <w:rFonts w:eastAsia="Times New Roman" w:cs="Times New Roman"/>
        </w:rPr>
        <w:t xml:space="preserve"> = 4 × вес (взвешенный максимум критерия).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Обоснование</w:t>
      </w:r>
      <w:r>
        <w:rPr>
          <w:rFonts w:eastAsia="Times New Roman" w:cs="Times New Roman"/>
        </w:rPr>
        <w:t xml:space="preserve"> содержит только тезисы; разворот замечаний и рекомендаций — в разделах 4 и 5.</w:t>
      </w:r>
    </w:p>
    <w:p w:rsidR="00676715" w:rsidRDefault="00421C40">
      <w:pPr>
        <w:pStyle w:val="3"/>
      </w:pPr>
      <w:bookmarkStart w:id="19" w:name="бизнес-контекст-и-цель"/>
      <w:r>
        <w:rPr>
          <w:rFonts w:eastAsia="Times New Roman" w:cs="Times New Roman"/>
        </w:rPr>
        <w:lastRenderedPageBreak/>
        <w:t>Бизнес-контекст и цель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627"/>
        <w:gridCol w:w="1316"/>
        <w:gridCol w:w="851"/>
        <w:gridCol w:w="1559"/>
        <w:gridCol w:w="4268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31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6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Определённость бизнес-проблемы (измеримость)</w:t>
            </w:r>
          </w:p>
        </w:tc>
        <w:tc>
          <w:tcPr>
            <w:tcW w:w="131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1.2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3–4</w:t>
            </w:r>
            <w:r>
              <w:rPr>
                <w:rFonts w:eastAsia="Times New Roman" w:cs="Times New Roman"/>
                <w:sz w:val="22"/>
              </w:rPr>
              <w:t>): 5 проблем с метриками. Числовой baseline (текущие значения) не задан.</w:t>
            </w:r>
          </w:p>
        </w:tc>
      </w:tr>
      <w:tr w:rsidR="00676715" w:rsidTr="00C31BE9">
        <w:trPr>
          <w:jc w:val="center"/>
        </w:trPr>
        <w:tc>
          <w:tcPr>
            <w:tcW w:w="16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цели с бизнес-метриками</w:t>
            </w:r>
          </w:p>
        </w:tc>
        <w:tc>
          <w:tcPr>
            <w:tcW w:w="131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1.1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1–3</w:t>
            </w:r>
            <w:r>
              <w:rPr>
                <w:rFonts w:eastAsia="Times New Roman" w:cs="Times New Roman"/>
                <w:sz w:val="22"/>
              </w:rPr>
              <w:t>): для каждой из 5 целей — метрика и числовое целевое значение (–40%, –60%, –70%, –50%, –50%/4,5/5).</w:t>
            </w:r>
          </w:p>
        </w:tc>
      </w:tr>
      <w:tr w:rsidR="00676715" w:rsidTr="00C31BE9">
        <w:trPr>
          <w:jc w:val="center"/>
        </w:trPr>
        <w:tc>
          <w:tcPr>
            <w:tcW w:w="16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управленческой важности цели</w:t>
            </w:r>
          </w:p>
        </w:tc>
        <w:tc>
          <w:tcPr>
            <w:tcW w:w="131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Колонка «Почему важна / какие решения поддерживает» заполнена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1–3</w:t>
            </w:r>
            <w:r>
              <w:rPr>
                <w:rFonts w:eastAsia="Times New Roman" w:cs="Times New Roman"/>
                <w:sz w:val="22"/>
              </w:rPr>
              <w:t>), формулировки общие — без явной привязки к конкретному управленческому решению (бюджет, штат, приоритеты).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17 из 20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20" w:name="it-инициатива-и-гипотезы"/>
      <w:bookmarkEnd w:id="19"/>
      <w:r>
        <w:rPr>
          <w:rFonts w:eastAsia="Times New Roman" w:cs="Times New Roman"/>
        </w:rPr>
        <w:t>IT-инициатива и гипотезы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613"/>
        <w:gridCol w:w="1330"/>
        <w:gridCol w:w="993"/>
        <w:gridCol w:w="1417"/>
        <w:gridCol w:w="4268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1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33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61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Конкретность описания IT-решения</w:t>
            </w:r>
          </w:p>
        </w:tc>
        <w:tc>
          <w:tcPr>
            <w:tcW w:w="133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): описаны функции и роли. Архитектурных деталей (стек, модули, интеграции из Заданий 1–3) нет.</w:t>
            </w:r>
          </w:p>
        </w:tc>
      </w:tr>
      <w:tr w:rsidR="00676715" w:rsidTr="00C31BE9">
        <w:trPr>
          <w:jc w:val="center"/>
        </w:trPr>
        <w:tc>
          <w:tcPr>
            <w:tcW w:w="161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Описание изменений процессов и ролей</w:t>
            </w:r>
          </w:p>
        </w:tc>
        <w:tc>
          <w:tcPr>
            <w:tcW w:w="133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Перечислены изменяемые процессы и роли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). Без явного формата «как было / как стало» по каждому процессу.</w:t>
            </w:r>
          </w:p>
        </w:tc>
      </w:tr>
      <w:tr w:rsidR="00676715" w:rsidTr="00C31BE9">
        <w:trPr>
          <w:jc w:val="center"/>
        </w:trPr>
        <w:tc>
          <w:tcPr>
            <w:tcW w:w="161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 инициативы на бизнес-метрики</w:t>
            </w:r>
          </w:p>
        </w:tc>
        <w:tc>
          <w:tcPr>
            <w:tcW w:w="133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Указано общее влияние на длительность операций, число ошибок, прозрачность данных и качество сервиса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). Без причинно-следственной цепочки «функция → метрика → бизнес-результат».</w:t>
            </w:r>
          </w:p>
        </w:tc>
      </w:tr>
      <w:tr w:rsidR="00676715" w:rsidTr="00C31BE9">
        <w:trPr>
          <w:jc w:val="center"/>
        </w:trPr>
        <w:tc>
          <w:tcPr>
            <w:tcW w:w="161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Качество гипотез «Если…, то…, потому что…»</w:t>
            </w:r>
          </w:p>
        </w:tc>
        <w:tc>
          <w:tcPr>
            <w:tcW w:w="133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2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Две гипотезы с корректной структурой (раздел 2,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>). Не содержат числовых таргетов — те есть в целях раздела 1.1, но не в самих гипотезах.</w:t>
            </w:r>
          </w:p>
        </w:tc>
      </w:tr>
    </w:tbl>
    <w:p w:rsidR="00676715" w:rsidRPr="002F718D" w:rsidRDefault="00421C40">
      <w:pPr>
        <w:pStyle w:val="a0"/>
        <w:rPr>
          <w:lang w:val="en-US"/>
        </w:rPr>
      </w:pPr>
      <w:r>
        <w:rPr>
          <w:rFonts w:eastAsia="Times New Roman" w:cs="Times New Roman"/>
          <w:b/>
          <w:bCs/>
        </w:rPr>
        <w:t>Подытог</w:t>
      </w:r>
      <w:r w:rsidRPr="002F718D">
        <w:rPr>
          <w:rFonts w:eastAsia="Times New Roman" w:cs="Times New Roman"/>
          <w:b/>
          <w:bCs/>
          <w:lang w:val="en-US"/>
        </w:rPr>
        <w:t xml:space="preserve"> </w:t>
      </w:r>
      <w:r>
        <w:rPr>
          <w:rFonts w:eastAsia="Times New Roman" w:cs="Times New Roman"/>
          <w:b/>
          <w:bCs/>
        </w:rPr>
        <w:t>блока</w:t>
      </w:r>
      <w:r w:rsidRPr="002F718D">
        <w:rPr>
          <w:rFonts w:eastAsia="Times New Roman" w:cs="Times New Roman"/>
          <w:b/>
          <w:bCs/>
          <w:lang w:val="en-US"/>
        </w:rPr>
        <w:t>:</w:t>
      </w:r>
      <w:r w:rsidRPr="002F718D">
        <w:rPr>
          <w:rFonts w:eastAsia="Times New Roman" w:cs="Times New Roman"/>
          <w:lang w:val="en-US"/>
        </w:rPr>
        <w:t xml:space="preserve"> </w:t>
      </w:r>
      <w:r w:rsidRPr="002F718D">
        <w:rPr>
          <w:rFonts w:eastAsia="Times New Roman" w:cs="Times New Roman"/>
          <w:b/>
          <w:bCs/>
          <w:lang w:val="en-US"/>
        </w:rPr>
        <w:t xml:space="preserve">18 </w:t>
      </w:r>
      <w:r>
        <w:rPr>
          <w:rFonts w:eastAsia="Times New Roman" w:cs="Times New Roman"/>
          <w:b/>
          <w:bCs/>
        </w:rPr>
        <w:t>из</w:t>
      </w:r>
      <w:r w:rsidRPr="002F718D">
        <w:rPr>
          <w:rFonts w:eastAsia="Times New Roman" w:cs="Times New Roman"/>
          <w:b/>
          <w:bCs/>
          <w:lang w:val="en-US"/>
        </w:rPr>
        <w:t xml:space="preserve"> 24</w:t>
      </w:r>
      <w:r w:rsidRPr="002F718D">
        <w:rPr>
          <w:rFonts w:eastAsia="Times New Roman" w:cs="Times New Roman"/>
          <w:lang w:val="en-US"/>
        </w:rPr>
        <w:t>.</w:t>
      </w:r>
    </w:p>
    <w:p w:rsidR="00676715" w:rsidRPr="002F718D" w:rsidRDefault="00421C40">
      <w:pPr>
        <w:pStyle w:val="3"/>
        <w:rPr>
          <w:lang w:val="en-US"/>
        </w:rPr>
      </w:pPr>
      <w:bookmarkStart w:id="21" w:name="tco-total-cost-of-ownership"/>
      <w:bookmarkEnd w:id="20"/>
      <w:r w:rsidRPr="002F718D">
        <w:rPr>
          <w:rFonts w:eastAsia="Times New Roman" w:cs="Times New Roman"/>
          <w:lang w:val="en-US"/>
        </w:rPr>
        <w:lastRenderedPageBreak/>
        <w:t>TCO (Total Cost of Ownership)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900"/>
        <w:gridCol w:w="902"/>
        <w:gridCol w:w="992"/>
        <w:gridCol w:w="1701"/>
        <w:gridCol w:w="4126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90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90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единовременных затрат (разработка/покупка, внедрение, обучение)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3.1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6–7</w:t>
            </w:r>
            <w:r>
              <w:rPr>
                <w:rFonts w:eastAsia="Times New Roman" w:cs="Times New Roman"/>
                <w:sz w:val="22"/>
              </w:rPr>
              <w:t>): 6 статей на 540 000 руб. — анализ требований, backend, frontend, генерация документов, внедрение/миграция, обучение. Все три категории задания учтены полностью.</w:t>
            </w:r>
          </w:p>
        </w:tc>
      </w:tr>
      <w:tr w:rsidR="00676715" w:rsidTr="00C31BE9">
        <w:trPr>
          <w:jc w:val="center"/>
        </w:trPr>
        <w:tc>
          <w:tcPr>
            <w:tcW w:w="190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операционных затрат (поддержка, инфраструктура, лицензии, команда)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3.2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7–9</w:t>
            </w:r>
            <w:r>
              <w:rPr>
                <w:rFonts w:eastAsia="Times New Roman" w:cs="Times New Roman"/>
                <w:sz w:val="22"/>
              </w:rPr>
              <w:t>): добавлена статья «Лицензии и подписки» (10 000 руб./год) с обоснованием open-source стека. Все 4 категории задания (поддержка, инфраструктура, лицензии, команда — через сопровождение) учтены. Структура таблицы (вынос «затрат на вывод» из ежегодных) остаётся улучшаемой.</w:t>
            </w:r>
          </w:p>
        </w:tc>
      </w:tr>
      <w:tr w:rsidR="00676715" w:rsidTr="00C31BE9">
        <w:trPr>
          <w:jc w:val="center"/>
        </w:trPr>
        <w:tc>
          <w:tcPr>
            <w:tcW w:w="190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Прозрачность логики расчёта и источников цен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Логика по часам × ставке указана для каждой статьи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6–9</w:t>
            </w:r>
            <w:r>
              <w:rPr>
                <w:rFonts w:eastAsia="Times New Roman" w:cs="Times New Roman"/>
                <w:sz w:val="22"/>
              </w:rPr>
              <w:t>). Ставка сотрудника для монетизации выгод (500 руб./час) явно объяснена как допущение учебной модели (стр. 9–10). Источник ставок 1 500 / 1 250 руб./час для разработки в разделе 3.1 не зафиксирован.</w:t>
            </w:r>
          </w:p>
        </w:tc>
      </w:tr>
      <w:tr w:rsidR="00676715" w:rsidTr="00C31BE9">
        <w:trPr>
          <w:jc w:val="center"/>
        </w:trPr>
        <w:tc>
          <w:tcPr>
            <w:tcW w:w="190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Горизонт расчёта (не менее 3 лет) и динамика</w:t>
            </w:r>
          </w:p>
        </w:tc>
        <w:tc>
          <w:tcPr>
            <w:tcW w:w="90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Расчёт TCO на 3 года (раздел 3.3,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</w:t>
            </w:r>
            <w:r>
              <w:rPr>
                <w:rFonts w:eastAsia="Times New Roman" w:cs="Times New Roman"/>
                <w:sz w:val="22"/>
              </w:rPr>
              <w:t xml:space="preserve">): 540 000 + 230 000×3 + 20 000×3 + 30 000 = </w:t>
            </w:r>
            <w:r>
              <w:rPr>
                <w:rFonts w:eastAsia="Times New Roman" w:cs="Times New Roman"/>
                <w:b/>
                <w:bCs/>
                <w:sz w:val="22"/>
              </w:rPr>
              <w:t>1 320 000 руб.</w:t>
            </w:r>
            <w:r>
              <w:rPr>
                <w:rFonts w:eastAsia="Times New Roman" w:cs="Times New Roman"/>
                <w:sz w:val="22"/>
              </w:rPr>
              <w:t xml:space="preserve"> ✓. Динамика затрат плоская — без учёта инфляции, индексации поддержки и роста инфраструктуры.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36 из 40</w:t>
      </w:r>
      <w:r>
        <w:rPr>
          <w:rFonts w:eastAsia="Times New Roman" w:cs="Times New Roman"/>
        </w:rPr>
        <w:t xml:space="preserve"> (было 31/40, </w:t>
      </w:r>
      <w:r>
        <w:rPr>
          <w:rFonts w:eastAsia="Times New Roman" w:cs="Times New Roman"/>
          <w:b/>
          <w:bCs/>
        </w:rPr>
        <w:t>+5</w:t>
      </w:r>
      <w:r>
        <w:rPr>
          <w:rFonts w:eastAsia="Times New Roman" w:cs="Times New Roman"/>
        </w:rPr>
        <w:t>).</w:t>
      </w:r>
    </w:p>
    <w:p w:rsidR="00676715" w:rsidRDefault="00421C40">
      <w:pPr>
        <w:pStyle w:val="3"/>
      </w:pPr>
      <w:bookmarkStart w:id="22" w:name="выгоды-benefits"/>
      <w:bookmarkEnd w:id="21"/>
      <w:r>
        <w:rPr>
          <w:rFonts w:eastAsia="Times New Roman" w:cs="Times New Roman"/>
        </w:rPr>
        <w:t>Выгоды (Benefits)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639"/>
        <w:gridCol w:w="1163"/>
        <w:gridCol w:w="992"/>
        <w:gridCol w:w="1701"/>
        <w:gridCol w:w="4126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63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1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63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Расчёт прямых выгод (рост выручки, снижение затрат)</w:t>
            </w:r>
          </w:p>
        </w:tc>
        <w:tc>
          <w:tcPr>
            <w:tcW w:w="11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9–11</w:t>
            </w:r>
            <w:r>
              <w:rPr>
                <w:rFonts w:eastAsia="Times New Roman" w:cs="Times New Roman"/>
                <w:sz w:val="22"/>
              </w:rPr>
              <w:t xml:space="preserve">): арифметика сошлась — 420 000 + 150 000 + 30 000 = </w:t>
            </w:r>
            <w:r>
              <w:rPr>
                <w:rFonts w:eastAsia="Times New Roman" w:cs="Times New Roman"/>
                <w:b/>
                <w:bCs/>
                <w:sz w:val="22"/>
              </w:rPr>
              <w:t>600 000 руб./год</w:t>
            </w:r>
            <w:r>
              <w:rPr>
                <w:rFonts w:eastAsia="Times New Roman" w:cs="Times New Roman"/>
                <w:sz w:val="22"/>
              </w:rPr>
              <w:t>. Каскадная нестыковка первой итерации устранена.</w:t>
            </w:r>
          </w:p>
        </w:tc>
      </w:tr>
      <w:tr w:rsidR="00676715" w:rsidTr="00C31BE9">
        <w:trPr>
          <w:jc w:val="center"/>
        </w:trPr>
        <w:tc>
          <w:tcPr>
            <w:tcW w:w="163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Проработка косвенных выгод</w:t>
            </w:r>
          </w:p>
        </w:tc>
        <w:tc>
          <w:tcPr>
            <w:tcW w:w="11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4.2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11–12</w:t>
            </w:r>
            <w:r>
              <w:rPr>
                <w:rFonts w:eastAsia="Times New Roman" w:cs="Times New Roman"/>
                <w:sz w:val="22"/>
              </w:rPr>
              <w:t>): 3 косвенные выгоды (SLA, удовлетворённость, ошибки) с описанием методики оценки. Без явной финансовой проекции каждой через измеримый канал.</w:t>
            </w:r>
          </w:p>
        </w:tc>
      </w:tr>
      <w:tr w:rsidR="00676715" w:rsidTr="00C31BE9">
        <w:trPr>
          <w:jc w:val="center"/>
        </w:trPr>
        <w:tc>
          <w:tcPr>
            <w:tcW w:w="163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Методика монетизации выгод</w:t>
            </w:r>
          </w:p>
        </w:tc>
        <w:tc>
          <w:tcPr>
            <w:tcW w:w="11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Для каждой выгоды раздела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9–11</w:t>
            </w:r>
            <w:r>
              <w:rPr>
                <w:rFonts w:eastAsia="Times New Roman" w:cs="Times New Roman"/>
                <w:sz w:val="22"/>
              </w:rPr>
              <w:t>) явная числовая формула («N сотрудников × M часов/мес × 12 × 500 руб./час»). Ставка сотрудника зафиксирована как допущение с возможностью уточнения по ФОТ.</w:t>
            </w:r>
          </w:p>
        </w:tc>
      </w:tr>
      <w:tr w:rsidR="00676715" w:rsidTr="00C31BE9">
        <w:trPr>
          <w:jc w:val="center"/>
        </w:trPr>
        <w:tc>
          <w:tcPr>
            <w:tcW w:w="163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Связь выгод с бизнес-метриками</w:t>
            </w:r>
          </w:p>
        </w:tc>
        <w:tc>
          <w:tcPr>
            <w:tcW w:w="116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4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Колонка «Связи с бизнес-метриками» в таблицах 4.1 и 4.2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9–12</w:t>
            </w:r>
            <w:r>
              <w:rPr>
                <w:rFonts w:eastAsia="Times New Roman" w:cs="Times New Roman"/>
                <w:sz w:val="22"/>
              </w:rPr>
              <w:t>) явно увязывает каждую выгоду с целевыми метриками раздела 1.1; после таблицы — сводная увязка с целями.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35 из 36</w:t>
      </w:r>
      <w:r>
        <w:rPr>
          <w:rFonts w:eastAsia="Times New Roman" w:cs="Times New Roman"/>
        </w:rPr>
        <w:t xml:space="preserve"> (было 23/36, </w:t>
      </w:r>
      <w:r>
        <w:rPr>
          <w:rFonts w:eastAsia="Times New Roman" w:cs="Times New Roman"/>
          <w:b/>
          <w:bCs/>
        </w:rPr>
        <w:t>+12</w:t>
      </w:r>
      <w:r>
        <w:rPr>
          <w:rFonts w:eastAsia="Times New Roman" w:cs="Times New Roman"/>
        </w:rPr>
        <w:t>).</w:t>
      </w:r>
    </w:p>
    <w:p w:rsidR="00676715" w:rsidRDefault="00421C40">
      <w:pPr>
        <w:pStyle w:val="3"/>
      </w:pPr>
      <w:bookmarkStart w:id="23" w:name="roi-и-срок-окупаемости"/>
      <w:bookmarkEnd w:id="22"/>
      <w:r>
        <w:rPr>
          <w:rFonts w:eastAsia="Times New Roman" w:cs="Times New Roman"/>
        </w:rPr>
        <w:t>ROI и срок окупаемости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29"/>
        <w:gridCol w:w="1573"/>
        <w:gridCol w:w="992"/>
        <w:gridCol w:w="1843"/>
        <w:gridCol w:w="3984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2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57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22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Корректность формул ROI и payback</w:t>
            </w:r>
          </w:p>
        </w:tc>
        <w:tc>
          <w:tcPr>
            <w:tcW w:w="157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5.2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13</w:t>
            </w:r>
            <w:r>
              <w:rPr>
                <w:rFonts w:eastAsia="Times New Roman" w:cs="Times New Roman"/>
                <w:sz w:val="22"/>
              </w:rPr>
              <w:t xml:space="preserve">): классическая формула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ROI = (Выгоды − TCO)/TCO × 100% = (1 650 000 − 1 320 000)/1 320 000 = 25,0%</w:t>
            </w:r>
            <w:r>
              <w:rPr>
                <w:rFonts w:eastAsia="Times New Roman" w:cs="Times New Roman"/>
                <w:sz w:val="22"/>
              </w:rPr>
              <w:t>. Терминологическая нечёткость «Чистая прибыль» устранена. Затраты на вывод 30 000 руб. учтены в полном TCO. Payback (раздел 5.3, стр. 13–14): 540 000 / 290 000 ≈ 1,86 года ✓.</w:t>
            </w:r>
          </w:p>
        </w:tc>
      </w:tr>
      <w:tr w:rsidR="00676715" w:rsidTr="00C31BE9">
        <w:trPr>
          <w:jc w:val="center"/>
        </w:trPr>
        <w:tc>
          <w:tcPr>
            <w:tcW w:w="122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 исходных значений в расчётах</w:t>
            </w:r>
          </w:p>
        </w:tc>
        <w:tc>
          <w:tcPr>
            <w:tcW w:w="157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TCO = 1 320 000 руб. и совокупные выгоды = 1 650 000 руб. сходятся с разделами 3.3 и 4.1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9, 11</w:t>
            </w:r>
            <w:r>
              <w:rPr>
                <w:rFonts w:eastAsia="Times New Roman" w:cs="Times New Roman"/>
                <w:sz w:val="22"/>
              </w:rPr>
              <w:t>): 420+150+30=600 в год; 420+600+630=1 650 за 3 года. Контрольная проверка: 230×3+20×3+540+30 = 1 320 ✓.</w:t>
            </w:r>
          </w:p>
        </w:tc>
      </w:tr>
      <w:tr w:rsidR="00676715" w:rsidTr="00C31BE9">
        <w:trPr>
          <w:jc w:val="center"/>
        </w:trPr>
        <w:tc>
          <w:tcPr>
            <w:tcW w:w="122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Динамика </w:t>
            </w:r>
            <w:r>
              <w:rPr>
                <w:rFonts w:eastAsia="Times New Roman" w:cs="Times New Roman"/>
                <w:sz w:val="22"/>
              </w:rPr>
              <w:lastRenderedPageBreak/>
              <w:t>по годам и интерпретация результатов</w:t>
            </w:r>
          </w:p>
        </w:tc>
        <w:tc>
          <w:tcPr>
            <w:tcW w:w="157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Таблица 5.1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 xml:space="preserve">стр. 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12–13</w:t>
            </w:r>
            <w:r>
              <w:rPr>
                <w:rFonts w:eastAsia="Times New Roman" w:cs="Times New Roman"/>
                <w:sz w:val="22"/>
              </w:rPr>
              <w:t>) теперь имеет 4 колонки (выгоды / прямые / косвенные-вывод / чистый эффект): 170 → 350 → 350 тыс. руб., с включением 30 000 руб. на вывод в 3-м году. Что есть: словесная интерпретация (адаптация → полный режим → накопленный эффект), сходимость арифметики. Чего недостаёт: числовые допущения о темпе роста (почему 70% эффекта в 1-й год; почему +5% во 2→3 годах) и индексация затрат.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lastRenderedPageBreak/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26 из 28</w:t>
      </w:r>
      <w:r>
        <w:rPr>
          <w:rFonts w:eastAsia="Times New Roman" w:cs="Times New Roman"/>
        </w:rPr>
        <w:t xml:space="preserve"> (было 19/28, </w:t>
      </w:r>
      <w:r>
        <w:rPr>
          <w:rFonts w:eastAsia="Times New Roman" w:cs="Times New Roman"/>
          <w:b/>
          <w:bCs/>
        </w:rPr>
        <w:t>+7</w:t>
      </w:r>
      <w:r>
        <w:rPr>
          <w:rFonts w:eastAsia="Times New Roman" w:cs="Times New Roman"/>
        </w:rPr>
        <w:t>).</w:t>
      </w:r>
    </w:p>
    <w:p w:rsidR="00676715" w:rsidRDefault="00421C40">
      <w:pPr>
        <w:pStyle w:val="3"/>
      </w:pPr>
      <w:bookmarkStart w:id="24" w:name="допущения-риски-и-ограничения"/>
      <w:bookmarkEnd w:id="23"/>
      <w:r>
        <w:rPr>
          <w:rFonts w:eastAsia="Times New Roman" w:cs="Times New Roman"/>
        </w:rPr>
        <w:t>Допущения, риски и ограничения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1704"/>
        <w:gridCol w:w="992"/>
        <w:gridCol w:w="1984"/>
        <w:gridCol w:w="3843"/>
      </w:tblGrid>
      <w:tr w:rsidR="00676715" w:rsidTr="00C31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09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1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C31BE9">
        <w:trPr>
          <w:jc w:val="center"/>
        </w:trPr>
        <w:tc>
          <w:tcPr>
            <w:tcW w:w="109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Реалистичность ключевых допущений</w:t>
            </w:r>
          </w:p>
        </w:tc>
        <w:tc>
          <w:tcPr>
            <w:tcW w:w="1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14–15</w:t>
            </w:r>
            <w:r>
              <w:rPr>
                <w:rFonts w:eastAsia="Times New Roman" w:cs="Times New Roman"/>
                <w:sz w:val="22"/>
              </w:rPr>
              <w:t>): 6 качественных допущений. В целом реалистичны, но без числовых границ (например, «доля возврата к ручной обработке ≤ 10%»).</w:t>
            </w:r>
          </w:p>
        </w:tc>
      </w:tr>
      <w:tr w:rsidR="00676715" w:rsidTr="00C31BE9">
        <w:trPr>
          <w:jc w:val="center"/>
        </w:trPr>
        <w:tc>
          <w:tcPr>
            <w:tcW w:w="109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Полнота анализа рисков и ограничений</w:t>
            </w:r>
          </w:p>
        </w:tc>
        <w:tc>
          <w:tcPr>
            <w:tcW w:w="1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15</w:t>
            </w:r>
            <w:r>
              <w:rPr>
                <w:rFonts w:eastAsia="Times New Roman" w:cs="Times New Roman"/>
                <w:sz w:val="22"/>
              </w:rPr>
              <w:t>): 7 рисков, раздел 6.3 (стр. 15–16): 5 ограничений модели. В целом достаточный анализ. Без приоритизации рисков (вероятность × влияние) и без матрицы реакции/митигации.</w:t>
            </w:r>
          </w:p>
        </w:tc>
      </w:tr>
      <w:tr w:rsidR="00676715" w:rsidTr="00C31BE9">
        <w:trPr>
          <w:jc w:val="center"/>
        </w:trPr>
        <w:tc>
          <w:tcPr>
            <w:tcW w:w="109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 отклонений параметров на модель</w:t>
            </w:r>
          </w:p>
        </w:tc>
        <w:tc>
          <w:tcPr>
            <w:tcW w:w="1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99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1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6.4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16</w:t>
            </w:r>
            <w:r>
              <w:rPr>
                <w:rFonts w:eastAsia="Times New Roman" w:cs="Times New Roman"/>
                <w:sz w:val="22"/>
              </w:rPr>
              <w:t>): чувствительные параметры названы; раздел 6.5 (стр. 16–17): 4 сценария отклонений с управленческими выводами. В разделе 9.1 бонуса (стр. 19–20) добавлены числовые сценарии (пессим/базовый/оптим) — связка чёткая.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20 из 24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25" w:name="X56ca44fd280cce9b2c71ef1b4f4b2b3644a78b2"/>
      <w:bookmarkEnd w:id="24"/>
      <w:r>
        <w:rPr>
          <w:rFonts w:eastAsia="Times New Roman" w:cs="Times New Roman"/>
        </w:rPr>
        <w:lastRenderedPageBreak/>
        <w:t>Альтернативы и финальное инвестиционное решение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993"/>
        <w:gridCol w:w="850"/>
        <w:gridCol w:w="2126"/>
        <w:gridCol w:w="3843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Наличие и качество альтернативы (вкл. build vs buy / не внедрять)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7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17–19</w:t>
            </w:r>
            <w:r>
              <w:rPr>
                <w:rFonts w:eastAsia="Times New Roman" w:cs="Times New Roman"/>
                <w:sz w:val="22"/>
              </w:rPr>
              <w:t xml:space="preserve">): таблица 3 вариантов — «не внедрять», «готовое внешнее решение», «собственная разработка». Качественное описание; </w:t>
            </w:r>
            <w:r>
              <w:rPr>
                <w:rFonts w:eastAsia="Times New Roman" w:cs="Times New Roman"/>
                <w:b/>
                <w:bCs/>
                <w:sz w:val="22"/>
              </w:rPr>
              <w:t>без числовых TCO/ROI для каждой альтернативы</w:t>
            </w:r>
            <w:r>
              <w:rPr>
                <w:rFonts w:eastAsia="Times New Roman" w:cs="Times New Roman"/>
                <w:sz w:val="22"/>
              </w:rPr>
              <w:t>.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Сравнение выбранного и альтернативного вариантов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×2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Та же таблица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17–19</w:t>
            </w:r>
            <w:r>
              <w:rPr>
                <w:rFonts w:eastAsia="Times New Roman" w:cs="Times New Roman"/>
                <w:sz w:val="22"/>
              </w:rPr>
              <w:t>) с колонками «Преимущества» и «Недостатки и вывод». Сопоставление по факторам (старт, гибкость, специфика). По цифрам сопоставление не проведено.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Обоснованность финального инвестиционного решения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×3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21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12</w:t>
            </w:r>
          </w:p>
        </w:tc>
        <w:tc>
          <w:tcPr>
            <w:tcW w:w="384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8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19–20</w:t>
            </w:r>
            <w:r>
              <w:rPr>
                <w:rFonts w:eastAsia="Times New Roman" w:cs="Times New Roman"/>
                <w:sz w:val="22"/>
              </w:rPr>
              <w:t>): решение сформулировано с условиями (готовность сотрудников + бюджет на сопровождение), упомянуты ROI и срок окупаемости. Без явной executive-структуры (TL;DR / решение / условия / риски / рекомендация).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блока: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21 из 28</w:t>
      </w:r>
      <w:r>
        <w:rPr>
          <w:rFonts w:eastAsia="Times New Roman" w:cs="Times New Roman"/>
        </w:rPr>
        <w:t>.</w:t>
      </w:r>
    </w:p>
    <w:p w:rsidR="00676715" w:rsidRDefault="00421C40">
      <w:pPr>
        <w:pStyle w:val="3"/>
      </w:pPr>
      <w:bookmarkStart w:id="26" w:name="бонус-со-звёздочкой"/>
      <w:bookmarkEnd w:id="25"/>
      <w:r>
        <w:rPr>
          <w:rFonts w:eastAsia="Times New Roman" w:cs="Times New Roman"/>
        </w:rPr>
        <w:t>Бонус «со звёздочкой»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993"/>
        <w:gridCol w:w="850"/>
        <w:gridCol w:w="1985"/>
        <w:gridCol w:w="3984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Критерий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Вес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Балл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Максимальный балл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Обоснование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Сценарное моделирование (оптимистичный/базовый/пессимистичный)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20–21</w:t>
            </w:r>
            <w:r>
              <w:rPr>
                <w:rFonts w:eastAsia="Times New Roman" w:cs="Times New Roman"/>
                <w:sz w:val="22"/>
              </w:rPr>
              <w:t>): таблица 3 сценариев пересчитана и согласована с базовой моделью (пессим: −4,5%/&gt;3 лет; базовый: 25,0%/≈2 года; оптим: 59,3%/≈1,4 года). Контрольный пересчёт каждого сценария — арифметика сходится.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Sensitivity analysis по ключевым параметрам ROI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</w:t>
            </w:r>
            <w:r>
              <w:rPr>
                <w:rFonts w:eastAsia="Times New Roman" w:cs="Times New Roman"/>
                <w:sz w:val="22"/>
              </w:rPr>
              <w:t>): три параметра-драйвера ROI названы (экономия времени, скорость эффекта, затраты на сопровождение) с управленческим выводом. Без числовой матрицы «±10% по параметру → ROI».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NPV/дисконтирование и управление бюджетом/эффектом</w:t>
            </w:r>
          </w:p>
        </w:tc>
        <w:tc>
          <w:tcPr>
            <w:tcW w:w="9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×1</w:t>
            </w:r>
          </w:p>
        </w:tc>
        <w:tc>
          <w:tcPr>
            <w:tcW w:w="85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98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8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Раздел 9.4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21–22</w:t>
            </w:r>
            <w:r>
              <w:rPr>
                <w:rFonts w:eastAsia="Times New Roman" w:cs="Times New Roman"/>
                <w:sz w:val="22"/>
              </w:rPr>
              <w:t xml:space="preserve">): NPV пересчитан с новыми потоками 170/350/350 при ставке 15%, в работе указано </w:t>
            </w:r>
            <w:r>
              <w:rPr>
                <w:rFonts w:eastAsia="Times New Roman" w:cs="Times New Roman"/>
                <w:b/>
                <w:bCs/>
                <w:sz w:val="22"/>
              </w:rPr>
              <w:t>108 894 руб.</w:t>
            </w:r>
            <w:r>
              <w:rPr>
                <w:rFonts w:eastAsia="Times New Roman" w:cs="Times New Roman"/>
                <w:sz w:val="22"/>
              </w:rPr>
              <w:t xml:space="preserve"> Контрольный пересчёт: 170 000/1,15 + 350 000/1,15² + 350 000/1,15³ = 147 826 + 264 650 + 230 138 = 642 614; NPV = 642 614 − 540 000 ≈ </w:t>
            </w:r>
            <w:r>
              <w:rPr>
                <w:rFonts w:eastAsia="Times New Roman" w:cs="Times New Roman"/>
                <w:b/>
                <w:bCs/>
                <w:sz w:val="22"/>
              </w:rPr>
              <w:t>102 614 руб.</w:t>
            </w:r>
            <w:r>
              <w:rPr>
                <w:rFonts w:eastAsia="Times New Roman" w:cs="Times New Roman"/>
                <w:sz w:val="22"/>
              </w:rPr>
              <w:t xml:space="preserve"> Расхождение ~6 280 руб. (5,8%) — арифметическая неточность, скорее всего следствие ручного пересчёта без обновления промежуточных значений. Раздел 9.5 (стр. 22): 4 практических пункта подхода к управлению бюджетом — раскрыты.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Подытог бонуса: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10 из 12</w:t>
      </w:r>
      <w:r>
        <w:rPr>
          <w:rFonts w:eastAsia="Times New Roman" w:cs="Times New Roman"/>
        </w:rPr>
        <w:t>.</w:t>
      </w:r>
    </w:p>
    <w:p w:rsidR="00676715" w:rsidRDefault="00676715"/>
    <w:p w:rsidR="00676715" w:rsidRDefault="00421C40">
      <w:pPr>
        <w:pStyle w:val="2"/>
      </w:pPr>
      <w:bookmarkStart w:id="27" w:name="сильные-стороны-работы"/>
      <w:bookmarkEnd w:id="18"/>
      <w:bookmarkEnd w:id="26"/>
      <w:r>
        <w:rPr>
          <w:rFonts w:ascii="Times New Roman" w:eastAsia="Times New Roman" w:hAnsi="Times New Roman" w:cs="Times New Roman"/>
        </w:rPr>
        <w:t>3. Сильные стороны работы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Прозрачная и сходящаяся монетизация прямых выгод.</w:t>
      </w:r>
      <w:r>
        <w:rPr>
          <w:rFonts w:eastAsia="Times New Roman" w:cs="Times New Roman"/>
        </w:rPr>
        <w:t xml:space="preserve"> Раздел 4.1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9–11</w:t>
      </w:r>
      <w:r>
        <w:rPr>
          <w:rFonts w:eastAsia="Times New Roman" w:cs="Times New Roman"/>
        </w:rPr>
        <w:t xml:space="preserve">) — три выгоды с явными формулами «N сотрудников × M часов/мес × 12 × 500 руб./час», итог 420 000 + 150 000 + 30 000 = </w:t>
      </w:r>
      <w:r>
        <w:rPr>
          <w:rFonts w:eastAsia="Times New Roman" w:cs="Times New Roman"/>
          <w:b/>
          <w:bCs/>
        </w:rPr>
        <w:t>600 000 руб./год</w:t>
      </w:r>
      <w:r>
        <w:rPr>
          <w:rFonts w:eastAsia="Times New Roman" w:cs="Times New Roman"/>
        </w:rPr>
        <w:t xml:space="preserve"> с явной арифметической проверкой; ставка сотрудника 500 руб./час зафиксирована как допущение учебной модели с указанием возможности уточнения по фактическому ФОТ. Полностью устраняет каскадный риск ROI/NPV/сценариев первой итерации.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Согласованная финансовая модель и сценарии.</w:t>
      </w:r>
      <w:r>
        <w:rPr>
          <w:rFonts w:eastAsia="Times New Roman" w:cs="Times New Roman"/>
        </w:rPr>
        <w:t xml:space="preserve"> Разделы 5 и 9.1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12–14, 20–21</w:t>
      </w:r>
      <w:r>
        <w:rPr>
          <w:rFonts w:eastAsia="Times New Roman" w:cs="Times New Roman"/>
        </w:rPr>
        <w:t xml:space="preserve">) теперь арифметически согласованы: TCO = 1 320 000 руб., выгоды за 3 года = 1 650 000 руб., ROI = (1 650 − 1 320) / 1 320 = </w:t>
      </w:r>
      <w:r>
        <w:rPr>
          <w:rFonts w:eastAsia="Times New Roman" w:cs="Times New Roman"/>
          <w:b/>
          <w:bCs/>
        </w:rPr>
        <w:t>25,0%</w:t>
      </w:r>
      <w:r>
        <w:rPr>
          <w:rFonts w:eastAsia="Times New Roman" w:cs="Times New Roman"/>
        </w:rPr>
        <w:t>, payback ≈ 1,86 года. Сценарии раздела 9.1 пересчитаны (пессим −4,5% / базовый 25,0% / оптим 59,3%) и контрольно проверены — связка «база ↔ сценарии» восстановлена.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Полные категории операционных затрат.</w:t>
      </w:r>
      <w:r>
        <w:rPr>
          <w:rFonts w:eastAsia="Times New Roman" w:cs="Times New Roman"/>
        </w:rPr>
        <w:t xml:space="preserve"> Раздел 3.2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7–9</w:t>
      </w:r>
      <w:r>
        <w:rPr>
          <w:rFonts w:eastAsia="Times New Roman" w:cs="Times New Roman"/>
        </w:rPr>
        <w:t xml:space="preserve">) — добавлена статья «Лицензии и подписки» (10 000 руб./год) с явным обоснованием через open-source стек. Все 4 категории задания (поддержка, инфраструктура, лицензии, команда сопровождения) представлены, что закрывает пробел первой итерации против требований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task_4.md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Бизнес-цели и проблемы с измеримыми метриками.</w:t>
      </w:r>
      <w:r>
        <w:rPr>
          <w:rFonts w:eastAsia="Times New Roman" w:cs="Times New Roman"/>
        </w:rPr>
        <w:t xml:space="preserve"> Разделы 1.1 и 1.2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1–4</w:t>
      </w:r>
      <w:r>
        <w:rPr>
          <w:rFonts w:eastAsia="Times New Roman" w:cs="Times New Roman"/>
        </w:rPr>
        <w:t xml:space="preserve">) — пять целей и пять проблем с явной метрикой и </w:t>
      </w:r>
      <w:r>
        <w:rPr>
          <w:rFonts w:eastAsia="Times New Roman" w:cs="Times New Roman"/>
        </w:rPr>
        <w:lastRenderedPageBreak/>
        <w:t>числовым целевым значением (–40%, –60%, –70%, –50%, –50%/4,5/5). Это сразу закрывает критерий «Связь цели с бизнес-метриками» на 4/4.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Качественные допущения, ограничения и сценарии отклонений.</w:t>
      </w:r>
      <w:r>
        <w:rPr>
          <w:rFonts w:eastAsia="Times New Roman" w:cs="Times New Roman"/>
        </w:rPr>
        <w:t xml:space="preserve"> Разделы 6.1–6.5 (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b/>
          <w:bCs/>
        </w:rPr>
        <w:t>стр. 14–17</w:t>
      </w:r>
      <w:r>
        <w:rPr>
          <w:rFonts w:eastAsia="Times New Roman" w:cs="Times New Roman"/>
        </w:rPr>
        <w:t>) — шесть допущений, семь рисков, пять ограничений и четыре сценария отклонений с управленческими выводами. Это даёт руководству ясную карту рисков модели даже без числовой sensitivity-таблицы раздела 9.</w:t>
      </w:r>
    </w:p>
    <w:p w:rsidR="00676715" w:rsidRDefault="00676715"/>
    <w:p w:rsidR="00676715" w:rsidRDefault="00421C40">
      <w:pPr>
        <w:pStyle w:val="2"/>
      </w:pPr>
      <w:bookmarkStart w:id="28" w:name="замечания-по-блокам"/>
      <w:bookmarkEnd w:id="27"/>
      <w:r>
        <w:rPr>
          <w:rFonts w:ascii="Times New Roman" w:eastAsia="Times New Roman" w:hAnsi="Times New Roman" w:cs="Times New Roman"/>
        </w:rPr>
        <w:t>4. Замечания по блокам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21–22 (раздел 9.4) — арифметическая ошибка в NPV.</w:t>
      </w:r>
      <w:r>
        <w:rPr>
          <w:rFonts w:eastAsia="Times New Roman" w:cs="Times New Roman"/>
        </w:rPr>
        <w:t xml:space="preserve"> В работе указано </w:t>
      </w:r>
      <w:r>
        <w:rPr>
          <w:rFonts w:eastAsia="Times New Roman" w:cs="Times New Roman"/>
          <w:b/>
          <w:bCs/>
        </w:rPr>
        <w:t>NPV ≈ 108 894 руб.</w:t>
      </w:r>
      <w:r>
        <w:rPr>
          <w:rFonts w:eastAsia="Times New Roman" w:cs="Times New Roman"/>
        </w:rPr>
        <w:t xml:space="preserve"> при ставке дисконтирования 15% и потоках 170/350/350 тыс. руб. Контрольный пересчёт: 170 000/1,15 + 350 000/1,3225 + 350 000/1,520875 = 147 826 + 264 650 + 230 138 = 642 614 руб.; NPV = 642 614 − 540 000 = </w:t>
      </w:r>
      <w:r>
        <w:rPr>
          <w:rFonts w:eastAsia="Times New Roman" w:cs="Times New Roman"/>
          <w:b/>
          <w:bCs/>
        </w:rPr>
        <w:t>102 614 руб.</w:t>
      </w:r>
      <w:r>
        <w:rPr>
          <w:rFonts w:eastAsia="Times New Roman" w:cs="Times New Roman"/>
        </w:rPr>
        <w:t xml:space="preserve"> Расхождение ~6 280 руб. (5,8%). Знак NPV корректен (положительный), вывод «проект сохраняет инвестиционную привлекательность» не меняется, но конкретное число расходится с собственными исходными потоками. Скорее всего — следствие пересчёта потоков с 190/370/400 на 170/350/350 без обновления значения NPV. Бонус-критерий «NPV/дисконтирование» —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7–9 (раздел 3.2) — структура таблицы операционных затрат.</w:t>
      </w:r>
      <w:r>
        <w:rPr>
          <w:rFonts w:eastAsia="Times New Roman" w:cs="Times New Roman"/>
        </w:rPr>
        <w:t xml:space="preserve"> Все четыре требуемые категории затрат теперь представлены, но «Затраты на вывод» (30 000 руб., разовая статья на конец 3-го года) по-прежнему размещены в таблице «Ежегодные эксплуатационные и сопутствующие затраты», что подтверждает и формула TCO </w:t>
      </w:r>
      <w:r>
        <w:rPr>
          <w:rStyle w:val="VerbatimChar"/>
          <w:rFonts w:ascii="Times New Roman" w:eastAsia="Times New Roman" w:hAnsi="Times New Roman" w:cs="Times New Roman"/>
          <w:sz w:val="24"/>
        </w:rPr>
        <w:t>+ 30 000</w:t>
      </w:r>
      <w:r>
        <w:rPr>
          <w:rFonts w:eastAsia="Times New Roman" w:cs="Times New Roman"/>
        </w:rPr>
        <w:t xml:space="preserve"> без множителя ×3. Текстовое разделение под таблицей («К ежегодным прямым… К ежегодным косвенным… Затраты на вывод…») стало чётче, но </w:t>
      </w:r>
      <w:r>
        <w:rPr>
          <w:rFonts w:eastAsia="Times New Roman" w:cs="Times New Roman"/>
          <w:b/>
          <w:bCs/>
        </w:rPr>
        <w:t>подытог «Суммарные ежегодные прямые затраты составляют 230 000 руб.» покрывает только 4 строки</w:t>
      </w:r>
      <w:r>
        <w:rPr>
          <w:rFonts w:eastAsia="Times New Roman" w:cs="Times New Roman"/>
        </w:rPr>
        <w:t xml:space="preserve"> (поддержка 120 + инфраструктура 50 + доработки 50 + лицензии 10 = 230); косвенные 20 000 и затраты на вывод 30 000 в этот итог не входят, хотя стоят в той же таблице. Сумма всех 6 строк составила бы 280 000 руб. Это методологическая неаккуратность таблицы: читатель не может однозначно сказать, какие строки попадают в «230 000» и какая статья разовая. Критерий «Полнота операционных затрат» — </w:t>
      </w:r>
      <w:r>
        <w:rPr>
          <w:rFonts w:eastAsia="Times New Roman" w:cs="Times New Roman"/>
          <w:b/>
          <w:bCs/>
        </w:rPr>
        <w:t>12 из 12</w:t>
      </w:r>
      <w:r>
        <w:rPr>
          <w:rFonts w:eastAsia="Times New Roman" w:cs="Times New Roman"/>
        </w:rPr>
        <w:t xml:space="preserve"> по существу покрытия, но рекомендуется реструктуризация таблицы для читаемости.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6–7 (раздел 3.1) — источник ставок для разработки.</w:t>
      </w:r>
      <w:r>
        <w:rPr>
          <w:rFonts w:eastAsia="Times New Roman" w:cs="Times New Roman"/>
        </w:rPr>
        <w:t xml:space="preserve"> Для всех статей единовременных затрат указана логика «N часов × M руб./час», ставки 1 500 / 1 250 руб./час сохранены, но </w:t>
      </w:r>
      <w:r>
        <w:rPr>
          <w:rFonts w:eastAsia="Times New Roman" w:cs="Times New Roman"/>
          <w:b/>
          <w:bCs/>
        </w:rPr>
        <w:t>источник</w:t>
      </w:r>
      <w:r>
        <w:rPr>
          <w:rFonts w:eastAsia="Times New Roman" w:cs="Times New Roman"/>
        </w:rPr>
        <w:t xml:space="preserve"> ставок в разделе 3.1 не зафиксирован. В разделе 4.1 (стр. 9–10) ставка сотрудника 500 руб./час теперь объяснена как допущение учебной модели с возможностью уточнения по ФОТ — это закрывает критерий по выгодам, но для разработки аналогичного пояснения нет. Возможные интерпретации (внутренний грейд / тариф фрилансера / нормативная ставка ВКР / </w:t>
      </w:r>
      <w:r>
        <w:rPr>
          <w:rFonts w:eastAsia="Times New Roman" w:cs="Times New Roman"/>
        </w:rPr>
        <w:lastRenderedPageBreak/>
        <w:t xml:space="preserve">среднерыночная) дают разный смысл цифры и разный отклик в реалистичности. Критерий «Прозрачность логики расчёта и источников цен»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12–13 (раздел 5.1) — числовое обоснование темпа роста выгод.</w:t>
      </w:r>
      <w:r>
        <w:rPr>
          <w:rFonts w:eastAsia="Times New Roman" w:cs="Times New Roman"/>
        </w:rPr>
        <w:t xml:space="preserve"> Таблица «Динамика выгод по годам» теперь содержит 4 колонки (выгоды / прямые затраты / косвенные-вывод / чистый эффект) и формирует строй 170 → 350 → 350 тыс. руб. — структурно прозрачнее, чем в первой итерации. Что присутствует: словесная интерпретация (1-й год — адаптация, 2-й — полный режим, 3-й — накопленный эффект), сходимость с разделами 4.1 и 5.2, корректное включение 30 000 руб. на вывод в 3-м году. Чего недостаёт: числовое обоснование, </w:t>
      </w:r>
      <w:r>
        <w:rPr>
          <w:rFonts w:eastAsia="Times New Roman" w:cs="Times New Roman"/>
          <w:b/>
          <w:bCs/>
        </w:rPr>
        <w:t>почему именно 70%</w:t>
      </w:r>
      <w:r>
        <w:rPr>
          <w:rFonts w:eastAsia="Times New Roman" w:cs="Times New Roman"/>
        </w:rPr>
        <w:t xml:space="preserve"> годового эффекта приходится на 1-й год (420/600) и </w:t>
      </w:r>
      <w:r>
        <w:rPr>
          <w:rFonts w:eastAsia="Times New Roman" w:cs="Times New Roman"/>
          <w:b/>
          <w:bCs/>
        </w:rPr>
        <w:t>почему +5%</w:t>
      </w:r>
      <w:r>
        <w:rPr>
          <w:rFonts w:eastAsia="Times New Roman" w:cs="Times New Roman"/>
        </w:rPr>
        <w:t xml:space="preserve"> ко 2-му году (630/600). Критерий «Динамика по годам и интерпретация результатов»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17–19 (раздел 7) — альтернативы без числовых сравнений.</w:t>
      </w:r>
      <w:r>
        <w:rPr>
          <w:rFonts w:eastAsia="Times New Roman" w:cs="Times New Roman"/>
        </w:rPr>
        <w:t xml:space="preserve"> Все три варианта описаны качественно (преимущества / недостатки), но без числовых TCO/ROI: для альтернативы «готовая внешняя система» не указаны лицензионные платежи, стоимость кастомизации и интеграции; для «не внедрять» не оценена стоимость сохранения текущих ручных операций (которая и есть бизнес-проблема из раздела 1.2). Без цифр сравнение остаётся ценностным, а не инвестиционным. Критерий «Сравнение выбранного и альтернативного вариантов»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19–20 (раздел 8) — финальное обоснование без executive-структуры.</w:t>
      </w:r>
      <w:r>
        <w:rPr>
          <w:rFonts w:eastAsia="Times New Roman" w:cs="Times New Roman"/>
        </w:rPr>
        <w:t xml:space="preserve"> Решение сформулировано развёрнуто, цифры (ROI 25%, payback ≈ 2 года) присутствуют, но рассыпаны по тексту трёх абзацев. Нет блока «Резюме для руководства»: одна-две строки рекомендации, ключевые финансовые показатели (TCO, ROI, NPV, payback) одним блоком, 2–3 условия принятия решения, 2–3 ключевых риска. Критерий «Обоснованность финального инвестиционного решения» — </w:t>
      </w:r>
      <w:r>
        <w:rPr>
          <w:rFonts w:eastAsia="Times New Roman" w:cs="Times New Roman"/>
          <w:b/>
          <w:bCs/>
        </w:rPr>
        <w:t>9 из 12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21 (раздел 9.2) — sensitivity без числовой матрицы.</w:t>
      </w:r>
      <w:r>
        <w:rPr>
          <w:rFonts w:eastAsia="Times New Roman" w:cs="Times New Roman"/>
        </w:rPr>
        <w:t xml:space="preserve"> Три ключевых параметра названы (экономия времени, скорость эффекта, затраты на сопровождение) с управленческим выводом, но </w:t>
      </w:r>
      <w:r>
        <w:rPr>
          <w:rFonts w:eastAsia="Times New Roman" w:cs="Times New Roman"/>
          <w:b/>
          <w:bCs/>
        </w:rPr>
        <w:t>числовая чувствительность не показана</w:t>
      </w:r>
      <w:r>
        <w:rPr>
          <w:rFonts w:eastAsia="Times New Roman" w:cs="Times New Roman"/>
        </w:rPr>
        <w:t xml:space="preserve">: нет таблицы вида «±10% по параметру → ROI меняется на N п.п.». При наличии sensitivity такой формат — стандарт; без него анализ остаётся качественным. Бонус-критерий «Sensitivity analysis» —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6 (раздел 2) — гипотезы без числовых таргетов.</w:t>
      </w:r>
      <w:r>
        <w:rPr>
          <w:rFonts w:eastAsia="Times New Roman" w:cs="Times New Roman"/>
        </w:rPr>
        <w:t xml:space="preserve"> Обе гипотезы корректны по форме («Если…, то…, потому что…»), но не содержат конкретных %: «трудозатраты снизятся», «уменьшится число ошибок и задержек». В целях раздела 1.1 числа есть (–40%, –60%); в гипотезах их нужно повторить, чтобы сделать проверяемыми. Критерий «Качество гипотез» — </w:t>
      </w:r>
      <w:r>
        <w:rPr>
          <w:rFonts w:eastAsia="Times New Roman" w:cs="Times New Roman"/>
          <w:b/>
          <w:bCs/>
        </w:rPr>
        <w:t>3 из 4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5–6 (раздел 2) — IT-решение без архитектурных деталей.</w:t>
      </w:r>
      <w:r>
        <w:rPr>
          <w:rFonts w:eastAsia="Times New Roman" w:cs="Times New Roman"/>
        </w:rPr>
        <w:t xml:space="preserve"> Описание сосредоточено на функциях и ролях, без архитектурных деталей (стек, </w:t>
      </w:r>
      <w:r>
        <w:rPr>
          <w:rFonts w:eastAsia="Times New Roman" w:cs="Times New Roman"/>
        </w:rPr>
        <w:lastRenderedPageBreak/>
        <w:t xml:space="preserve">модули, точки интеграции), которые присутствовали в Заданиях 1–3. Без этого инициатива «висит в воздухе»: TCO и риски опираются на функциональные оценки, но не верифицируются по технической стороне. Критерий «Конкретность описания IT-решения»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7–9 (раздел 3.2) — плоская динамика TCO.</w:t>
      </w:r>
      <w:r>
        <w:rPr>
          <w:rFonts w:eastAsia="Times New Roman" w:cs="Times New Roman"/>
        </w:rPr>
        <w:t xml:space="preserve"> Годовые затраты приняты постоянными (230 000 руб./год × 3) без учёта инфляции, индексации поддержки и роста инфраструктуры по мере роста сервиса. По дескриптору 4/4 «3+ года с чёткой динамикой и обоснованием» этого недостаточно. Критерий «Горизонт расчёта и динамика»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3–4 (раздел 1.2) — отсутствие числового baseline.</w:t>
      </w:r>
      <w:r>
        <w:rPr>
          <w:rFonts w:eastAsia="Times New Roman" w:cs="Times New Roman"/>
        </w:rPr>
        <w:t xml:space="preserve"> Все 5 проблем имеют метрики, но </w:t>
      </w:r>
      <w:r>
        <w:rPr>
          <w:rFonts w:eastAsia="Times New Roman" w:cs="Times New Roman"/>
          <w:b/>
          <w:bCs/>
        </w:rPr>
        <w:t>текущие значения</w:t>
      </w:r>
      <w:r>
        <w:rPr>
          <w:rFonts w:eastAsia="Times New Roman" w:cs="Times New Roman"/>
        </w:rPr>
        <w:t xml:space="preserve"> (с какого числа стартуем) не указаны: «среднее время обработки одной операции» — насколько оно сейчас отличается от целевого; «доля ошибочных записей» — текущая %. Без baseline невозможно верифицировать достижение цели. Критерий «Определённость бизнес-проблемы (измеримость)»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  <w:b/>
          <w:bCs/>
        </w:rPr>
        <w:t>, стр. 15 (раздел 6.2) — риски без приоритизации.</w:t>
      </w:r>
      <w:r>
        <w:rPr>
          <w:rFonts w:eastAsia="Times New Roman" w:cs="Times New Roman"/>
        </w:rPr>
        <w:t xml:space="preserve"> Семь рисков перечислены без оценки вероятность × влияние, без матрицы реакции (предотвращение / митигация / план Б). Критерий «Полнота анализа рисков и ограничений» — </w:t>
      </w:r>
      <w:r>
        <w:rPr>
          <w:rFonts w:eastAsia="Times New Roman" w:cs="Times New Roman"/>
          <w:b/>
          <w:bCs/>
        </w:rPr>
        <w:t>6 из 8</w:t>
      </w:r>
      <w:r>
        <w:rPr>
          <w:rFonts w:eastAsia="Times New Roman" w:cs="Times New Roman"/>
        </w:rPr>
        <w:t>.</w:t>
      </w:r>
    </w:p>
    <w:p w:rsidR="00676715" w:rsidRDefault="00676715"/>
    <w:p w:rsidR="00676715" w:rsidRDefault="00421C40">
      <w:pPr>
        <w:pStyle w:val="2"/>
      </w:pPr>
      <w:bookmarkStart w:id="29" w:name="рекомендации-по-улучшению"/>
      <w:bookmarkEnd w:id="28"/>
      <w:r>
        <w:rPr>
          <w:rFonts w:ascii="Times New Roman" w:eastAsia="Times New Roman" w:hAnsi="Times New Roman" w:cs="Times New Roman"/>
        </w:rPr>
        <w:t>5. Рекомендации по улучшению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518"/>
        <w:gridCol w:w="4258"/>
        <w:gridCol w:w="2845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Перестроить таблицу 3.2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7–9</w:t>
            </w:r>
            <w:r>
              <w:rPr>
                <w:rFonts w:eastAsia="Times New Roman" w:cs="Times New Roman"/>
                <w:sz w:val="22"/>
              </w:rPr>
              <w:t>) с разделением блоков «Прямые ежегодные / Косвенные ежегодные / Завершающие (разовые)» с подытогами по каждому блоку; вынести «Затраты на вывод» в отдельный блок (либо в раздел 3.1 единовременных затрат с пометкой «возникает в год 3»). Подытог «230 000 руб.» сделать однозначным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Повышает читаемость TCO без изменения суммарной величины; устраняет риск двойного счёта при апелляции.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Зафиксировать источник ставок 1 500 / 1 250 руб./час в разделе 3.1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6–7</w:t>
            </w:r>
            <w:r>
              <w:rPr>
                <w:rFonts w:eastAsia="Times New Roman" w:cs="Times New Roman"/>
                <w:sz w:val="22"/>
              </w:rPr>
              <w:t xml:space="preserve">) — внутренний грейд / тариф фрилансера / нормативная ставка ВКР / среднерыночная; при выборе нерыночной ставки явно пометить как </w:t>
            </w:r>
            <w:r>
              <w:rPr>
                <w:rFonts w:eastAsia="Times New Roman" w:cs="Times New Roman"/>
                <w:b/>
                <w:bCs/>
                <w:sz w:val="22"/>
              </w:rPr>
              <w:t>допущение учебной модели</w:t>
            </w:r>
            <w:r>
              <w:rPr>
                <w:rFonts w:eastAsia="Times New Roman" w:cs="Times New Roman"/>
                <w:sz w:val="22"/>
              </w:rPr>
              <w:t xml:space="preserve"> в разделе 6.1 (стр. 14–15) (по аналогии со ставкой 500 руб./час для </w:t>
            </w:r>
            <w:r>
              <w:rPr>
                <w:rFonts w:eastAsia="Times New Roman" w:cs="Times New Roman"/>
                <w:sz w:val="22"/>
              </w:rPr>
              <w:lastRenderedPageBreak/>
              <w:t>выгод)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«Прозрачность логики расчёта и источников цен»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усиливает «Реалистичность ключевых допущений».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Рассчитать TCO/ROI для альтернатив в разделе 7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17–19</w:t>
            </w:r>
            <w:r>
              <w:rPr>
                <w:rFonts w:eastAsia="Times New Roman" w:cs="Times New Roman"/>
                <w:sz w:val="22"/>
              </w:rPr>
              <w:t>): для «не внедрять» — стоимость текущих проблем (часы × 500 руб./час по той же методике, что и в разделе 4.1); для «готового решения» — лицензии + кастомизация + интеграция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и качество альтернативы»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«Сравнение вариантов»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в раздел 8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19–20</w:t>
            </w:r>
            <w:r>
              <w:rPr>
                <w:rFonts w:eastAsia="Times New Roman" w:cs="Times New Roman"/>
                <w:sz w:val="22"/>
              </w:rPr>
              <w:t>) блок «Резюме для руководства»: 1–2 строки рекомендации; ключевые цифры (TCO 1,32 млн ₽ / ROI 25% / NPV ~103 тыс. ₽ / payback ≈ 2 года) одним блоком; 2–3 условия принятия; 2–3 ключевых риска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«Обоснованность финального инвестиционного решения»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Обосновать темп роста выгод по годам в разделе 5.1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12–13</w:t>
            </w:r>
            <w:r>
              <w:rPr>
                <w:rFonts w:eastAsia="Times New Roman" w:cs="Times New Roman"/>
                <w:sz w:val="22"/>
              </w:rPr>
              <w:t>) числовыми допущениями: «70% эффекта в 1-й год — потому что N% сотрудников осваивает систему за M месяцев (со ссылкой на план обучения); +5% к 3-му году — за счёт накопленного снижения дублей». Параллельно ввести индексацию затрат на поддержку (+5%/год) или явно зафиксировать нулевую индексацию как допущение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«Динамика по годам и интерпретация результатов»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«Горизонт расчёта и динамика»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P1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Дополнить раздел 9.2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</w:t>
            </w:r>
            <w:r>
              <w:rPr>
                <w:rFonts w:eastAsia="Times New Roman" w:cs="Times New Roman"/>
                <w:sz w:val="22"/>
              </w:rPr>
              <w:t>) таблицей-tornado: ROI при ±10%, ±20% по каждому из трёх ключевых параметров (экономия времени, скорость эффекта, затраты на сопровождение)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«Sensitivity analysis»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Пересчитать NPV в разделе 9.4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21–22</w:t>
            </w:r>
            <w:r>
              <w:rPr>
                <w:rFonts w:eastAsia="Times New Roman" w:cs="Times New Roman"/>
                <w:sz w:val="22"/>
              </w:rPr>
              <w:t xml:space="preserve">) для текущих потоков 170/350/350 при 15%: контрольное значение </w:t>
            </w:r>
            <w:r>
              <w:rPr>
                <w:rFonts w:eastAsia="Times New Roman" w:cs="Times New Roman"/>
                <w:b/>
                <w:bCs/>
                <w:sz w:val="22"/>
              </w:rPr>
              <w:t>≈ 102 614 руб.</w:t>
            </w:r>
            <w:r>
              <w:rPr>
                <w:rFonts w:eastAsia="Times New Roman" w:cs="Times New Roman"/>
                <w:sz w:val="22"/>
              </w:rPr>
              <w:t>, а не 108 894 руб.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Бонус-критерий «NPV/дисконтирование»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бонус); устраняет арифметическое расхождение.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Переписать гипотезы в разделе 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>) с числовыми таргетами из раздела 1.1 («снизятся не менее чем на 40%»…)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«Качество гипотез»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в раздел 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 xml:space="preserve">) ссылку на архитектуру из Заданий 1–3 и связку технических </w:t>
            </w:r>
            <w:r>
              <w:rPr>
                <w:rFonts w:eastAsia="Times New Roman" w:cs="Times New Roman"/>
                <w:sz w:val="22"/>
              </w:rPr>
              <w:lastRenderedPageBreak/>
              <w:t>компонентов с TCO/рисками (например, выбор open-source vs коммерческой БД определяет лицензионные затраты)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«Конкретность описания IT-решения»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Зафиксировать числовой baseline для метрик в разделе 1.2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3–4</w:t>
            </w:r>
            <w:r>
              <w:rPr>
                <w:rFonts w:eastAsia="Times New Roman" w:cs="Times New Roman"/>
                <w:sz w:val="22"/>
              </w:rPr>
              <w:t>): добавить колонку «текущее значение» рядом с метрикой и целевым значением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«Определённость бизнес-проблемы (измеримость)»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5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P2</w:t>
            </w:r>
          </w:p>
        </w:tc>
        <w:tc>
          <w:tcPr>
            <w:tcW w:w="425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приоритизацию рисков в разделе 6.2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15</w:t>
            </w:r>
            <w:r>
              <w:rPr>
                <w:rFonts w:eastAsia="Times New Roman" w:cs="Times New Roman"/>
                <w:sz w:val="22"/>
              </w:rPr>
              <w:t>): вероятность × влияние с короткой матрицей реакции (предотвращение / митигация)</w:t>
            </w:r>
          </w:p>
        </w:tc>
        <w:tc>
          <w:tcPr>
            <w:tcW w:w="284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анализа рисков и ограничений»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Прогноз перехода категорий (с оговорками).</w:t>
      </w:r>
      <w:r>
        <w:rPr>
          <w:rFonts w:eastAsia="Times New Roman" w:cs="Times New Roman"/>
        </w:rPr>
        <w:t xml:space="preserve"> Текущая база — </w:t>
      </w:r>
      <w:r>
        <w:rPr>
          <w:rFonts w:eastAsia="Times New Roman" w:cs="Times New Roman"/>
          <w:b/>
          <w:bCs/>
        </w:rPr>
        <w:t>173 / 200</w:t>
      </w:r>
      <w:r>
        <w:rPr>
          <w:rFonts w:eastAsia="Times New Roman" w:cs="Times New Roman"/>
        </w:rPr>
        <w:t xml:space="preserve"> (~86,5%) обязательная часть + бонус </w:t>
      </w:r>
      <w:r>
        <w:rPr>
          <w:rFonts w:eastAsia="Times New Roman" w:cs="Times New Roman"/>
          <w:b/>
          <w:bCs/>
        </w:rPr>
        <w:t>10 / 12</w:t>
      </w:r>
      <w:r>
        <w:rPr>
          <w:rFonts w:eastAsia="Times New Roman" w:cs="Times New Roman"/>
        </w:rPr>
        <w:t xml:space="preserve">. Категория </w:t>
      </w:r>
      <w:r>
        <w:rPr>
          <w:rFonts w:eastAsia="Times New Roman" w:cs="Times New Roman"/>
          <w:b/>
          <w:bCs/>
        </w:rPr>
        <w:t>«Отлично»</w:t>
      </w:r>
      <w:r>
        <w:rPr>
          <w:rFonts w:eastAsia="Times New Roman" w:cs="Times New Roman"/>
        </w:rPr>
        <w:t xml:space="preserve"> уже достигнута (≥85%). Эффекты в правой колонке — диапазоны по дескрипторам </w:t>
      </w:r>
      <w:r>
        <w:rPr>
          <w:rStyle w:val="VerbatimChar"/>
          <w:rFonts w:ascii="Times New Roman" w:eastAsia="Times New Roman" w:hAnsi="Times New Roman" w:cs="Times New Roman"/>
          <w:sz w:val="24"/>
        </w:rPr>
        <w:t>scoring_4.md</w:t>
      </w:r>
      <w:r>
        <w:rPr>
          <w:rFonts w:eastAsia="Times New Roman" w:cs="Times New Roman"/>
        </w:rPr>
        <w:t>, не гарантии. Эффекты P1 частично пересекаются (например, «обоснование темпа роста» и «индексация затрат» дают совместный прирост по двум критериям ROI/TCO).</w:t>
      </w:r>
    </w:p>
    <w:p w:rsidR="00676715" w:rsidRDefault="00421C40">
      <w:pPr>
        <w:pStyle w:val="a0"/>
      </w:pPr>
      <w:r>
        <w:rPr>
          <w:rFonts w:eastAsia="Times New Roman" w:cs="Times New Roman"/>
        </w:rPr>
        <w:t>Условные сценарии: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Стабилизация в средней части «Отлично» (~88–90%):</w:t>
      </w:r>
      <w:r>
        <w:rPr>
          <w:rFonts w:eastAsia="Times New Roman" w:cs="Times New Roman"/>
        </w:rPr>
        <w:t xml:space="preserve"> все шесть P1 на минимальном уровне дескрипторов → расчётный прирост </w:t>
      </w:r>
      <w:r>
        <w:rPr>
          <w:rFonts w:eastAsia="Times New Roman" w:cs="Times New Roman"/>
          <w:b/>
          <w:bCs/>
        </w:rPr>
        <w:t>+9…+13 баллов</w:t>
      </w:r>
      <w:r>
        <w:rPr>
          <w:rFonts w:eastAsia="Times New Roman" w:cs="Times New Roman"/>
        </w:rPr>
        <w:t xml:space="preserve">, диапазон </w:t>
      </w:r>
      <w:r>
        <w:rPr>
          <w:rFonts w:eastAsia="Times New Roman" w:cs="Times New Roman"/>
          <w:b/>
          <w:bCs/>
        </w:rPr>
        <w:t>182–186 / 200</w:t>
      </w:r>
      <w:r>
        <w:rPr>
          <w:rFonts w:eastAsia="Times New Roman" w:cs="Times New Roman"/>
        </w:rPr>
        <w:t xml:space="preserve"> (~91–93%).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Близко к 95%:</w:t>
      </w:r>
      <w:r>
        <w:rPr>
          <w:rFonts w:eastAsia="Times New Roman" w:cs="Times New Roman"/>
        </w:rPr>
        <w:t xml:space="preserve"> все P1 + 2–3 пункта P2 + закрытие бонус-критерия NPV до 4/4 и Sensitivity до 4/4 → реалистичный сценарий, требующий восстановления арифметики NPV и tornado-таблицы; диапазон </w:t>
      </w:r>
      <w:r>
        <w:rPr>
          <w:rFonts w:eastAsia="Times New Roman" w:cs="Times New Roman"/>
          <w:b/>
          <w:bCs/>
        </w:rPr>
        <w:t>187–192 / 200</w:t>
      </w:r>
      <w:r>
        <w:rPr>
          <w:rFonts w:eastAsia="Times New Roman" w:cs="Times New Roman"/>
        </w:rPr>
        <w:t xml:space="preserve"> (~93,5–96%) и бонус </w:t>
      </w:r>
      <w:r>
        <w:rPr>
          <w:rFonts w:eastAsia="Times New Roman" w:cs="Times New Roman"/>
          <w:b/>
          <w:bCs/>
        </w:rPr>
        <w:t>12/12</w:t>
      </w:r>
      <w:r>
        <w:rPr>
          <w:rFonts w:eastAsia="Times New Roman" w:cs="Times New Roman"/>
        </w:rPr>
        <w:t>.</w:t>
      </w:r>
    </w:p>
    <w:p w:rsidR="00676715" w:rsidRDefault="00500ED0">
      <w:r>
        <w:rPr>
          <w:rFonts w:eastAsia="Times New Roman" w:cs="Times New Roman"/>
        </w:rPr>
        <w:pict>
          <v:rect id="_x0000_i1025" style="width:0;height:1.5pt" o:hralign="center" o:hrstd="t" o:hr="t"/>
        </w:pict>
      </w:r>
    </w:p>
    <w:p w:rsidR="00676715" w:rsidRDefault="00421C40">
      <w:pPr>
        <w:pStyle w:val="2"/>
      </w:pPr>
      <w:bookmarkStart w:id="30" w:name="карта-рисков-работы"/>
      <w:bookmarkEnd w:id="29"/>
      <w:r>
        <w:rPr>
          <w:rFonts w:ascii="Times New Roman" w:eastAsia="Times New Roman" w:hAnsi="Times New Roman" w:cs="Times New Roman"/>
        </w:rPr>
        <w:t>6. Карта рисков работы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526"/>
        <w:gridCol w:w="2193"/>
        <w:gridCol w:w="2934"/>
        <w:gridCol w:w="2968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26" w:type="dxa"/>
          </w:tcPr>
          <w:p w:rsidR="00676715" w:rsidRDefault="00676715">
            <w:pPr>
              <w:pStyle w:val="Compact"/>
              <w:spacing w:before="0" w:after="60"/>
            </w:pPr>
          </w:p>
        </w:tc>
        <w:tc>
          <w:tcPr>
            <w:tcW w:w="21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29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29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676715" w:rsidTr="00421C40">
        <w:trPr>
          <w:jc w:val="center"/>
        </w:trPr>
        <w:tc>
          <w:tcPr>
            <w:tcW w:w="15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Высокая вероятность</w:t>
            </w:r>
          </w:p>
        </w:tc>
        <w:tc>
          <w:tcPr>
            <w:tcW w:w="21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Гипотезы раздела 2 без числовых таргетов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</w:t>
            </w:r>
            <w:r>
              <w:rPr>
                <w:rFonts w:eastAsia="Times New Roman" w:cs="Times New Roman"/>
                <w:sz w:val="22"/>
              </w:rPr>
              <w:t>) — снижает проверяемость</w:t>
            </w:r>
          </w:p>
        </w:tc>
        <w:tc>
          <w:tcPr>
            <w:tcW w:w="29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Sensitivity analysis качественный, без таблицы-tornado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</w:t>
            </w:r>
            <w:r>
              <w:rPr>
                <w:rFonts w:eastAsia="Times New Roman" w:cs="Times New Roman"/>
                <w:sz w:val="22"/>
              </w:rPr>
              <w:t>); финальное обоснование без executive-структуры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19–20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29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  <w:tr w:rsidR="00676715" w:rsidTr="00421C40">
        <w:trPr>
          <w:jc w:val="center"/>
        </w:trPr>
        <w:tc>
          <w:tcPr>
            <w:tcW w:w="15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Средняя </w:t>
            </w:r>
            <w:r>
              <w:rPr>
                <w:rFonts w:eastAsia="Times New Roman" w:cs="Times New Roman"/>
                <w:sz w:val="22"/>
              </w:rPr>
              <w:lastRenderedPageBreak/>
              <w:t>вероятность</w:t>
            </w:r>
          </w:p>
        </w:tc>
        <w:tc>
          <w:tcPr>
            <w:tcW w:w="21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IT-решение без </w:t>
            </w:r>
            <w:r>
              <w:rPr>
                <w:rFonts w:eastAsia="Times New Roman" w:cs="Times New Roman"/>
                <w:sz w:val="22"/>
              </w:rPr>
              <w:lastRenderedPageBreak/>
              <w:t>архитектурных деталей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5–6</w:t>
            </w:r>
            <w:r>
              <w:rPr>
                <w:rFonts w:eastAsia="Times New Roman" w:cs="Times New Roman"/>
                <w:sz w:val="22"/>
              </w:rPr>
              <w:t>); риски без приоритизации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15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29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Альтернативы без </w:t>
            </w:r>
            <w:r>
              <w:rPr>
                <w:rFonts w:eastAsia="Times New Roman" w:cs="Times New Roman"/>
                <w:sz w:val="22"/>
              </w:rPr>
              <w:lastRenderedPageBreak/>
              <w:t>числового TCO/ROI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17–19</w:t>
            </w:r>
            <w:r>
              <w:rPr>
                <w:rFonts w:eastAsia="Times New Roman" w:cs="Times New Roman"/>
                <w:sz w:val="22"/>
              </w:rPr>
              <w:t>); источник ставки часа для разработки не зафиксирован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6–7</w:t>
            </w:r>
            <w:r>
              <w:rPr>
                <w:rFonts w:eastAsia="Times New Roman" w:cs="Times New Roman"/>
                <w:sz w:val="22"/>
              </w:rPr>
              <w:t>) — неясна интерпретация числа</w:t>
            </w:r>
          </w:p>
        </w:tc>
        <w:tc>
          <w:tcPr>
            <w:tcW w:w="29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Темп роста выгод по годам </w:t>
            </w:r>
            <w:r>
              <w:rPr>
                <w:rFonts w:eastAsia="Times New Roman" w:cs="Times New Roman"/>
                <w:sz w:val="22"/>
              </w:rPr>
              <w:lastRenderedPageBreak/>
              <w:t>без числового обоснования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12–13</w:t>
            </w:r>
            <w:r>
              <w:rPr>
                <w:rFonts w:eastAsia="Times New Roman" w:cs="Times New Roman"/>
                <w:sz w:val="22"/>
              </w:rPr>
              <w:t>) — упрек в субъективности модели</w:t>
            </w:r>
          </w:p>
        </w:tc>
      </w:tr>
      <w:tr w:rsidR="00676715" w:rsidTr="00421C40">
        <w:trPr>
          <w:jc w:val="center"/>
        </w:trPr>
        <w:tc>
          <w:tcPr>
            <w:tcW w:w="1526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Низкая вероятность</w:t>
            </w:r>
          </w:p>
        </w:tc>
        <w:tc>
          <w:tcPr>
            <w:tcW w:w="2193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Плоская динамика TCO без индексации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7–9</w:t>
            </w:r>
            <w:r>
              <w:rPr>
                <w:rFonts w:eastAsia="Times New Roman" w:cs="Times New Roman"/>
                <w:sz w:val="22"/>
              </w:rPr>
              <w:t>); отсутствие baseline для метрик в разделе 1.2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3–4</w:t>
            </w:r>
            <w:r>
              <w:rPr>
                <w:rFonts w:eastAsia="Times New Roman" w:cs="Times New Roman"/>
                <w:sz w:val="22"/>
              </w:rPr>
              <w:t>); разовая статья «Затраты на вывод» среди ежегодных + итог 230 000 ≠ сумма строк таблицы 3.2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7–9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  <w:tc>
          <w:tcPr>
            <w:tcW w:w="29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Арифметическая неточность в NPV (108 894 vs ~102 614 руб., 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21–22</w:t>
            </w:r>
            <w:r>
              <w:rPr>
                <w:rFonts w:eastAsia="Times New Roman" w:cs="Times New Roman"/>
                <w:sz w:val="22"/>
              </w:rPr>
              <w:t>) — расхождение ~5,8%, знак и качественный вывод сохраняются</w:t>
            </w:r>
          </w:p>
        </w:tc>
        <w:tc>
          <w:tcPr>
            <w:tcW w:w="296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</w:tr>
    </w:tbl>
    <w:p w:rsidR="00421C40" w:rsidRDefault="00421C40">
      <w:pPr>
        <w:pStyle w:val="a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исправлений критические риски (правая верхняя ячейка «Высокая вероятность × Высокое влияние») первой итерации устранены: арифметика прямых выгод, отсутствие лицензий, пропуск 30 000 руб. в ROI, терминологическая нечёткость «Чистая прибыль» — все эти позиции закрыты в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>. Оставшиеся риски — преимущественно среднего и низкого уровня, влияющие на качество подачи и читаемость, а не на принципиальную корректность модели.</w:t>
      </w:r>
    </w:p>
    <w:p w:rsidR="00676715" w:rsidRPr="00421C40" w:rsidRDefault="00421C40">
      <w:pPr>
        <w:pStyle w:val="a0"/>
        <w:rPr>
          <w:rFonts w:eastAsia="Times New Roman"/>
        </w:rPr>
      </w:pPr>
      <w:r>
        <w:rPr>
          <w:rFonts w:eastAsia="Times New Roman"/>
        </w:rPr>
        <w:br w:type="page"/>
      </w:r>
    </w:p>
    <w:p w:rsidR="00676715" w:rsidRDefault="00421C40">
      <w:pPr>
        <w:pStyle w:val="1"/>
      </w:pPr>
      <w:bookmarkStart w:id="31" w:name="black-swan-audit-report"/>
      <w:bookmarkEnd w:id="16"/>
      <w:bookmarkEnd w:id="30"/>
      <w:r>
        <w:rPr>
          <w:rFonts w:ascii="Times New Roman" w:eastAsia="Times New Roman" w:hAnsi="Times New Roman" w:cs="Times New Roman"/>
        </w:rPr>
        <w:lastRenderedPageBreak/>
        <w:t>Black Swan Audit Report</w:t>
      </w:r>
    </w:p>
    <w:p w:rsidR="00676715" w:rsidRDefault="00421C40">
      <w:pPr>
        <w:pStyle w:val="2"/>
      </w:pPr>
      <w:bookmarkStart w:id="32" w:name="X5ea0414119f35a075321f5bccc1cbbabced4a13"/>
      <w:r>
        <w:rPr>
          <w:rFonts w:ascii="Times New Roman" w:eastAsia="Times New Roman" w:hAnsi="Times New Roman" w:cs="Times New Roman"/>
        </w:rPr>
        <w:t>1. Числовая оценка устойчивости системы (шкала 1–10)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Оценка: 5/10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Объект оценки.</w:t>
      </w:r>
      <w:r>
        <w:rPr>
          <w:rFonts w:eastAsia="Times New Roman" w:cs="Times New Roman"/>
        </w:rPr>
        <w:t xml:space="preserve"> Речь о </w:t>
      </w:r>
      <w:r>
        <w:rPr>
          <w:rFonts w:eastAsia="Times New Roman" w:cs="Times New Roman"/>
          <w:b/>
          <w:bCs/>
        </w:rPr>
        <w:t>системе в целом</w:t>
      </w:r>
      <w:r>
        <w:rPr>
          <w:rFonts w:eastAsia="Times New Roman" w:cs="Times New Roman"/>
        </w:rPr>
        <w:t xml:space="preserve">, как она описана в материалах заданий </w:t>
      </w:r>
      <w:r>
        <w:rPr>
          <w:rFonts w:eastAsia="Times New Roman" w:cs="Times New Roman"/>
          <w:b/>
          <w:bCs/>
        </w:rPr>
        <w:t>1–4</w:t>
      </w:r>
      <w:r>
        <w:rPr>
          <w:rFonts w:eastAsia="Times New Roman" w:cs="Times New Roman"/>
        </w:rPr>
        <w:t xml:space="preserve"> (один и тот же веб-сервис автоматизации дополнительного образования: React, FastAPI, база данных; учёт контингента, импорт Excel, документы, отчётность; персональные данные). Оценка отражает </w:t>
      </w:r>
      <w:r>
        <w:rPr>
          <w:rFonts w:eastAsia="Times New Roman" w:cs="Times New Roman"/>
          <w:b/>
          <w:bCs/>
        </w:rPr>
        <w:t>насколько полно в этих документах описаны устойчивость и восстановление после сбоев</w:t>
      </w:r>
      <w:r>
        <w:rPr>
          <w:rFonts w:eastAsia="Times New Roman" w:cs="Times New Roman"/>
        </w:rPr>
        <w:t>, а не отдельный аудит реальной эксплуатации или программного кода.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Рубрикация шкалы 1–10</w:t>
      </w:r>
      <w:r>
        <w:rPr>
          <w:rFonts w:eastAsia="Times New Roman" w:cs="Times New Roman"/>
        </w:rPr>
        <w:t xml:space="preserve"> (про редкие </w:t>
      </w:r>
      <w:r>
        <w:rPr>
          <w:rFonts w:eastAsia="Times New Roman" w:cs="Times New Roman"/>
          <w:b/>
          <w:bCs/>
        </w:rPr>
        <w:t>катастрофические</w:t>
      </w:r>
      <w:r>
        <w:rPr>
          <w:rFonts w:eastAsia="Times New Roman" w:cs="Times New Roman"/>
        </w:rPr>
        <w:t xml:space="preserve"> ситуации, «чёрные лебеды», а не про обычные неполадки):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3227"/>
        <w:gridCol w:w="6394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2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Диапазон</w:t>
            </w:r>
          </w:p>
        </w:tc>
        <w:tc>
          <w:tcPr>
            <w:tcW w:w="639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Смысл</w:t>
            </w:r>
          </w:p>
        </w:tc>
      </w:tr>
      <w:tr w:rsidR="00676715" w:rsidTr="00421C40">
        <w:trPr>
          <w:jc w:val="center"/>
        </w:trPr>
        <w:tc>
          <w:tcPr>
            <w:tcW w:w="32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1–2</w:t>
            </w:r>
          </w:p>
        </w:tc>
        <w:tc>
          <w:tcPr>
            <w:tcW w:w="639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Нет осмысленных </w:t>
            </w:r>
            <w:r>
              <w:rPr>
                <w:rFonts w:eastAsia="Times New Roman" w:cs="Times New Roman"/>
                <w:b/>
                <w:bCs/>
                <w:sz w:val="22"/>
              </w:rPr>
              <w:t>SLA</w:t>
            </w:r>
            <w:r>
              <w:rPr>
                <w:rFonts w:eastAsia="Times New Roman" w:cs="Times New Roman"/>
                <w:sz w:val="22"/>
              </w:rPr>
              <w:t xml:space="preserve"> (соглашений об уровне сервиса) и процессов; восстановление непредсказуемо</w:t>
            </w:r>
          </w:p>
        </w:tc>
      </w:tr>
      <w:tr w:rsidR="00676715" w:rsidTr="00421C40">
        <w:trPr>
          <w:jc w:val="center"/>
        </w:trPr>
        <w:tc>
          <w:tcPr>
            <w:tcW w:w="32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3–4</w:t>
            </w:r>
          </w:p>
        </w:tc>
        <w:tc>
          <w:tcPr>
            <w:tcW w:w="639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базовые SLA или реактивная поддержка без цельного плана </w:t>
            </w:r>
            <w:r>
              <w:rPr>
                <w:rFonts w:eastAsia="Times New Roman" w:cs="Times New Roman"/>
                <w:b/>
                <w:bCs/>
                <w:sz w:val="22"/>
              </w:rPr>
              <w:t>аварийного восстановления (DR, disaster recovery)</w:t>
            </w:r>
          </w:p>
        </w:tc>
      </w:tr>
      <w:tr w:rsidR="00676715" w:rsidTr="00421C40">
        <w:trPr>
          <w:jc w:val="center"/>
        </w:trPr>
        <w:tc>
          <w:tcPr>
            <w:tcW w:w="32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5–6</w:t>
            </w:r>
          </w:p>
        </w:tc>
        <w:tc>
          <w:tcPr>
            <w:tcW w:w="639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Сильная </w:t>
            </w:r>
            <w:r>
              <w:rPr>
                <w:rFonts w:eastAsia="Times New Roman" w:cs="Times New Roman"/>
                <w:b/>
                <w:bCs/>
                <w:sz w:val="22"/>
              </w:rPr>
              <w:t>повседневная</w:t>
            </w:r>
            <w:r>
              <w:rPr>
                <w:rFonts w:eastAsia="Times New Roman" w:cs="Times New Roman"/>
                <w:sz w:val="22"/>
              </w:rPr>
              <w:t xml:space="preserve"> эксплуатация (метрики, ITIL, SLA), но слабое формальное аварийное восстановление: нет ясных </w:t>
            </w:r>
            <w:r>
              <w:rPr>
                <w:rFonts w:eastAsia="Times New Roman" w:cs="Times New Roman"/>
                <w:b/>
                <w:bCs/>
                <w:sz w:val="22"/>
              </w:rPr>
              <w:t>RTO/RPO</w:t>
            </w:r>
            <w:r>
              <w:rPr>
                <w:rFonts w:eastAsia="Times New Roman" w:cs="Times New Roman"/>
                <w:sz w:val="22"/>
              </w:rPr>
              <w:t xml:space="preserve"> (см. ниже) по частям системы и регулярных </w:t>
            </w:r>
            <w:r>
              <w:rPr>
                <w:rFonts w:eastAsia="Times New Roman" w:cs="Times New Roman"/>
                <w:b/>
                <w:bCs/>
                <w:sz w:val="22"/>
              </w:rPr>
              <w:t>учений восстановления из резервной копии</w:t>
            </w:r>
          </w:p>
        </w:tc>
      </w:tr>
      <w:tr w:rsidR="00676715" w:rsidTr="00421C40">
        <w:trPr>
          <w:jc w:val="center"/>
        </w:trPr>
        <w:tc>
          <w:tcPr>
            <w:tcW w:w="32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7–8</w:t>
            </w:r>
          </w:p>
        </w:tc>
        <w:tc>
          <w:tcPr>
            <w:tcW w:w="639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формальный план DR, </w:t>
            </w:r>
            <w:r>
              <w:rPr>
                <w:rFonts w:eastAsia="Times New Roman" w:cs="Times New Roman"/>
                <w:b/>
                <w:bCs/>
                <w:sz w:val="22"/>
              </w:rPr>
              <w:t>RTO/RPO</w:t>
            </w:r>
            <w:r>
              <w:rPr>
                <w:rFonts w:eastAsia="Times New Roman" w:cs="Times New Roman"/>
                <w:sz w:val="22"/>
              </w:rPr>
              <w:t xml:space="preserve"> по ключевым узлам, регулярные </w:t>
            </w:r>
            <w:r>
              <w:rPr>
                <w:rFonts w:eastAsia="Times New Roman" w:cs="Times New Roman"/>
                <w:b/>
                <w:bCs/>
                <w:sz w:val="22"/>
              </w:rPr>
              <w:t>учения отката из бэкапа</w:t>
            </w:r>
            <w:r>
              <w:rPr>
                <w:rFonts w:eastAsia="Times New Roman" w:cs="Times New Roman"/>
                <w:sz w:val="22"/>
              </w:rPr>
              <w:t xml:space="preserve"> и ограниченные </w:t>
            </w:r>
            <w:r>
              <w:rPr>
                <w:rFonts w:eastAsia="Times New Roman" w:cs="Times New Roman"/>
                <w:b/>
                <w:bCs/>
                <w:sz w:val="22"/>
              </w:rPr>
              <w:t>хаос-тесты</w:t>
            </w:r>
            <w:r>
              <w:rPr>
                <w:rFonts w:eastAsia="Times New Roman" w:cs="Times New Roman"/>
                <w:sz w:val="22"/>
              </w:rPr>
              <w:t xml:space="preserve"> (намеренные сбои в безопасной среде для проверки)</w:t>
            </w:r>
          </w:p>
        </w:tc>
      </w:tr>
      <w:tr w:rsidR="00676715" w:rsidTr="00421C40">
        <w:trPr>
          <w:jc w:val="center"/>
        </w:trPr>
        <w:tc>
          <w:tcPr>
            <w:tcW w:w="322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9–10</w:t>
            </w:r>
          </w:p>
        </w:tc>
        <w:tc>
          <w:tcPr>
            <w:tcW w:w="639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Несколько площадок размещения, осознанное </w:t>
            </w:r>
            <w:r>
              <w:rPr>
                <w:rFonts w:eastAsia="Times New Roman" w:cs="Times New Roman"/>
                <w:b/>
                <w:bCs/>
                <w:sz w:val="22"/>
              </w:rPr>
              <w:t>ограничение зоны сбоя</w:t>
            </w:r>
            <w:r>
              <w:rPr>
                <w:rFonts w:eastAsia="Times New Roman" w:cs="Times New Roman"/>
                <w:sz w:val="22"/>
              </w:rPr>
              <w:t xml:space="preserve"> (чтобы один отказ не валил всё сразу; в литературе — </w:t>
            </w:r>
            <w:r>
              <w:rPr>
                <w:rFonts w:eastAsia="Times New Roman" w:cs="Times New Roman"/>
                <w:i/>
                <w:iCs/>
                <w:sz w:val="22"/>
              </w:rPr>
              <w:t>blast radius</w:t>
            </w:r>
            <w:r>
              <w:rPr>
                <w:rFonts w:eastAsia="Times New Roman" w:cs="Times New Roman"/>
                <w:sz w:val="22"/>
              </w:rPr>
              <w:t xml:space="preserve">), секреты и </w:t>
            </w:r>
            <w:r>
              <w:rPr>
                <w:rFonts w:eastAsia="Times New Roman" w:cs="Times New Roman"/>
                <w:b/>
                <w:bCs/>
                <w:sz w:val="22"/>
              </w:rPr>
              <w:t>цепочка поставки ПО</w:t>
            </w:r>
            <w:r>
              <w:rPr>
                <w:rFonts w:eastAsia="Times New Roman" w:cs="Times New Roman"/>
                <w:sz w:val="22"/>
              </w:rPr>
              <w:t xml:space="preserve"> (библиотеки, образы) под контролем, учения как норма практики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Пояснение к терминам в таблице: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RTO</w:t>
      </w:r>
      <w:r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i/>
          <w:iCs/>
        </w:rPr>
        <w:t>recovery time objective</w:t>
      </w:r>
      <w:r>
        <w:rPr>
          <w:rFonts w:eastAsia="Times New Roman" w:cs="Times New Roman"/>
        </w:rPr>
        <w:t>) — допустимое время простоя: через сколько часов сервис снова должен быть доступен пользователям.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RPO</w:t>
      </w:r>
      <w:r>
        <w:rPr>
          <w:rFonts w:eastAsia="Times New Roman" w:cs="Times New Roman"/>
        </w:rPr>
        <w:t xml:space="preserve"> (</w:t>
      </w:r>
      <w:r>
        <w:rPr>
          <w:rFonts w:eastAsia="Times New Roman" w:cs="Times New Roman"/>
          <w:i/>
          <w:iCs/>
        </w:rPr>
        <w:t>recovery point objective</w:t>
      </w:r>
      <w:r>
        <w:rPr>
          <w:rFonts w:eastAsia="Times New Roman" w:cs="Times New Roman"/>
        </w:rPr>
        <w:t>) — допустимая потеря данных во времени: до какого момента можно откатиться при восстановлении из копии.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Почему именно 5.</w:t>
      </w:r>
      <w:r>
        <w:rPr>
          <w:rFonts w:eastAsia="Times New Roman" w:cs="Times New Roman"/>
        </w:rPr>
        <w:t xml:space="preserve"> П</w:t>
      </w:r>
      <w:r w:rsidRPr="00421C40">
        <w:rPr>
          <w:rFonts w:eastAsia="Times New Roman" w:cs="Times New Roman"/>
        </w:rPr>
        <w:t xml:space="preserve">о заданиям </w:t>
      </w:r>
      <w:r w:rsidRPr="00421C40">
        <w:rPr>
          <w:rFonts w:eastAsia="Times New Roman" w:cs="Times New Roman"/>
          <w:bCs/>
        </w:rPr>
        <w:t>1–4</w:t>
      </w:r>
      <w:r w:rsidRPr="00421C40">
        <w:rPr>
          <w:rFonts w:eastAsia="Times New Roman" w:cs="Times New Roman"/>
        </w:rPr>
        <w:t xml:space="preserve"> видны: целевые SLA и ориентир по времени восстановления (зад. 1); процессы инцидентов, проблем, изменений, доступа, конфигураций и регламенты (зад. 2); метрики, пороги, оповещения и эскалация (зад. 3); совокупная стоимость владения (</w:t>
      </w:r>
      <w:r w:rsidRPr="00421C40">
        <w:rPr>
          <w:rFonts w:eastAsia="Times New Roman" w:cs="Times New Roman"/>
          <w:bCs/>
        </w:rPr>
        <w:t>TCO</w:t>
      </w:r>
      <w:r w:rsidRPr="00421C40">
        <w:rPr>
          <w:rFonts w:eastAsia="Times New Roman" w:cs="Times New Roman"/>
        </w:rPr>
        <w:t xml:space="preserve">) с линией инфраструктуры и упоминанием резервного копирования, сценарный анализ рисков (зад. 4). Это поднимает уровень выше </w:t>
      </w:r>
      <w:r w:rsidRPr="00421C40">
        <w:rPr>
          <w:rFonts w:eastAsia="Times New Roman" w:cs="Times New Roman"/>
        </w:rPr>
        <w:lastRenderedPageBreak/>
        <w:t xml:space="preserve">«только процессы на бумаге». Однако </w:t>
      </w:r>
      <w:r w:rsidRPr="00421C40">
        <w:rPr>
          <w:rFonts w:eastAsia="Times New Roman" w:cs="Times New Roman"/>
          <w:bCs/>
        </w:rPr>
        <w:t>в представленных материалах не формализованы</w:t>
      </w:r>
      <w:r w:rsidRPr="00421C40">
        <w:rPr>
          <w:rFonts w:eastAsia="Times New Roman" w:cs="Times New Roman"/>
        </w:rPr>
        <w:t xml:space="preserve">: единый </w:t>
      </w:r>
      <w:r w:rsidRPr="00421C40">
        <w:rPr>
          <w:rFonts w:eastAsia="Times New Roman" w:cs="Times New Roman"/>
          <w:bCs/>
        </w:rPr>
        <w:t>исполняемый план аварийного восстановления (DR)</w:t>
      </w:r>
      <w:r w:rsidRPr="00421C40">
        <w:rPr>
          <w:rFonts w:eastAsia="Times New Roman" w:cs="Times New Roman"/>
        </w:rPr>
        <w:t xml:space="preserve">; </w:t>
      </w:r>
      <w:r w:rsidRPr="00421C40">
        <w:rPr>
          <w:rFonts w:eastAsia="Times New Roman" w:cs="Times New Roman"/>
          <w:bCs/>
        </w:rPr>
        <w:t>цели RTO/RPO по отдельным компонентам</w:t>
      </w:r>
      <w:r w:rsidRPr="00421C40">
        <w:rPr>
          <w:rFonts w:eastAsia="Times New Roman" w:cs="Times New Roman"/>
        </w:rPr>
        <w:t xml:space="preserve"> (база, API, интерфейс и т.д.) и порядок их поднятия; </w:t>
      </w:r>
      <w:r w:rsidRPr="00421C40">
        <w:rPr>
          <w:rFonts w:eastAsia="Times New Roman" w:cs="Times New Roman"/>
          <w:bCs/>
        </w:rPr>
        <w:t>регулярные учения</w:t>
      </w:r>
      <w:r w:rsidRPr="00421C40">
        <w:rPr>
          <w:rFonts w:eastAsia="Times New Roman" w:cs="Times New Roman"/>
        </w:rPr>
        <w:t xml:space="preserve"> «восстановились ли мы из бэкапа за разумное время»; </w:t>
      </w:r>
      <w:r w:rsidRPr="00421C40">
        <w:rPr>
          <w:rFonts w:eastAsia="Times New Roman" w:cs="Times New Roman"/>
          <w:bCs/>
        </w:rPr>
        <w:t>архитектурное разделение узлов</w:t>
      </w:r>
      <w:r w:rsidRPr="00421C40">
        <w:rPr>
          <w:rFonts w:eastAsia="Times New Roman" w:cs="Times New Roman"/>
        </w:rPr>
        <w:t xml:space="preserve"> (чтобы сбой в одном месте не тянул всё приложение; идея </w:t>
      </w:r>
      <w:r w:rsidRPr="00421C40">
        <w:rPr>
          <w:rFonts w:eastAsia="Times New Roman" w:cs="Times New Roman"/>
          <w:bCs/>
        </w:rPr>
        <w:t>bulkhead</w:t>
      </w:r>
      <w:r w:rsidRPr="00421C40">
        <w:rPr>
          <w:rFonts w:eastAsia="Times New Roman" w:cs="Times New Roman"/>
        </w:rPr>
        <w:t xml:space="preserve"> — «переборки», как отсеки на корабле). Поэтому итог — середина диапазона «процессы и метрики сильные, катастрофический запас слабый», без выхода на 6–7, пока не появятся проверяемые планы DR, </w:t>
      </w:r>
      <w:r w:rsidRPr="00421C40">
        <w:rPr>
          <w:rFonts w:eastAsia="Times New Roman" w:cs="Times New Roman"/>
          <w:bCs/>
        </w:rPr>
        <w:t>пошаговые инструкции на аварию (runbook)</w:t>
      </w:r>
      <w:r w:rsidRPr="00421C40">
        <w:rPr>
          <w:rFonts w:eastAsia="Times New Roman" w:cs="Times New Roman"/>
        </w:rPr>
        <w:t xml:space="preserve"> и учения (</w:t>
      </w:r>
      <w:r w:rsidRPr="00421C40">
        <w:rPr>
          <w:rFonts w:eastAsia="Times New Roman" w:cs="Times New Roman"/>
          <w:bCs/>
        </w:rPr>
        <w:t>drill</w:t>
      </w:r>
      <w:r w:rsidRPr="00421C40">
        <w:rPr>
          <w:rFonts w:eastAsia="Times New Roman" w:cs="Times New Roman"/>
        </w:rPr>
        <w:t>).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Вероятность в матрице ниже:</w:t>
      </w:r>
      <w:r>
        <w:rPr>
          <w:rFonts w:eastAsia="Times New Roman" w:cs="Times New Roman"/>
        </w:rPr>
        <w:t xml:space="preserve"> подписи «низкая / средняя» —это условная шкала; это не частота из статистики и не точная калибровка.</w:t>
      </w:r>
    </w:p>
    <w:p w:rsidR="00676715" w:rsidRDefault="00676715"/>
    <w:p w:rsidR="00676715" w:rsidRDefault="00421C40">
      <w:pPr>
        <w:pStyle w:val="2"/>
      </w:pPr>
      <w:bookmarkStart w:id="33" w:name="матрица-black-swans"/>
      <w:bookmarkEnd w:id="32"/>
      <w:r>
        <w:rPr>
          <w:rFonts w:ascii="Times New Roman" w:eastAsia="Times New Roman" w:hAnsi="Times New Roman" w:cs="Times New Roman"/>
        </w:rPr>
        <w:t>2. Матрица Black Swans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1418"/>
        <w:gridCol w:w="1701"/>
        <w:gridCol w:w="1134"/>
        <w:gridCol w:w="3559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Сценарий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Вероятность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Влияние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Готовность (по материалам 1–4)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Комментарий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Уход / блокировка облачного провайдера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В TCO есть хостинг и резервное копирование;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запасная площадка, перенос установки на другую среду, </w:t>
            </w:r>
            <w:r>
              <w:rPr>
                <w:rFonts w:eastAsia="Times New Roman" w:cs="Times New Roman"/>
                <w:b/>
                <w:bCs/>
                <w:sz w:val="22"/>
              </w:rPr>
              <w:t>пошаговая инструкция переключения (runbook)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Массовый </w:t>
            </w:r>
            <w:r>
              <w:rPr>
                <w:rFonts w:eastAsia="Times New Roman" w:cs="Times New Roman"/>
                <w:b/>
                <w:bCs/>
                <w:sz w:val="22"/>
              </w:rPr>
              <w:t>DDoS</w:t>
            </w:r>
            <w:r>
              <w:rPr>
                <w:rFonts w:eastAsia="Times New Roman" w:cs="Times New Roman"/>
                <w:sz w:val="22"/>
              </w:rPr>
              <w:t xml:space="preserve"> (атака, заваливающая сервер запросами) / отказ публичного доступа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SLA и мониторинг доступности; </w:t>
            </w:r>
            <w:r>
              <w:rPr>
                <w:rFonts w:eastAsia="Times New Roman" w:cs="Times New Roman"/>
                <w:b/>
                <w:bCs/>
                <w:sz w:val="22"/>
              </w:rPr>
              <w:t>не формализованы</w:t>
            </w:r>
            <w:r>
              <w:rPr>
                <w:rFonts w:eastAsia="Times New Roman" w:cs="Times New Roman"/>
                <w:sz w:val="22"/>
              </w:rPr>
              <w:t xml:space="preserve"> защита на стороне сети (</w:t>
            </w:r>
            <w:r>
              <w:rPr>
                <w:rFonts w:eastAsia="Times New Roman" w:cs="Times New Roman"/>
                <w:b/>
                <w:bCs/>
                <w:sz w:val="22"/>
              </w:rPr>
              <w:t>CDN</w:t>
            </w:r>
            <w:r>
              <w:rPr>
                <w:rFonts w:eastAsia="Times New Roman" w:cs="Times New Roman"/>
                <w:sz w:val="22"/>
              </w:rPr>
              <w:t xml:space="preserve"> — раздача через ближний узел; </w:t>
            </w:r>
            <w:r>
              <w:rPr>
                <w:rFonts w:eastAsia="Times New Roman" w:cs="Times New Roman"/>
                <w:b/>
                <w:bCs/>
                <w:sz w:val="22"/>
              </w:rPr>
              <w:t>WAF</w:t>
            </w:r>
            <w:r>
              <w:rPr>
                <w:rFonts w:eastAsia="Times New Roman" w:cs="Times New Roman"/>
                <w:sz w:val="22"/>
              </w:rPr>
              <w:t xml:space="preserve"> — фильтр веб-атак), ограничение числа запросов на входе (</w:t>
            </w:r>
            <w:r>
              <w:rPr>
                <w:rFonts w:eastAsia="Times New Roman" w:cs="Times New Roman"/>
                <w:b/>
                <w:bCs/>
                <w:sz w:val="22"/>
              </w:rPr>
              <w:t>rate limit</w:t>
            </w:r>
            <w:r>
              <w:rPr>
                <w:rFonts w:eastAsia="Times New Roman" w:cs="Times New Roman"/>
                <w:sz w:val="22"/>
              </w:rPr>
              <w:t>), режим ограниченной работы при перегрузке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Утечка ключей и секретов (доступ к API, к конвейеру сборки </w:t>
            </w:r>
            <w:r>
              <w:rPr>
                <w:rFonts w:eastAsia="Times New Roman" w:cs="Times New Roman"/>
                <w:b/>
                <w:bCs/>
                <w:sz w:val="22"/>
              </w:rPr>
              <w:t>CI</w:t>
            </w:r>
            <w:r>
              <w:rPr>
                <w:rFonts w:eastAsia="Times New Roman" w:cs="Times New Roman"/>
                <w:sz w:val="22"/>
              </w:rPr>
              <w:t>, к БД)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управление доступом пользователей; </w:t>
            </w:r>
            <w:r>
              <w:rPr>
                <w:rFonts w:eastAsia="Times New Roman" w:cs="Times New Roman"/>
                <w:b/>
                <w:bCs/>
                <w:sz w:val="22"/>
              </w:rPr>
              <w:t>в материалах не найдено</w:t>
            </w:r>
            <w:r>
              <w:rPr>
                <w:rFonts w:eastAsia="Times New Roman" w:cs="Times New Roman"/>
                <w:sz w:val="22"/>
              </w:rPr>
              <w:t xml:space="preserve"> описания безопасного хранения секретов, их смены по расписанию и </w:t>
            </w:r>
            <w:r>
              <w:rPr>
                <w:rFonts w:eastAsia="Times New Roman" w:cs="Times New Roman"/>
                <w:b/>
                <w:bCs/>
                <w:sz w:val="22"/>
              </w:rPr>
              <w:t>аварийного отзыва</w:t>
            </w:r>
            <w:r>
              <w:rPr>
                <w:rFonts w:eastAsia="Times New Roman" w:cs="Times New Roman"/>
                <w:sz w:val="22"/>
              </w:rPr>
              <w:t xml:space="preserve"> доступа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Компрометация </w:t>
            </w:r>
            <w:r>
              <w:rPr>
                <w:rFonts w:eastAsia="Times New Roman" w:cs="Times New Roman"/>
                <w:b/>
                <w:bCs/>
                <w:sz w:val="22"/>
              </w:rPr>
              <w:t>цепочки поставки</w:t>
            </w:r>
            <w:r>
              <w:rPr>
                <w:rFonts w:eastAsia="Times New Roman" w:cs="Times New Roman"/>
                <w:sz w:val="22"/>
              </w:rPr>
              <w:t xml:space="preserve"> (подмена библиотеки, </w:t>
            </w:r>
            <w:r>
              <w:rPr>
                <w:rFonts w:eastAsia="Times New Roman" w:cs="Times New Roman"/>
                <w:sz w:val="22"/>
              </w:rPr>
              <w:lastRenderedPageBreak/>
              <w:t>образа, сборки)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Низкая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изменения и проблемы;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опись компонентов (</w:t>
            </w:r>
            <w:r>
              <w:rPr>
                <w:rFonts w:eastAsia="Times New Roman" w:cs="Times New Roman"/>
                <w:b/>
                <w:bCs/>
                <w:sz w:val="22"/>
              </w:rPr>
              <w:t>SBOM</w:t>
            </w:r>
            <w:r>
              <w:rPr>
                <w:rFonts w:eastAsia="Times New Roman" w:cs="Times New Roman"/>
                <w:sz w:val="22"/>
              </w:rPr>
              <w:t>), проверка подлинности сборок, правила по внешним зависимостям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Аварийное отключение </w:t>
            </w:r>
            <w:r>
              <w:rPr>
                <w:rFonts w:eastAsia="Times New Roman" w:cs="Times New Roman"/>
                <w:b/>
                <w:bCs/>
                <w:sz w:val="22"/>
              </w:rPr>
              <w:t>ЦОД</w:t>
            </w:r>
            <w:r>
              <w:rPr>
                <w:rFonts w:eastAsia="Times New Roman" w:cs="Times New Roman"/>
                <w:sz w:val="22"/>
              </w:rPr>
              <w:t xml:space="preserve"> (центра обработки данных) / отказ целого региона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Критическое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Резервное копирование упомянуто;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хранение копий в другом месте, копирование базы в реальном времени (</w:t>
            </w:r>
            <w:r>
              <w:rPr>
                <w:rFonts w:eastAsia="Times New Roman" w:cs="Times New Roman"/>
                <w:b/>
                <w:bCs/>
                <w:sz w:val="22"/>
              </w:rPr>
              <w:t>репликация</w:t>
            </w:r>
            <w:r>
              <w:rPr>
                <w:rFonts w:eastAsia="Times New Roman" w:cs="Times New Roman"/>
                <w:sz w:val="22"/>
              </w:rPr>
              <w:t xml:space="preserve">), </w:t>
            </w:r>
            <w:r>
              <w:rPr>
                <w:rFonts w:eastAsia="Times New Roman" w:cs="Times New Roman"/>
                <w:b/>
                <w:bCs/>
                <w:sz w:val="22"/>
              </w:rPr>
              <w:t>переключение на резерв (failover)</w:t>
            </w:r>
            <w:r>
              <w:rPr>
                <w:rFonts w:eastAsia="Times New Roman" w:cs="Times New Roman"/>
                <w:sz w:val="22"/>
              </w:rPr>
              <w:t xml:space="preserve"> и порядок запуска сервисов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Санкции / недоступность критических зависимостей (</w:t>
            </w:r>
            <w:r>
              <w:rPr>
                <w:rFonts w:eastAsia="Times New Roman" w:cs="Times New Roman"/>
                <w:b/>
                <w:bCs/>
                <w:sz w:val="22"/>
              </w:rPr>
              <w:t>registry</w:t>
            </w:r>
            <w:r>
              <w:rPr>
                <w:rFonts w:eastAsia="Times New Roman" w:cs="Times New Roman"/>
                <w:sz w:val="22"/>
              </w:rPr>
              <w:t xml:space="preserve"> — реестр пакетов, </w:t>
            </w:r>
            <w:r>
              <w:rPr>
                <w:rFonts w:eastAsia="Times New Roman" w:cs="Times New Roman"/>
                <w:b/>
                <w:bCs/>
                <w:sz w:val="22"/>
              </w:rPr>
              <w:t>SaaS</w:t>
            </w:r>
            <w:r>
              <w:rPr>
                <w:rFonts w:eastAsia="Times New Roman" w:cs="Times New Roman"/>
                <w:sz w:val="22"/>
              </w:rPr>
              <w:t xml:space="preserve"> — чужие облачные сервисы)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Не найден</w:t>
            </w:r>
            <w:r>
              <w:rPr>
                <w:rFonts w:eastAsia="Times New Roman" w:cs="Times New Roman"/>
                <w:sz w:val="22"/>
              </w:rPr>
              <w:t xml:space="preserve"> список критичных внешних зависимостей и запасные варианты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10-кратный всплеск нагрузки (набор, массовые документы)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Есть метрики импорта/генерации и пороги; </w:t>
            </w:r>
            <w:r>
              <w:rPr>
                <w:rFonts w:eastAsia="Times New Roman" w:cs="Times New Roman"/>
                <w:b/>
                <w:bCs/>
                <w:sz w:val="22"/>
              </w:rPr>
              <w:t>не описаны</w:t>
            </w:r>
            <w:r>
              <w:rPr>
                <w:rFonts w:eastAsia="Times New Roman" w:cs="Times New Roman"/>
                <w:sz w:val="22"/>
              </w:rPr>
              <w:t xml:space="preserve"> запас по мощности, </w:t>
            </w:r>
            <w:r>
              <w:rPr>
                <w:rFonts w:eastAsia="Times New Roman" w:cs="Times New Roman"/>
                <w:b/>
                <w:bCs/>
                <w:sz w:val="22"/>
              </w:rPr>
              <w:t>очереди задач</w:t>
            </w:r>
            <w:r>
              <w:rPr>
                <w:rFonts w:eastAsia="Times New Roman" w:cs="Times New Roman"/>
                <w:sz w:val="22"/>
              </w:rPr>
              <w:t xml:space="preserve"> и ограничение входящего потока (</w:t>
            </w:r>
            <w:r>
              <w:rPr>
                <w:rFonts w:eastAsia="Times New Roman" w:cs="Times New Roman"/>
                <w:b/>
                <w:bCs/>
                <w:sz w:val="22"/>
              </w:rPr>
              <w:t>back-pressure</w:t>
            </w:r>
            <w:r>
              <w:rPr>
                <w:rFonts w:eastAsia="Times New Roman" w:cs="Times New Roman"/>
                <w:sz w:val="22"/>
              </w:rPr>
              <w:t xml:space="preserve"> — чтобы очередь не раздулась бесконтрольно), масштабирование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Потеря ключевого сотрудника с уникальной экспертизой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Низкая–средняя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Матрица </w:t>
            </w:r>
            <w:r>
              <w:rPr>
                <w:rFonts w:eastAsia="Times New Roman" w:cs="Times New Roman"/>
                <w:b/>
                <w:bCs/>
                <w:sz w:val="22"/>
              </w:rPr>
              <w:t>RACI</w:t>
            </w:r>
            <w:r>
              <w:rPr>
                <w:rFonts w:eastAsia="Times New Roman" w:cs="Times New Roman"/>
                <w:sz w:val="22"/>
              </w:rPr>
              <w:t xml:space="preserve"> (кто отвечает за что) и модель затрат </w:t>
            </w:r>
            <w:r>
              <w:rPr>
                <w:rFonts w:eastAsia="Times New Roman" w:cs="Times New Roman"/>
                <w:b/>
                <w:bCs/>
                <w:sz w:val="22"/>
              </w:rPr>
              <w:t>подразумевают</w:t>
            </w:r>
            <w:r>
              <w:rPr>
                <w:rFonts w:eastAsia="Times New Roman" w:cs="Times New Roman"/>
                <w:sz w:val="22"/>
              </w:rPr>
              <w:t xml:space="preserve"> узкий круг людей; </w:t>
            </w:r>
            <w:r>
              <w:rPr>
                <w:rFonts w:eastAsia="Times New Roman" w:cs="Times New Roman"/>
                <w:b/>
                <w:bCs/>
                <w:sz w:val="22"/>
              </w:rPr>
              <w:t>нет</w:t>
            </w:r>
            <w:r>
              <w:rPr>
                <w:rFonts w:eastAsia="Times New Roman" w:cs="Times New Roman"/>
                <w:sz w:val="22"/>
              </w:rPr>
              <w:t xml:space="preserve"> явного плана снижения риска «всё на одном человеке» (</w:t>
            </w:r>
            <w:r>
              <w:rPr>
                <w:rFonts w:eastAsia="Times New Roman" w:cs="Times New Roman"/>
                <w:b/>
                <w:bCs/>
                <w:sz w:val="22"/>
              </w:rPr>
              <w:t>bus factor</w:t>
            </w:r>
            <w:r>
              <w:rPr>
                <w:rFonts w:eastAsia="Times New Roman" w:cs="Times New Roman"/>
                <w:sz w:val="22"/>
              </w:rPr>
              <w:t>)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Составной организационно-экономический риск (</w:t>
            </w:r>
            <w:r>
              <w:rPr>
                <w:rFonts w:eastAsia="Times New Roman" w:cs="Times New Roman"/>
                <w:b/>
                <w:bCs/>
                <w:sz w:val="22"/>
              </w:rPr>
              <w:t>grey rhino</w:t>
            </w:r>
            <w:r>
              <w:rPr>
                <w:rFonts w:eastAsia="Times New Roman" w:cs="Times New Roman"/>
                <w:sz w:val="22"/>
              </w:rPr>
              <w:t xml:space="preserve"> — «серый носорог»: долго видимый, но откладываемый риск): слабое принятие системы + рост </w:t>
            </w:r>
            <w:r>
              <w:rPr>
                <w:rFonts w:eastAsia="Times New Roman" w:cs="Times New Roman"/>
                <w:sz w:val="22"/>
              </w:rPr>
              <w:lastRenderedPageBreak/>
              <w:t>затрат на сопровождение</w:t>
            </w:r>
          </w:p>
        </w:tc>
        <w:tc>
          <w:tcPr>
            <w:tcW w:w="1418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Средняя</w:t>
            </w:r>
          </w:p>
        </w:tc>
        <w:tc>
          <w:tcPr>
            <w:tcW w:w="170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</w:t>
            </w:r>
          </w:p>
        </w:tc>
        <w:tc>
          <w:tcPr>
            <w:tcW w:w="113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Средняя</w:t>
            </w:r>
          </w:p>
        </w:tc>
        <w:tc>
          <w:tcPr>
            <w:tcW w:w="3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 xml:space="preserve">Полезная </w:t>
            </w:r>
            <w:r>
              <w:rPr>
                <w:rFonts w:eastAsia="Times New Roman" w:cs="Times New Roman"/>
                <w:b/>
                <w:bCs/>
                <w:sz w:val="22"/>
              </w:rPr>
              <w:t>связка</w:t>
            </w:r>
            <w:r>
              <w:rPr>
                <w:rFonts w:eastAsia="Times New Roman" w:cs="Times New Roman"/>
                <w:sz w:val="22"/>
              </w:rPr>
              <w:t xml:space="preserve"> заданий 2–4; это </w:t>
            </w:r>
            <w:r>
              <w:rPr>
                <w:rFonts w:eastAsia="Times New Roman" w:cs="Times New Roman"/>
                <w:b/>
                <w:bCs/>
                <w:sz w:val="22"/>
              </w:rPr>
              <w:t>не</w:t>
            </w:r>
            <w:r>
              <w:rPr>
                <w:rFonts w:eastAsia="Times New Roman" w:cs="Times New Roman"/>
                <w:sz w:val="22"/>
              </w:rPr>
              <w:t xml:space="preserve"> классический редкий «хвост», а </w:t>
            </w:r>
            <w:r>
              <w:rPr>
                <w:rFonts w:eastAsia="Times New Roman" w:cs="Times New Roman"/>
                <w:b/>
                <w:bCs/>
                <w:sz w:val="22"/>
              </w:rPr>
              <w:t>предсказуемый</w:t>
            </w:r>
            <w:r>
              <w:rPr>
                <w:rFonts w:eastAsia="Times New Roman" w:cs="Times New Roman"/>
                <w:sz w:val="22"/>
              </w:rPr>
              <w:t xml:space="preserve"> пакет рисков, который усиливает ущерб при любом техническом сбое</w:t>
            </w:r>
          </w:p>
        </w:tc>
      </w:tr>
    </w:tbl>
    <w:p w:rsidR="00676715" w:rsidRDefault="00676715"/>
    <w:p w:rsidR="00676715" w:rsidRDefault="00421C40">
      <w:pPr>
        <w:pStyle w:val="2"/>
      </w:pPr>
      <w:bookmarkStart w:id="34" w:name="X299fa1dd5e7fb97977baccaa844fe619443a984"/>
      <w:bookmarkEnd w:id="33"/>
      <w:r>
        <w:rPr>
          <w:rFonts w:ascii="Times New Roman" w:eastAsia="Times New Roman" w:hAnsi="Times New Roman" w:cs="Times New Roman"/>
        </w:rPr>
        <w:t>3. Топ-3 критических пробела в recovery-дизайне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Нет единого выполнимого плана аварийного восстановления (DR)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Что нужно сделать:</w:t>
      </w:r>
      <w:r>
        <w:rPr>
          <w:rFonts w:eastAsia="Times New Roman" w:cs="Times New Roman"/>
        </w:rPr>
        <w:t xml:space="preserve"> один документ (или папка с оглавлением), где указано: когда включается DR, </w:t>
      </w:r>
      <w:r>
        <w:rPr>
          <w:rFonts w:eastAsia="Times New Roman" w:cs="Times New Roman"/>
          <w:b/>
          <w:bCs/>
        </w:rPr>
        <w:t>матрица ответственности RACI</w:t>
      </w:r>
      <w:r>
        <w:rPr>
          <w:rFonts w:eastAsia="Times New Roman" w:cs="Times New Roman"/>
        </w:rPr>
        <w:t xml:space="preserve"> (кто принимает решение о запуске), каналы связи, порядок восстановления </w:t>
      </w:r>
      <w:r>
        <w:rPr>
          <w:rFonts w:eastAsia="Times New Roman" w:cs="Times New Roman"/>
          <w:b/>
          <w:bCs/>
        </w:rPr>
        <w:t>интерфейс → сервер приложения (API) → база данных → секреты и файлы документов</w:t>
      </w:r>
      <w:r>
        <w:rPr>
          <w:rFonts w:eastAsia="Times New Roman" w:cs="Times New Roman"/>
        </w:rPr>
        <w:t xml:space="preserve">, признаки «сервис снова в строю», контакты и номер версии </w:t>
      </w:r>
      <w:r>
        <w:rPr>
          <w:rFonts w:eastAsia="Times New Roman" w:cs="Times New Roman"/>
          <w:b/>
          <w:bCs/>
        </w:rPr>
        <w:t>пошаговой инструкции (runbook)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Нет явной модели целей RTO/RPO по компонентам и ограничения «зоны сбоя»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Что нужно сделать:</w:t>
      </w:r>
      <w:r>
        <w:rPr>
          <w:rFonts w:eastAsia="Times New Roman" w:cs="Times New Roman"/>
        </w:rPr>
        <w:t xml:space="preserve"> таблица узлов системы с целевыми </w:t>
      </w:r>
      <w:r>
        <w:rPr>
          <w:rFonts w:eastAsia="Times New Roman" w:cs="Times New Roman"/>
          <w:b/>
          <w:bCs/>
        </w:rPr>
        <w:t>RTO</w:t>
      </w:r>
      <w:r>
        <w:rPr>
          <w:rFonts w:eastAsia="Times New Roman" w:cs="Times New Roman"/>
        </w:rPr>
        <w:t xml:space="preserve"> (допустимый простой) и </w:t>
      </w:r>
      <w:r>
        <w:rPr>
          <w:rFonts w:eastAsia="Times New Roman" w:cs="Times New Roman"/>
          <w:b/>
          <w:bCs/>
        </w:rPr>
        <w:t>RPO</w:t>
      </w:r>
      <w:r>
        <w:rPr>
          <w:rFonts w:eastAsia="Times New Roman" w:cs="Times New Roman"/>
        </w:rPr>
        <w:t xml:space="preserve"> (допустимая потеря данных) и связями между ними; для критичных сценариев — хотя бы текстом: как </w:t>
      </w:r>
      <w:r>
        <w:rPr>
          <w:rFonts w:eastAsia="Times New Roman" w:cs="Times New Roman"/>
          <w:b/>
          <w:bCs/>
        </w:rPr>
        <w:t>разделены части системы</w:t>
      </w:r>
      <w:r>
        <w:rPr>
          <w:rFonts w:eastAsia="Times New Roman" w:cs="Times New Roman"/>
        </w:rPr>
        <w:t xml:space="preserve"> (очереди, лимиты, таймауты, чтобы сбой не положил всю базу сразу — идея </w:t>
      </w:r>
      <w:r>
        <w:rPr>
          <w:rFonts w:eastAsia="Times New Roman" w:cs="Times New Roman"/>
          <w:b/>
          <w:bCs/>
        </w:rPr>
        <w:t>bulkhead / переборки</w:t>
      </w:r>
      <w:r>
        <w:rPr>
          <w:rFonts w:eastAsia="Times New Roman" w:cs="Times New Roman"/>
        </w:rPr>
        <w:t>) или явная пометка «осознанно оставляем одну точку отказа» с объяснением.</w:t>
      </w:r>
    </w:p>
    <w:p w:rsidR="00676715" w:rsidRDefault="00421C40">
      <w:pPr>
        <w:pStyle w:val="Compact"/>
        <w:numPr>
          <w:ilvl w:val="0"/>
          <w:numId w:val="3"/>
        </w:numPr>
      </w:pPr>
      <w:r>
        <w:rPr>
          <w:rFonts w:eastAsia="Times New Roman" w:cs="Times New Roman"/>
          <w:b/>
          <w:bCs/>
        </w:rPr>
        <w:t>Нет закреплённой проверки восстановления «на практике»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Что нужно сделать:</w:t>
      </w:r>
      <w:r>
        <w:rPr>
          <w:rFonts w:eastAsia="Times New Roman" w:cs="Times New Roman"/>
        </w:rPr>
        <w:t xml:space="preserve"> проверка по регламенту </w:t>
      </w:r>
      <w:r>
        <w:rPr>
          <w:rFonts w:eastAsia="Times New Roman" w:cs="Times New Roman"/>
          <w:b/>
          <w:bCs/>
        </w:rPr>
        <w:t>не реже раза в квартал</w:t>
      </w:r>
      <w:r>
        <w:rPr>
          <w:rFonts w:eastAsia="Times New Roman" w:cs="Times New Roman"/>
        </w:rPr>
        <w:t xml:space="preserve"> (для учебного минимума достаточно </w:t>
      </w:r>
      <w:r>
        <w:rPr>
          <w:rFonts w:eastAsia="Times New Roman" w:cs="Times New Roman"/>
          <w:b/>
          <w:bCs/>
        </w:rPr>
        <w:t>одного</w:t>
      </w:r>
      <w:r>
        <w:rPr>
          <w:rFonts w:eastAsia="Times New Roman" w:cs="Times New Roman"/>
        </w:rPr>
        <w:t xml:space="preserve"> успешного упражнения с записью в протокол): восстановление из резервной копии на тестовой среде с замером фактического времени и фактической потери данных; сохраняется отчёт (дата, участники, результат, открытые задачи на исправление).</w:t>
      </w:r>
    </w:p>
    <w:p w:rsidR="00676715" w:rsidRDefault="00676715"/>
    <w:p w:rsidR="00676715" w:rsidRDefault="00421C40">
      <w:pPr>
        <w:pStyle w:val="2"/>
      </w:pPr>
      <w:bookmarkStart w:id="35" w:name="X8c418bb081fb45e2125b9d28538b88e5b6953c5"/>
      <w:bookmarkEnd w:id="34"/>
      <w:r>
        <w:rPr>
          <w:rFonts w:ascii="Times New Roman" w:eastAsia="Times New Roman" w:hAnsi="Times New Roman" w:cs="Times New Roman"/>
        </w:rPr>
        <w:t>4. Конкретные рекомендации по усилению устойчивости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Минимум: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Fonts w:eastAsia="Times New Roman" w:cs="Times New Roman"/>
        </w:rPr>
        <w:t xml:space="preserve">Таблица целей </w:t>
      </w:r>
      <w:r>
        <w:rPr>
          <w:rFonts w:eastAsia="Times New Roman" w:cs="Times New Roman"/>
          <w:b/>
          <w:bCs/>
        </w:rPr>
        <w:t>RTO/RPO</w:t>
      </w:r>
      <w:r>
        <w:rPr>
          <w:rFonts w:eastAsia="Times New Roman" w:cs="Times New Roman"/>
        </w:rPr>
        <w:t xml:space="preserve"> для сервера приложений (</w:t>
      </w:r>
      <w:r>
        <w:rPr>
          <w:rFonts w:eastAsia="Times New Roman" w:cs="Times New Roman"/>
          <w:b/>
          <w:bCs/>
        </w:rPr>
        <w:t>API</w:t>
      </w:r>
      <w:r>
        <w:rPr>
          <w:rFonts w:eastAsia="Times New Roman" w:cs="Times New Roman"/>
        </w:rPr>
        <w:t>), базы данных, хранения документов, учётных записей и доступа (можно приложением к работе по эксплуатации).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Fonts w:eastAsia="Times New Roman" w:cs="Times New Roman"/>
          <w:b/>
          <w:bCs/>
        </w:rPr>
        <w:t>Один</w:t>
      </w:r>
      <w:r>
        <w:rPr>
          <w:rFonts w:eastAsia="Times New Roman" w:cs="Times New Roman"/>
        </w:rPr>
        <w:t xml:space="preserve"> сквозной документ: план </w:t>
      </w:r>
      <w:r>
        <w:rPr>
          <w:rFonts w:eastAsia="Times New Roman" w:cs="Times New Roman"/>
          <w:b/>
          <w:bCs/>
        </w:rPr>
        <w:t>DR</w:t>
      </w:r>
      <w:r>
        <w:rPr>
          <w:rFonts w:eastAsia="Times New Roman" w:cs="Times New Roman"/>
        </w:rPr>
        <w:t xml:space="preserve"> + </w:t>
      </w:r>
      <w:r>
        <w:rPr>
          <w:rFonts w:eastAsia="Times New Roman" w:cs="Times New Roman"/>
          <w:b/>
          <w:bCs/>
        </w:rPr>
        <w:t>runbook</w:t>
      </w:r>
      <w:r>
        <w:rPr>
          <w:rFonts w:eastAsia="Times New Roman" w:cs="Times New Roman"/>
        </w:rPr>
        <w:t xml:space="preserve"> на случай «потеряли площадку или базу» (даже в упрощённом виде).</w:t>
      </w:r>
    </w:p>
    <w:p w:rsidR="00676715" w:rsidRDefault="00421C40">
      <w:pPr>
        <w:pStyle w:val="Compact"/>
        <w:numPr>
          <w:ilvl w:val="0"/>
          <w:numId w:val="4"/>
        </w:numPr>
      </w:pPr>
      <w:r>
        <w:rPr>
          <w:rFonts w:eastAsia="Times New Roman" w:cs="Times New Roman"/>
          <w:b/>
          <w:bCs/>
        </w:rPr>
        <w:t>Одно учение (drill):</w:t>
      </w:r>
      <w:r>
        <w:rPr>
          <w:rFonts w:eastAsia="Times New Roman" w:cs="Times New Roman"/>
        </w:rPr>
        <w:t xml:space="preserve"> реально поднять копию из бэкапа, записать время и проблемы; недочёты — в очередь доработок (</w:t>
      </w:r>
      <w:r>
        <w:rPr>
          <w:rFonts w:eastAsia="Times New Roman" w:cs="Times New Roman"/>
          <w:b/>
          <w:bCs/>
        </w:rPr>
        <w:t>backlog</w:t>
      </w:r>
      <w:r>
        <w:rPr>
          <w:rFonts w:eastAsia="Times New Roman" w:cs="Times New Roman"/>
        </w:rPr>
        <w:t>).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lastRenderedPageBreak/>
        <w:t>Целевое состояние для зрелой эксплуатации: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</w:rPr>
        <w:t xml:space="preserve">Расширить </w:t>
      </w:r>
      <w:r>
        <w:rPr>
          <w:rFonts w:eastAsia="Times New Roman" w:cs="Times New Roman"/>
          <w:b/>
          <w:bCs/>
        </w:rPr>
        <w:t>runbook</w:t>
      </w:r>
      <w:r>
        <w:rPr>
          <w:rFonts w:eastAsia="Times New Roman" w:cs="Times New Roman"/>
        </w:rPr>
        <w:t xml:space="preserve"> на утечку секретов и крупный </w:t>
      </w:r>
      <w:r>
        <w:rPr>
          <w:rFonts w:eastAsia="Times New Roman" w:cs="Times New Roman"/>
          <w:b/>
          <w:bCs/>
        </w:rPr>
        <w:t>DDoS</w:t>
      </w:r>
      <w:r>
        <w:rPr>
          <w:rFonts w:eastAsia="Times New Roman" w:cs="Times New Roman"/>
        </w:rPr>
        <w:t>; защита на периметре и лимиты на тяжёлые операции (импорт, массовая генерация).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Цепочка поставки:</w:t>
      </w:r>
      <w:r>
        <w:rPr>
          <w:rFonts w:eastAsia="Times New Roman" w:cs="Times New Roman"/>
        </w:rPr>
        <w:t xml:space="preserve"> опись компонентов (</w:t>
      </w:r>
      <w:r>
        <w:rPr>
          <w:rFonts w:eastAsia="Times New Roman" w:cs="Times New Roman"/>
          <w:b/>
          <w:bCs/>
        </w:rPr>
        <w:t>SBOM</w:t>
      </w:r>
      <w:r>
        <w:rPr>
          <w:rFonts w:eastAsia="Times New Roman" w:cs="Times New Roman"/>
        </w:rPr>
        <w:t>), проверка уязвимых зависимостей, подпись образов (если используются контейнеры).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Ограничение зоны сбоя (</w:t>
      </w:r>
      <w:r>
        <w:rPr>
          <w:rFonts w:eastAsia="Times New Roman" w:cs="Times New Roman"/>
          <w:b/>
          <w:bCs/>
          <w:i/>
          <w:iCs/>
        </w:rPr>
        <w:t>blast radius</w:t>
      </w:r>
      <w:r>
        <w:rPr>
          <w:rFonts w:eastAsia="Times New Roman" w:cs="Times New Roman"/>
          <w:b/>
          <w:bCs/>
        </w:rPr>
        <w:t>):</w:t>
      </w:r>
      <w:r>
        <w:rPr>
          <w:rFonts w:eastAsia="Times New Roman" w:cs="Times New Roman"/>
        </w:rPr>
        <w:t xml:space="preserve"> очереди для импорта и генерации; </w:t>
      </w:r>
      <w:r>
        <w:rPr>
          <w:rFonts w:eastAsia="Times New Roman" w:cs="Times New Roman"/>
          <w:b/>
          <w:bCs/>
        </w:rPr>
        <w:t>circuit breaker</w:t>
      </w:r>
      <w:r>
        <w:rPr>
          <w:rFonts w:eastAsia="Times New Roman" w:cs="Times New Roman"/>
        </w:rPr>
        <w:t xml:space="preserve"> — автоматическое «отключение» проблемных вызовов, чтобы ошибка не расползалась; целевые показатели </w:t>
      </w:r>
      <w:r>
        <w:rPr>
          <w:rFonts w:eastAsia="Times New Roman" w:cs="Times New Roman"/>
          <w:b/>
          <w:bCs/>
        </w:rPr>
        <w:t>SLO</w:t>
      </w:r>
      <w:r>
        <w:rPr>
          <w:rFonts w:eastAsia="Times New Roman" w:cs="Times New Roman"/>
        </w:rPr>
        <w:t xml:space="preserve"> по важным действиям пользователя (согласовать с дашбордом задания 3; </w:t>
      </w:r>
      <w:r>
        <w:rPr>
          <w:rFonts w:eastAsia="Times New Roman" w:cs="Times New Roman"/>
          <w:b/>
          <w:bCs/>
        </w:rPr>
        <w:t>SLO</w:t>
      </w:r>
      <w:r>
        <w:rPr>
          <w:rFonts w:eastAsia="Times New Roman" w:cs="Times New Roman"/>
        </w:rPr>
        <w:t xml:space="preserve"> — целевой уровень надёжности/скорости для конкретного сценария).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Учебный «боевой день» (game-day)</w:t>
      </w:r>
      <w:r>
        <w:rPr>
          <w:rFonts w:eastAsia="Times New Roman" w:cs="Times New Roman"/>
        </w:rPr>
        <w:t xml:space="preserve"> или лёгкие </w:t>
      </w:r>
      <w:r>
        <w:rPr>
          <w:rFonts w:eastAsia="Times New Roman" w:cs="Times New Roman"/>
          <w:b/>
          <w:bCs/>
        </w:rPr>
        <w:t>хаос-тесты раз в квартал</w:t>
      </w:r>
      <w:r>
        <w:rPr>
          <w:rFonts w:eastAsia="Times New Roman" w:cs="Times New Roman"/>
        </w:rPr>
        <w:t xml:space="preserve"> — если есть люди и время.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  <w:b/>
          <w:bCs/>
        </w:rPr>
        <w:t>Непрерывность при работе в Excel параллельно системе:</w:t>
      </w:r>
      <w:r>
        <w:rPr>
          <w:rFonts w:eastAsia="Times New Roman" w:cs="Times New Roman"/>
        </w:rPr>
        <w:t xml:space="preserve"> регламент «где правда лежит одна» и как свести данные после восстановления ИС (важно для предметной области и варианта «не внедрять» из задания 4).</w:t>
      </w:r>
    </w:p>
    <w:p w:rsidR="00676715" w:rsidRDefault="00421C40">
      <w:pPr>
        <w:pStyle w:val="Compact"/>
        <w:numPr>
          <w:ilvl w:val="0"/>
          <w:numId w:val="5"/>
        </w:numPr>
      </w:pPr>
      <w:r>
        <w:rPr>
          <w:rFonts w:eastAsia="Times New Roman" w:cs="Times New Roman"/>
        </w:rPr>
        <w:t xml:space="preserve">Разборы инцидентов </w:t>
      </w:r>
      <w:r>
        <w:rPr>
          <w:rFonts w:eastAsia="Times New Roman" w:cs="Times New Roman"/>
          <w:b/>
          <w:bCs/>
        </w:rPr>
        <w:t>без охоты на виноватых (blameless)</w:t>
      </w:r>
      <w:r>
        <w:rPr>
          <w:rFonts w:eastAsia="Times New Roman" w:cs="Times New Roman"/>
        </w:rPr>
        <w:t xml:space="preserve"> и </w:t>
      </w:r>
      <w:r>
        <w:rPr>
          <w:rFonts w:eastAsia="Times New Roman" w:cs="Times New Roman"/>
          <w:b/>
          <w:bCs/>
        </w:rPr>
        <w:t>корректирующие действия (CAPA)</w:t>
      </w:r>
      <w:r>
        <w:rPr>
          <w:rFonts w:eastAsia="Times New Roman" w:cs="Times New Roman"/>
        </w:rPr>
        <w:t xml:space="preserve"> с занесением выводов в базу знаний — как развитие процессов из задания 2.</w:t>
      </w:r>
    </w:p>
    <w:p w:rsidR="00421C40" w:rsidRDefault="00421C40">
      <w:pPr>
        <w:pStyle w:val="FirstParagraph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>Связка с экономикой (задание 4):</w:t>
      </w:r>
      <w:r>
        <w:rPr>
          <w:rFonts w:eastAsia="Times New Roman" w:cs="Times New Roman"/>
        </w:rPr>
        <w:t xml:space="preserve"> заложить в бюджет сопровождения статью на </w:t>
      </w:r>
      <w:r>
        <w:rPr>
          <w:rFonts w:eastAsia="Times New Roman" w:cs="Times New Roman"/>
          <w:b/>
          <w:bCs/>
        </w:rPr>
        <w:t>планы аварийного восстановления, учения и базовую безопасность</w:t>
      </w:r>
      <w:r>
        <w:rPr>
          <w:rFonts w:eastAsia="Times New Roman" w:cs="Times New Roman"/>
        </w:rPr>
        <w:t xml:space="preserve"> или явно указать, что </w:t>
      </w:r>
      <w:r>
        <w:rPr>
          <w:rFonts w:eastAsia="Times New Roman" w:cs="Times New Roman"/>
          <w:b/>
          <w:bCs/>
        </w:rPr>
        <w:t>пессимистичный сценарий</w:t>
      </w:r>
      <w:r>
        <w:rPr>
          <w:rFonts w:eastAsia="Times New Roman" w:cs="Times New Roman"/>
        </w:rPr>
        <w:t xml:space="preserve"> по затратам/эффекту ухудшается без этих артефактов — не называя это отдельным «чёрным лебедем» в узком смысле.</w:t>
      </w:r>
    </w:p>
    <w:p w:rsidR="00676715" w:rsidRPr="00421C40" w:rsidRDefault="00421C40" w:rsidP="00421C40">
      <w:pPr>
        <w:pStyle w:val="a0"/>
        <w:rPr>
          <w:rFonts w:eastAsia="Times New Roman"/>
        </w:rPr>
      </w:pPr>
      <w:r>
        <w:rPr>
          <w:rFonts w:eastAsia="Times New Roman"/>
        </w:rPr>
        <w:br w:type="page"/>
      </w:r>
    </w:p>
    <w:bookmarkEnd w:id="31"/>
    <w:bookmarkEnd w:id="35"/>
    <w:p w:rsidR="00676715" w:rsidRDefault="00421C4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Сводные итоги по четырём заданиям</w:t>
      </w:r>
    </w:p>
    <w:p w:rsidR="00676715" w:rsidRDefault="00421C40">
      <w:pPr>
        <w:pStyle w:val="FirstParagraph"/>
      </w:pPr>
      <w:r>
        <w:rPr>
          <w:rFonts w:eastAsia="Times New Roman" w:cs="Times New Roman"/>
          <w:b/>
          <w:bCs/>
        </w:rPr>
        <w:t>Проект партнёра:</w:t>
      </w:r>
      <w:r>
        <w:rPr>
          <w:rFonts w:eastAsia="Times New Roman" w:cs="Times New Roman"/>
        </w:rPr>
        <w:t xml:space="preserve"> веб-приложение для автоматизации административных процессов дополнительного образования в вузе (ведение базы обучающихся, импорт Excel, управление курсами и потоками, генерация приказов и служебных записок); стек React + FastAPI + реляционная БД.</w:t>
      </w:r>
    </w:p>
    <w:p w:rsidR="00676715" w:rsidRDefault="00421C40">
      <w:pPr>
        <w:pStyle w:val="2"/>
      </w:pPr>
      <w:bookmarkStart w:id="36" w:name="сводка-оценок-по-заданиям"/>
      <w:r>
        <w:rPr>
          <w:rFonts w:ascii="Times New Roman" w:eastAsia="Times New Roman" w:hAnsi="Times New Roman" w:cs="Times New Roman"/>
        </w:rPr>
        <w:t>Сводка оценок по заданиям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119"/>
        <w:gridCol w:w="2410"/>
        <w:gridCol w:w="1559"/>
        <w:gridCol w:w="1291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Задание</w:t>
            </w:r>
          </w:p>
        </w:tc>
        <w:tc>
          <w:tcPr>
            <w:tcW w:w="311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Тема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Обязательная часть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Бонус «со звёздочкой»</w:t>
            </w:r>
          </w:p>
        </w:tc>
        <w:tc>
          <w:tcPr>
            <w:tcW w:w="12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Категория</w:t>
            </w:r>
          </w:p>
        </w:tc>
      </w:tr>
      <w:tr w:rsidR="00676715" w:rsidTr="00421C40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311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Анализ конкурентов, SWOT, бенчмаркинг, SLA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138 / 156 (~88,5%) ↑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—</w:t>
            </w:r>
          </w:p>
        </w:tc>
        <w:tc>
          <w:tcPr>
            <w:tcW w:w="12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Отлично ↑</w:t>
            </w:r>
          </w:p>
        </w:tc>
      </w:tr>
      <w:tr w:rsidR="00676715" w:rsidTr="00421C40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311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ITIL-процессы, RACI, регламенты, метрики, PDCA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113 / 128 (~88,3%)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9 / 12 (~75%)</w:t>
            </w:r>
          </w:p>
        </w:tc>
        <w:tc>
          <w:tcPr>
            <w:tcW w:w="12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Отлично</w:t>
            </w:r>
          </w:p>
        </w:tc>
      </w:tr>
      <w:tr w:rsidR="00676715" w:rsidTr="00421C40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311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Метрики сервиса, методика измерения, дашборд, алерты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135 / 160 (~84,4%)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 / 12 (~83%)</w:t>
            </w:r>
          </w:p>
        </w:tc>
        <w:tc>
          <w:tcPr>
            <w:tcW w:w="12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Отлично</w:t>
            </w:r>
          </w:p>
        </w:tc>
      </w:tr>
      <w:tr w:rsidR="00676715" w:rsidTr="00421C40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11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Финансовая модель: TCO, выгоды, ROI, payback, альтернативы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173 / 200 (~86,5%) ↑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10 / 12 (~83,3%)</w:t>
            </w:r>
          </w:p>
        </w:tc>
        <w:tc>
          <w:tcPr>
            <w:tcW w:w="12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Отлично ↑</w:t>
            </w:r>
          </w:p>
        </w:tc>
      </w:tr>
      <w:tr w:rsidR="00676715" w:rsidTr="00421C40">
        <w:trPr>
          <w:jc w:val="center"/>
        </w:trPr>
        <w:tc>
          <w:tcPr>
            <w:tcW w:w="1242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Итого по циклу</w:t>
            </w:r>
          </w:p>
        </w:tc>
        <w:tc>
          <w:tcPr>
            <w:tcW w:w="311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средневзвешенно по обязательной части</w:t>
            </w:r>
          </w:p>
        </w:tc>
        <w:tc>
          <w:tcPr>
            <w:tcW w:w="241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559 / 644 (~86,8%)</w:t>
            </w:r>
            <w:r>
              <w:rPr>
                <w:rFonts w:eastAsia="Times New Roman" w:cs="Times New Roman"/>
                <w:sz w:val="22"/>
              </w:rPr>
              <w:t xml:space="preserve"> ↑↑</w:t>
            </w:r>
          </w:p>
        </w:tc>
        <w:tc>
          <w:tcPr>
            <w:tcW w:w="155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29 / 36 (~80,6%)</w:t>
            </w:r>
          </w:p>
        </w:tc>
        <w:tc>
          <w:tcPr>
            <w:tcW w:w="12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Отлично</w:t>
            </w:r>
            <w:r>
              <w:rPr>
                <w:rFonts w:eastAsia="Times New Roman" w:cs="Times New Roman"/>
                <w:sz w:val="22"/>
              </w:rPr>
              <w:t xml:space="preserve"> (уверенно внутри категории)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Стрелка ↑ по Заданию 1:</w:t>
      </w:r>
      <w:r>
        <w:rPr>
          <w:rFonts w:eastAsia="Times New Roman" w:cs="Times New Roman"/>
        </w:rPr>
        <w:t xml:space="preserve"> студент исправил часть замечаний в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task_1/solutuion_1_fix.docx</w:t>
      </w:r>
      <w:r>
        <w:rPr>
          <w:rFonts w:eastAsia="Times New Roman" w:cs="Times New Roman"/>
        </w:rPr>
        <w:t xml:space="preserve"> и переместил работу из «Хорошо» (110/156, ~70,5%) в «Отлично» (138/156, ~88,5%). Закрыты или существенно прокачаны: «Числовые шкалы / метрики сравнения» (0 → 9 из 12), «Обоснованность выводов» (0 → 3 из 4), «Колонка Мой проект» (6 → 8 из 8), «Реалистичность SLA» (6 → 9 из 12), «Обоснование SLA» (1 → 4 из 4), «Измеримость SLA» (6 → 12 из 12), «Практическая применимость SWOT» (4 → 6 из 8). Не закрыто: карта сегментов рынка, стратегические выводы по SWOT по каждому конкуренту, количественные рыночные метрики в бенчмаркинге.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Стрелка ↑ по Заданию 4:</w:t>
      </w:r>
      <w:r>
        <w:rPr>
          <w:rFonts w:eastAsia="Times New Roman" w:cs="Times New Roman"/>
        </w:rPr>
        <w:t xml:space="preserve"> студент исправил все четыре P0-замечания первой итерации в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task_4/solution_4_fix.docx</w:t>
      </w:r>
      <w:r>
        <w:rPr>
          <w:rFonts w:eastAsia="Times New Roman" w:cs="Times New Roman"/>
        </w:rPr>
        <w:t xml:space="preserve">. Работа переместилась из «Хорошо» (149/200, ~74,5%) в «Отлично» (173/200, ~86,5%). Закрыты: арифметика прямых выгод (6 → 12 из 12), методика монетизации с числовыми формулами (6 → 12 из 12), полнота операционных затрат с лицензиями (9 → 12 из 12), классическая формула ROI с включением 30 000 руб. на вывод (9 → 12 из 12), сходимость исходных значений (4 → 8 из 8). Сценарии раздела 9.1 пересчитаны и согласованы с базовой моделью. Бонус снизился на 1 балл (11 → 10) из-за новой арифметической неточности в NPV (108 894 vs ~102 614 руб.). Не закрыто: executive-summary в разделе 8, числовое обоснование темпа роста выгод, sensitivity </w:t>
      </w:r>
      <w:r>
        <w:rPr>
          <w:rFonts w:eastAsia="Times New Roman" w:cs="Times New Roman"/>
        </w:rPr>
        <w:lastRenderedPageBreak/>
        <w:t>tornado-таблица, числовые TCO/ROI для альтернатив, источник ставок 1 500 / 1 250 руб./час для разработки.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Профиль работ после двух итераций исправлений.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Все четыре работы — в категории «Отлично»</w:t>
      </w:r>
      <w:r>
        <w:rPr>
          <w:rFonts w:eastAsia="Times New Roman" w:cs="Times New Roman"/>
        </w:rPr>
        <w:t>, среднее по циклу — уверенно внутри «Отлично» (~86,8%). Ни одна из работ не находится на границе с «Хорошо»; ближайшая к нижней границе категории — Задание 3 (~84,4%). Структура замечаний теперь однородная: P0-критичных нестыковок не осталось ни в одной работе, оставшиеся пункты — преимущественно P1 (полировка модели, читаемость, executive-формат) и P2 (стилистические улучшения).</w:t>
      </w:r>
    </w:p>
    <w:p w:rsidR="00676715" w:rsidRDefault="00676715"/>
    <w:p w:rsidR="00676715" w:rsidRDefault="00421C40">
      <w:pPr>
        <w:pStyle w:val="2"/>
      </w:pPr>
      <w:bookmarkStart w:id="37" w:name="топ-5-приоритетных-рекомендаций-по-циклу"/>
      <w:bookmarkEnd w:id="36"/>
      <w:r>
        <w:rPr>
          <w:rFonts w:ascii="Times New Roman" w:eastAsia="Times New Roman" w:hAnsi="Times New Roman" w:cs="Times New Roman"/>
        </w:rPr>
        <w:t>Топ-5 приоритетных рекомендаций по циклу</w:t>
      </w:r>
    </w:p>
    <w:p w:rsidR="00676715" w:rsidRDefault="00421C40">
      <w:pPr>
        <w:pStyle w:val="FirstParagraph"/>
      </w:pPr>
      <w:r>
        <w:rPr>
          <w:rFonts w:eastAsia="Times New Roman" w:cs="Times New Roman"/>
        </w:rPr>
        <w:t xml:space="preserve">Принцип отбора: топ-5 ограничивается </w:t>
      </w:r>
      <w:r>
        <w:rPr>
          <w:rFonts w:eastAsia="Times New Roman" w:cs="Times New Roman"/>
          <w:b/>
          <w:bCs/>
        </w:rPr>
        <w:t>Заданиями 1 и 4</w:t>
      </w:r>
      <w:r>
        <w:rPr>
          <w:rFonts w:eastAsia="Times New Roman" w:cs="Times New Roman"/>
        </w:rPr>
        <w:t xml:space="preserve">, поскольку именно по этим работам исходно было максимальное пространство для роста. После двух итераций исправлений все четыре работы достигли «Отлично», поэтому рекомендации топ-5 теперь не критичны для категории, а представляют собой </w:t>
      </w:r>
      <w:r>
        <w:rPr>
          <w:rFonts w:eastAsia="Times New Roman" w:cs="Times New Roman"/>
          <w:b/>
          <w:bCs/>
        </w:rPr>
        <w:t>зону «полировки в верхнюю часть Отлично»</w:t>
      </w:r>
      <w:r>
        <w:rPr>
          <w:rFonts w:eastAsia="Times New Roman" w:cs="Times New Roman"/>
        </w:rPr>
        <w:t>: их реализация переводит работы с уровня ~86–88% к уровню ~92–95%.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275"/>
        <w:gridCol w:w="1251"/>
        <w:gridCol w:w="1417"/>
        <w:gridCol w:w="3974"/>
        <w:gridCol w:w="2704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7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#</w:t>
            </w:r>
          </w:p>
        </w:tc>
        <w:tc>
          <w:tcPr>
            <w:tcW w:w="12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Приоритет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Задание</w:t>
            </w:r>
          </w:p>
        </w:tc>
        <w:tc>
          <w:tcPr>
            <w:tcW w:w="39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Что переделать</w:t>
            </w:r>
          </w:p>
        </w:tc>
        <w:tc>
          <w:tcPr>
            <w:tcW w:w="2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Эффект на скоринг</w:t>
            </w:r>
          </w:p>
        </w:tc>
      </w:tr>
      <w:tr w:rsidR="00676715" w:rsidTr="00421C40">
        <w:trPr>
          <w:jc w:val="center"/>
        </w:trPr>
        <w:tc>
          <w:tcPr>
            <w:tcW w:w="27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12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P1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в раздел 8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19–20</w:t>
            </w:r>
            <w:r>
              <w:rPr>
                <w:rFonts w:eastAsia="Times New Roman" w:cs="Times New Roman"/>
                <w:sz w:val="22"/>
              </w:rPr>
              <w:t>) блок «Резюме для руководства»: 1–2 строки рекомендации; ключевые цифры (TCO 1,32 млн ₽ / ROI 25% / NPV ~103 тыс. ₽ / payback ≈ 2 года) одним блоком; 2–3 условия принятия; 2–3 ключевых риска</w:t>
            </w:r>
          </w:p>
        </w:tc>
        <w:tc>
          <w:tcPr>
            <w:tcW w:w="2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«Обоснованность финального инвестиционного решения» с 9 до 12 из 12 (</w:t>
            </w:r>
            <w:r>
              <w:rPr>
                <w:rFonts w:eastAsia="Times New Roman" w:cs="Times New Roman"/>
                <w:b/>
                <w:bCs/>
                <w:sz w:val="22"/>
              </w:rPr>
              <w:t>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7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12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P1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Рассчитать TCO/ROI для альтернатив в разделе 7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17–19</w:t>
            </w:r>
            <w:r>
              <w:rPr>
                <w:rFonts w:eastAsia="Times New Roman" w:cs="Times New Roman"/>
                <w:sz w:val="22"/>
              </w:rPr>
              <w:t>): для «не внедрять» — стоимость текущих проблем (часы × 500 руб./час по той же методике, что и в разделе 4.1); для «готового решения» — лицензии + кастомизация + интеграция</w:t>
            </w:r>
          </w:p>
        </w:tc>
        <w:tc>
          <w:tcPr>
            <w:tcW w:w="2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«Наличие и качество альтернативы»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«Сравнение вариантов»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7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12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P1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Обосновать темп роста выгод по годам в разделе 5.1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12–13</w:t>
            </w:r>
            <w:r>
              <w:rPr>
                <w:rFonts w:eastAsia="Times New Roman" w:cs="Times New Roman"/>
                <w:sz w:val="22"/>
              </w:rPr>
              <w:t>) числовыми допущениями («70% эффекта в 1-й год — потому что N% сотрудников осваивает систему за M месяцев…»); параллельно ввести индексацию затрат на поддержку или явно зафиксировать нулевую индексацию как допущение в 6.1</w:t>
            </w:r>
          </w:p>
        </w:tc>
        <w:tc>
          <w:tcPr>
            <w:tcW w:w="2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«Динамика по годам и интерпретация результатов»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«Горизонт расчёта и динамика»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  <w:tr w:rsidR="00676715" w:rsidTr="00421C40">
        <w:trPr>
          <w:jc w:val="center"/>
        </w:trPr>
        <w:tc>
          <w:tcPr>
            <w:tcW w:w="27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2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P1+P2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9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Закрыть бонусные критерии: добавить в раздел 9.2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solution_4_fix.docx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 xml:space="preserve">стр. </w:t>
            </w: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21</w:t>
            </w:r>
            <w:r>
              <w:rPr>
                <w:rFonts w:eastAsia="Times New Roman" w:cs="Times New Roman"/>
                <w:sz w:val="22"/>
              </w:rPr>
              <w:t xml:space="preserve">) таблицу-tornado (ROI при ±10/±20% по 3 параметрам) </w:t>
            </w:r>
            <w:r>
              <w:rPr>
                <w:rFonts w:eastAsia="Times New Roman" w:cs="Times New Roman"/>
                <w:b/>
                <w:bCs/>
                <w:sz w:val="22"/>
              </w:rPr>
              <w:t>и</w:t>
            </w:r>
            <w:r>
              <w:rPr>
                <w:rFonts w:eastAsia="Times New Roman" w:cs="Times New Roman"/>
                <w:sz w:val="22"/>
              </w:rPr>
              <w:t xml:space="preserve"> пересчитать NPV в разделе 9.4 (стр. 21–22) для текущих потоков 170/350/350 — корректное значение </w:t>
            </w:r>
            <w:r>
              <w:rPr>
                <w:rFonts w:eastAsia="Times New Roman" w:cs="Times New Roman"/>
                <w:b/>
                <w:bCs/>
                <w:sz w:val="22"/>
              </w:rPr>
              <w:t>≈ 102 614 руб.</w:t>
            </w:r>
            <w:r>
              <w:rPr>
                <w:rFonts w:eastAsia="Times New Roman" w:cs="Times New Roman"/>
                <w:sz w:val="22"/>
              </w:rPr>
              <w:t>, а не 108 894 руб.</w:t>
            </w:r>
          </w:p>
        </w:tc>
        <w:tc>
          <w:tcPr>
            <w:tcW w:w="2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 xml:space="preserve">Бонус-критерий «Sensitivity analysis» с 3 </w:t>
            </w:r>
            <w:r>
              <w:rPr>
                <w:rFonts w:eastAsia="Times New Roman" w:cs="Times New Roman"/>
                <w:sz w:val="22"/>
              </w:rPr>
              <w:lastRenderedPageBreak/>
              <w:t>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бонус); «NPV/дисконтирование» с 3 до 4 из 4 (</w:t>
            </w:r>
            <w:r>
              <w:rPr>
                <w:rFonts w:eastAsia="Times New Roman" w:cs="Times New Roman"/>
                <w:b/>
                <w:bCs/>
                <w:sz w:val="22"/>
              </w:rPr>
              <w:t>+1</w:t>
            </w:r>
            <w:r>
              <w:rPr>
                <w:rFonts w:eastAsia="Times New Roman" w:cs="Times New Roman"/>
                <w:sz w:val="22"/>
              </w:rPr>
              <w:t xml:space="preserve"> в бонус). Итого </w:t>
            </w:r>
            <w:r>
              <w:rPr>
                <w:rFonts w:eastAsia="Times New Roman" w:cs="Times New Roman"/>
                <w:b/>
                <w:bCs/>
                <w:sz w:val="22"/>
              </w:rPr>
              <w:t>+2 в бонус</w:t>
            </w:r>
            <w:r>
              <w:rPr>
                <w:rFonts w:eastAsia="Times New Roman" w:cs="Times New Roman"/>
                <w:sz w:val="22"/>
              </w:rPr>
              <w:t xml:space="preserve">, выводящие к </w:t>
            </w:r>
            <w:r>
              <w:rPr>
                <w:rFonts w:eastAsia="Times New Roman" w:cs="Times New Roman"/>
                <w:b/>
                <w:bCs/>
                <w:sz w:val="22"/>
              </w:rPr>
              <w:t>12/12</w:t>
            </w:r>
            <w:r>
              <w:rPr>
                <w:rFonts w:eastAsia="Times New Roman" w:cs="Times New Roman"/>
                <w:sz w:val="22"/>
              </w:rPr>
              <w:t>.</w:t>
            </w:r>
          </w:p>
        </w:tc>
      </w:tr>
      <w:tr w:rsidR="00676715" w:rsidTr="00421C40">
        <w:trPr>
          <w:jc w:val="center"/>
        </w:trPr>
        <w:tc>
          <w:tcPr>
            <w:tcW w:w="275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5</w:t>
            </w:r>
          </w:p>
        </w:tc>
        <w:tc>
          <w:tcPr>
            <w:tcW w:w="125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P1</w:t>
            </w:r>
          </w:p>
        </w:tc>
        <w:tc>
          <w:tcPr>
            <w:tcW w:w="1417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397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Добавить перед списком конкурентов (</w:t>
            </w:r>
            <w:r>
              <w:rPr>
                <w:rStyle w:val="VerbatimChar"/>
                <w:rFonts w:ascii="Times New Roman" w:eastAsia="Times New Roman" w:hAnsi="Times New Roman" w:cs="Times New Roman"/>
                <w:sz w:val="22"/>
              </w:rPr>
              <w:t>solutuion_1_fix.docx</w:t>
            </w:r>
            <w:r>
              <w:rPr>
                <w:rFonts w:eastAsia="Times New Roman" w:cs="Times New Roman"/>
                <w:sz w:val="22"/>
              </w:rPr>
              <w:t xml:space="preserve">, </w:t>
            </w:r>
            <w:r>
              <w:rPr>
                <w:rFonts w:eastAsia="Times New Roman" w:cs="Times New Roman"/>
                <w:b/>
                <w:bCs/>
                <w:sz w:val="22"/>
              </w:rPr>
              <w:t>стр. 1–2</w:t>
            </w:r>
            <w:r>
              <w:rPr>
                <w:rFonts w:eastAsia="Times New Roman" w:cs="Times New Roman"/>
                <w:sz w:val="22"/>
              </w:rPr>
              <w:t xml:space="preserve">) </w:t>
            </w:r>
            <w:r>
              <w:rPr>
                <w:rFonts w:eastAsia="Times New Roman" w:cs="Times New Roman"/>
                <w:b/>
                <w:bCs/>
                <w:sz w:val="22"/>
              </w:rPr>
              <w:t>карту сегментов</w:t>
            </w:r>
            <w:r>
              <w:rPr>
                <w:rFonts w:eastAsia="Times New Roman" w:cs="Times New Roman"/>
                <w:sz w:val="22"/>
              </w:rPr>
              <w:t xml:space="preserve"> (4–5 категорий) с представителями недостающих сегментов (LMS вузовского контура, корпоративные LMS, open-source, status quo Excel); GetCourse при этом перенести в отдельный сегмент «Платформы онлайн-обучения» с пометкой «непрямой конкурент»</w:t>
            </w:r>
          </w:p>
        </w:tc>
        <w:tc>
          <w:tcPr>
            <w:tcW w:w="2704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«Полнота покрытия сегментов» с 6 до 8 из 8 (</w:t>
            </w:r>
            <w:r>
              <w:rPr>
                <w:rFonts w:eastAsia="Times New Roman" w:cs="Times New Roman"/>
                <w:b/>
                <w:bCs/>
                <w:sz w:val="22"/>
              </w:rPr>
              <w:t>+2</w:t>
            </w:r>
            <w:r>
              <w:rPr>
                <w:rFonts w:eastAsia="Times New Roman" w:cs="Times New Roman"/>
                <w:sz w:val="22"/>
              </w:rPr>
              <w:t>); «Релевантность теме ВКР» — до 12/12 при перепозиционировании GetCourse (</w:t>
            </w:r>
            <w:r>
              <w:rPr>
                <w:rFonts w:eastAsia="Times New Roman" w:cs="Times New Roman"/>
                <w:b/>
                <w:bCs/>
                <w:sz w:val="22"/>
              </w:rPr>
              <w:t>+0…+3</w:t>
            </w:r>
            <w:r>
              <w:rPr>
                <w:rFonts w:eastAsia="Times New Roman" w:cs="Times New Roman"/>
                <w:sz w:val="22"/>
              </w:rPr>
              <w:t>).</w:t>
            </w:r>
          </w:p>
        </w:tc>
      </w:tr>
    </w:tbl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Совокупный эффект.</w:t>
      </w:r>
      <w:r>
        <w:rPr>
          <w:rFonts w:eastAsia="Times New Roman" w:cs="Times New Roman"/>
        </w:rPr>
        <w:t xml:space="preserve"> Реализация всех пяти пунктов на минимальном уровне дескрипторов даёт расчётный прирост порядка </w:t>
      </w:r>
      <w:r>
        <w:rPr>
          <w:rFonts w:eastAsia="Times New Roman" w:cs="Times New Roman"/>
          <w:b/>
          <w:bCs/>
        </w:rPr>
        <w:t>+12…+19 баллов</w:t>
      </w:r>
      <w:r>
        <w:rPr>
          <w:rFonts w:eastAsia="Times New Roman" w:cs="Times New Roman"/>
        </w:rPr>
        <w:t xml:space="preserve"> по обязательной части и </w:t>
      </w:r>
      <w:r>
        <w:rPr>
          <w:rFonts w:eastAsia="Times New Roman" w:cs="Times New Roman"/>
          <w:b/>
          <w:bCs/>
        </w:rPr>
        <w:t>+2 в бонус</w:t>
      </w:r>
      <w:r>
        <w:rPr>
          <w:rFonts w:eastAsia="Times New Roman" w:cs="Times New Roman"/>
        </w:rPr>
        <w:t>. Основной вклад в обязательную часть приходится на Задание 4 (пункты 1–3 — это +9…+13 баллов, выводящие работу к ~91–93%); пункт 5 по Заданию 1 добавляет 2–5 баллов и может поднять Задание 1 до середины «Отлично» (~92%). Пункт 4 закрывает бонус Задания 4 на 12/12, доведя бонус по циклу до 31/36 (~86%).</w:t>
      </w:r>
    </w:p>
    <w:p w:rsidR="00676715" w:rsidRDefault="00421C40">
      <w:pPr>
        <w:pStyle w:val="a0"/>
      </w:pPr>
      <w:r>
        <w:rPr>
          <w:rFonts w:eastAsia="Times New Roman" w:cs="Times New Roman"/>
          <w:b/>
          <w:bCs/>
        </w:rPr>
        <w:t>Прогноз перехода к верхней части «Отлично».</w:t>
      </w:r>
      <w:r>
        <w:rPr>
          <w:rFonts w:eastAsia="Times New Roman" w:cs="Times New Roman"/>
        </w:rPr>
        <w:t xml:space="preserve"> При выполнении всех пяти пунктов: Задание 4 ожидаемо перемещается к ~91–93% (с ~86,5%); Задание 1 — к ~91–92% (с ~88,5%). Совокупный показатель цикла — к </w:t>
      </w:r>
      <w:r>
        <w:rPr>
          <w:rFonts w:eastAsia="Times New Roman" w:cs="Times New Roman"/>
          <w:b/>
          <w:bCs/>
        </w:rPr>
        <w:t>~91–92%</w:t>
      </w:r>
      <w:r>
        <w:rPr>
          <w:rFonts w:eastAsia="Times New Roman" w:cs="Times New Roman"/>
        </w:rPr>
        <w:t xml:space="preserve">. Задания 2 и 3 остаются без изменений в «Отлично», в индивидуальных аудитах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task_2/audit_2.md</w:t>
      </w:r>
      <w:r>
        <w:rPr>
          <w:rFonts w:eastAsia="Times New Roman" w:cs="Times New Roman"/>
        </w:rPr>
        <w:t xml:space="preserve"> и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task_3/audit_3.md</w:t>
      </w:r>
      <w:r>
        <w:rPr>
          <w:rFonts w:eastAsia="Times New Roman" w:cs="Times New Roman"/>
        </w:rPr>
        <w:t xml:space="preserve"> сохраняются полировочные рекомендации, не входящие в топ-5 цикла.</w:t>
      </w:r>
    </w:p>
    <w:p w:rsidR="00676715" w:rsidRDefault="00676715"/>
    <w:bookmarkEnd w:id="37"/>
    <w:p w:rsidR="00676715" w:rsidRDefault="00421C40">
      <w:pPr>
        <w:pStyle w:val="2"/>
      </w:pPr>
      <w:r>
        <w:rPr>
          <w:rFonts w:ascii="Times New Roman" w:eastAsia="Times New Roman" w:hAnsi="Times New Roman" w:cs="Times New Roman"/>
        </w:rPr>
        <w:t>Карта рисков по циклу (heatmap «вероятность × влияние»)</w:t>
      </w:r>
    </w:p>
    <w:p w:rsidR="00676715" w:rsidRPr="00421C40" w:rsidRDefault="00421C40">
      <w:pPr>
        <w:pStyle w:val="FirstParagraph"/>
      </w:pPr>
      <w:r w:rsidRPr="00421C40">
        <w:rPr>
          <w:rFonts w:eastAsia="Times New Roman" w:cs="Times New Roman"/>
        </w:rPr>
        <w:t xml:space="preserve">В каждой ячейке риски помечены номером задания: </w:t>
      </w:r>
      <w:r w:rsidRPr="00421C40">
        <w:rPr>
          <w:rFonts w:eastAsia="Times New Roman" w:cs="Times New Roman"/>
          <w:bCs/>
        </w:rPr>
        <w:t>(З1)</w:t>
      </w:r>
      <w:r w:rsidRPr="00421C40">
        <w:rPr>
          <w:rFonts w:eastAsia="Times New Roman" w:cs="Times New Roman"/>
        </w:rPr>
        <w:t xml:space="preserve"> — конкуренты/SLA, </w:t>
      </w:r>
      <w:r w:rsidRPr="00421C40">
        <w:rPr>
          <w:rFonts w:eastAsia="Times New Roman" w:cs="Times New Roman"/>
          <w:bCs/>
        </w:rPr>
        <w:t>(З2)</w:t>
      </w:r>
      <w:r w:rsidRPr="00421C40">
        <w:rPr>
          <w:rFonts w:eastAsia="Times New Roman" w:cs="Times New Roman"/>
        </w:rPr>
        <w:t xml:space="preserve"> — ITIL/RACI, </w:t>
      </w:r>
      <w:r w:rsidRPr="00421C40">
        <w:rPr>
          <w:rFonts w:eastAsia="Times New Roman" w:cs="Times New Roman"/>
          <w:bCs/>
        </w:rPr>
        <w:t>(З3)</w:t>
      </w:r>
      <w:r w:rsidRPr="00421C40">
        <w:rPr>
          <w:rFonts w:eastAsia="Times New Roman" w:cs="Times New Roman"/>
        </w:rPr>
        <w:t xml:space="preserve"> — метрики/мониторинг, </w:t>
      </w:r>
      <w:r w:rsidRPr="00421C40">
        <w:rPr>
          <w:rFonts w:eastAsia="Times New Roman" w:cs="Times New Roman"/>
          <w:bCs/>
        </w:rPr>
        <w:t>(З4)</w:t>
      </w:r>
      <w:r w:rsidRPr="00421C40">
        <w:rPr>
          <w:rFonts w:eastAsia="Times New Roman" w:cs="Times New Roman"/>
        </w:rPr>
        <w:t xml:space="preserve"> — финансовая модель. Внутри ячеек — по 1–4 наиболее представительных риска; полный перечень — в разделе 6 каждого аудита. После исправлений по Заданию 1 (</w:t>
      </w:r>
      <w:r w:rsidRPr="00421C40"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 w:rsidRPr="00421C40">
        <w:rPr>
          <w:rFonts w:eastAsia="Times New Roman" w:cs="Times New Roman"/>
        </w:rPr>
        <w:t>) и Заданию 4 (</w:t>
      </w:r>
      <w:r w:rsidRPr="00421C40"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 w:rsidRPr="00421C40">
        <w:rPr>
          <w:rFonts w:eastAsia="Times New Roman" w:cs="Times New Roman"/>
        </w:rPr>
        <w:t xml:space="preserve">) часть рисков снята: </w:t>
      </w:r>
      <w:r w:rsidRPr="00421C40">
        <w:rPr>
          <w:rFonts w:eastAsia="Times New Roman" w:cs="Times New Roman"/>
          <w:bCs/>
        </w:rPr>
        <w:t>по Заданию 1</w:t>
      </w:r>
      <w:r w:rsidRPr="00421C40">
        <w:rPr>
          <w:rFonts w:eastAsia="Times New Roman" w:cs="Times New Roman"/>
        </w:rPr>
        <w:t xml:space="preserve"> закрыты «Отсутствие числовых шкал в бенчмаркинге», «Отсутствие выводов после бенчмаркинга», «Слабое обоснование и измеримость SLA», «Противоречие колонки Мой проект и описания»; </w:t>
      </w:r>
      <w:r w:rsidRPr="00421C40">
        <w:rPr>
          <w:rFonts w:eastAsia="Times New Roman" w:cs="Times New Roman"/>
          <w:bCs/>
        </w:rPr>
        <w:t>по Заданию 4</w:t>
      </w:r>
      <w:r w:rsidRPr="00421C40">
        <w:rPr>
          <w:rFonts w:eastAsia="Times New Roman" w:cs="Times New Roman"/>
        </w:rPr>
        <w:t xml:space="preserve"> закрыты «Арифметическая нестыковка прямых выгод 483 ≠ 600», «Отсутствие лицензий в операционных затратах», «Пропуск 30 000 руб. на вывод в формуле ROI», </w:t>
      </w:r>
      <w:r w:rsidRPr="00421C40">
        <w:rPr>
          <w:rFonts w:eastAsia="Times New Roman" w:cs="Times New Roman"/>
        </w:rPr>
        <w:lastRenderedPageBreak/>
        <w:t>«Терминологическая нечёткость Чистая прибыль», «Монетизация прямых выгод без числовых формул».</w:t>
      </w:r>
    </w:p>
    <w:tbl>
      <w:tblPr>
        <w:tblStyle w:val="Table"/>
        <w:tblW w:w="5000" w:type="pct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020" w:firstRow="1" w:lastRow="0" w:firstColumn="0" w:lastColumn="0" w:noHBand="0" w:noVBand="0"/>
      </w:tblPr>
      <w:tblGrid>
        <w:gridCol w:w="1809"/>
        <w:gridCol w:w="1480"/>
        <w:gridCol w:w="3591"/>
        <w:gridCol w:w="2741"/>
      </w:tblGrid>
      <w:tr w:rsidR="00676715" w:rsidTr="00421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9" w:type="dxa"/>
          </w:tcPr>
          <w:p w:rsidR="00676715" w:rsidRDefault="00676715">
            <w:pPr>
              <w:pStyle w:val="Compact"/>
              <w:spacing w:before="0" w:after="60"/>
            </w:pPr>
          </w:p>
        </w:tc>
        <w:tc>
          <w:tcPr>
            <w:tcW w:w="148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Низкое влияние</w:t>
            </w:r>
          </w:p>
        </w:tc>
        <w:tc>
          <w:tcPr>
            <w:tcW w:w="35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Среднее влияние</w:t>
            </w:r>
          </w:p>
        </w:tc>
        <w:tc>
          <w:tcPr>
            <w:tcW w:w="274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t>Высокое влияние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Высокая вероятность</w:t>
            </w:r>
          </w:p>
        </w:tc>
        <w:tc>
          <w:tcPr>
            <w:tcW w:w="148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Опечатка «праы» в RACI — на балл не влияет, снижает воспринимаемое качество.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Гипотезы раздела 2 без числовых таргетов — снижает проверяемость.</w:t>
            </w:r>
          </w:p>
        </w:tc>
        <w:tc>
          <w:tcPr>
            <w:tcW w:w="35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(З1)</w:t>
            </w:r>
            <w:r>
              <w:rPr>
                <w:rFonts w:eastAsia="Times New Roman" w:cs="Times New Roman"/>
                <w:sz w:val="22"/>
              </w:rPr>
              <w:t xml:space="preserve"> Обобщённые Opportunities у 3 из 5 конкурентов; выводы по бенчмаркингу не оформлены как мини-таблица «пробелы/преимущества».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KPI без числовых таргетов; ценность регламентов как «эффект», а не «управленческая ценность».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Действия по алерту описаны как сводка, а не runbook.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Sensitivity без tornado-таблицы; финальное обоснование без executive-структуры.</w:t>
            </w:r>
          </w:p>
        </w:tc>
        <w:tc>
          <w:tcPr>
            <w:tcW w:w="274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R/A-конфликты в RACI и R/C на одной роли.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Метрики средних времён без P95/P99 — длинные хвосты деградации не выявляются.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Средняя вероятность</w:t>
            </w:r>
          </w:p>
        </w:tc>
        <w:tc>
          <w:tcPr>
            <w:tcW w:w="148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IT-решение без архитектурных деталей — отрыв от Заданий 1–3; риски без приоритизации в разделе 6.2.</w:t>
            </w:r>
          </w:p>
        </w:tc>
        <w:tc>
          <w:tcPr>
            <w:tcW w:w="35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(З1)</w:t>
            </w:r>
            <w:r>
              <w:rPr>
                <w:rFonts w:eastAsia="Times New Roman" w:cs="Times New Roman"/>
                <w:sz w:val="22"/>
              </w:rPr>
              <w:t xml:space="preserve"> Сводный «Вывод по SWOT» без разбора по каждому конкуренту; количественные рыночные метрики в бенчмаркинге не введены.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Несогласованность ролей RACI ↔ описание процесса доступа («Служба аудита»).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Реалистичность порогов оспаривается из-за отсутствия контекста нагрузки; бизнес-риски привязаны качественно, без оценки потерь.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Альтернативы без числового TCO/ROI; источник ставок 1 500 / 1 250 руб./час для разработки не зафиксирован.</w:t>
            </w:r>
          </w:p>
        </w:tc>
        <w:tc>
          <w:tcPr>
            <w:tcW w:w="274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(З1)</w:t>
            </w:r>
            <w:r>
              <w:rPr>
                <w:rFonts w:eastAsia="Times New Roman" w:cs="Times New Roman"/>
                <w:sz w:val="22"/>
              </w:rPr>
              <w:t xml:space="preserve"> Карта сегментов рынка не введена; недостающие классы решений (LMS вузовского контура, корпоративные LMS, open-source) не представлены.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Отсутствие регламента для процесса «Управление уровнем услуг».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Маршрутизация алертов без каналов и эскалации.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Темп роста выгод по годам без числового обоснования.</w:t>
            </w:r>
          </w:p>
        </w:tc>
      </w:tr>
      <w:tr w:rsidR="00676715" w:rsidTr="00421C40">
        <w:trPr>
          <w:jc w:val="center"/>
        </w:trPr>
        <w:tc>
          <w:tcPr>
            <w:tcW w:w="1809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Низкая вероятность</w:t>
            </w:r>
          </w:p>
        </w:tc>
        <w:tc>
          <w:tcPr>
            <w:tcW w:w="1480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Графический макет дашборда отсутствует — расхождение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реализации с задумкой.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Плоская динамика TCO без индексации; отсутствие числового baseline для метрик в разделе 1.2; арифметическая неточность в NPV (108 894 vs ~102 614 руб., расхождение ~5,8%, знак сохраняется).</w:t>
            </w:r>
          </w:p>
        </w:tc>
        <w:tc>
          <w:tcPr>
            <w:tcW w:w="359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b/>
                <w:bCs/>
                <w:sz w:val="22"/>
              </w:rPr>
              <w:lastRenderedPageBreak/>
              <w:t>(З1)</w:t>
            </w:r>
            <w:r>
              <w:rPr>
                <w:rFonts w:eastAsia="Times New Roman" w:cs="Times New Roman"/>
                <w:sz w:val="22"/>
              </w:rPr>
              <w:t xml:space="preserve"> GetCourse не отнесён к отдельному сегменту с явным статусом «непрямой конкурент». </w:t>
            </w:r>
            <w:r>
              <w:rPr>
                <w:rFonts w:eastAsia="Times New Roman" w:cs="Times New Roman"/>
                <w:b/>
                <w:bCs/>
                <w:sz w:val="22"/>
              </w:rPr>
              <w:t>(З2)</w:t>
            </w:r>
            <w:r>
              <w:rPr>
                <w:rFonts w:eastAsia="Times New Roman" w:cs="Times New Roman"/>
                <w:sz w:val="22"/>
              </w:rPr>
              <w:t xml:space="preserve"> Пересечение границ процессов в этапах «Управления проблемами»; отсутствие приоритизации рисков и </w:t>
            </w:r>
            <w:r>
              <w:rPr>
                <w:rFonts w:eastAsia="Times New Roman" w:cs="Times New Roman"/>
                <w:sz w:val="22"/>
              </w:rPr>
              <w:lastRenderedPageBreak/>
              <w:t xml:space="preserve">индикаторов фазы Check в PDCA. </w:t>
            </w:r>
            <w:r>
              <w:rPr>
                <w:rFonts w:eastAsia="Times New Roman" w:cs="Times New Roman"/>
                <w:b/>
                <w:bCs/>
                <w:sz w:val="22"/>
              </w:rPr>
              <w:t>(З3)</w:t>
            </w:r>
            <w:r>
              <w:rPr>
                <w:rFonts w:eastAsia="Times New Roman" w:cs="Times New Roman"/>
                <w:sz w:val="22"/>
              </w:rPr>
              <w:t xml:space="preserve"> Дашборд со смешанной аудиторией во всех блоках. </w:t>
            </w:r>
            <w:r>
              <w:rPr>
                <w:rFonts w:eastAsia="Times New Roman" w:cs="Times New Roman"/>
                <w:b/>
                <w:bCs/>
                <w:sz w:val="22"/>
              </w:rPr>
              <w:t>(З4)</w:t>
            </w:r>
            <w:r>
              <w:rPr>
                <w:rFonts w:eastAsia="Times New Roman" w:cs="Times New Roman"/>
                <w:sz w:val="22"/>
              </w:rPr>
              <w:t xml:space="preserve"> Разовая статья «Затраты на вывод» среди ежегодных + итог 230 000 ≠ сумма всех 6 строк таблицы 3.2 — нестыковка структуры.</w:t>
            </w:r>
          </w:p>
        </w:tc>
        <w:tc>
          <w:tcPr>
            <w:tcW w:w="2741" w:type="dxa"/>
          </w:tcPr>
          <w:p w:rsidR="00676715" w:rsidRDefault="00421C40">
            <w:pPr>
              <w:pStyle w:val="Compact"/>
              <w:spacing w:before="0" w:after="60"/>
            </w:pPr>
            <w:r>
              <w:rPr>
                <w:rFonts w:eastAsia="Times New Roman" w:cs="Times New Roman"/>
                <w:sz w:val="22"/>
              </w:rPr>
              <w:lastRenderedPageBreak/>
              <w:t>—</w:t>
            </w:r>
          </w:p>
        </w:tc>
      </w:tr>
    </w:tbl>
    <w:p w:rsidR="00676715" w:rsidRDefault="00421C40">
      <w:pPr>
        <w:pStyle w:val="3"/>
      </w:pPr>
      <w:r>
        <w:rPr>
          <w:rFonts w:eastAsia="Times New Roman" w:cs="Times New Roman"/>
        </w:rPr>
        <w:t>Интерпретация карты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Зона немедленного действия</w:t>
      </w:r>
      <w:r>
        <w:rPr>
          <w:rFonts w:eastAsia="Times New Roman" w:cs="Times New Roman"/>
        </w:rPr>
        <w:t xml:space="preserve"> (правый верхний угол: высокая вероятность × высокое влияние) — два риска по Заданиям 2 и 3. По Заданиям 1 и 4 эта зона теперь пуста (после исправлений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solutuion_1_fix.docx</w:t>
      </w:r>
      <w:r>
        <w:rPr>
          <w:rFonts w:eastAsia="Times New Roman" w:cs="Times New Roman"/>
        </w:rPr>
        <w:t xml:space="preserve"> и </w:t>
      </w:r>
      <w:r>
        <w:rPr>
          <w:rStyle w:val="VerbatimChar"/>
          <w:rFonts w:ascii="Times New Roman" w:eastAsia="Times New Roman" w:hAnsi="Times New Roman" w:cs="Times New Roman"/>
          <w:sz w:val="24"/>
        </w:rPr>
        <w:t>solution_4_fix.docx</w:t>
      </w:r>
      <w:r>
        <w:rPr>
          <w:rFonts w:eastAsia="Times New Roman" w:cs="Times New Roman"/>
        </w:rPr>
        <w:t xml:space="preserve"> ключевые риски сняты). Оставшиеся в этой зоне риски по Заданиям 2 и 3 (R/A-конфликты в RACI; средние времена без P95) </w:t>
      </w:r>
      <w:r>
        <w:rPr>
          <w:rFonts w:eastAsia="Times New Roman" w:cs="Times New Roman"/>
          <w:b/>
          <w:bCs/>
        </w:rPr>
        <w:t>не входят в Топ-5</w:t>
      </w:r>
      <w:r>
        <w:rPr>
          <w:rFonts w:eastAsia="Times New Roman" w:cs="Times New Roman"/>
        </w:rPr>
        <w:t xml:space="preserve">, потому что эти работы уже в «Отлично» и закрытие этих рисков лишь усиливает работу, не меняя категорию. Однако строгий рецензент использует именно эти риски для </w:t>
      </w:r>
      <w:r>
        <w:rPr>
          <w:rFonts w:eastAsia="Times New Roman" w:cs="Times New Roman"/>
          <w:b/>
          <w:bCs/>
        </w:rPr>
        <w:t>снижения</w:t>
      </w:r>
      <w:r>
        <w:rPr>
          <w:rFonts w:eastAsia="Times New Roman" w:cs="Times New Roman"/>
        </w:rPr>
        <w:t xml:space="preserve"> баллов на апелляции, поэтому игнорировать их в самих работах нельзя — рекомендации по ним остаются в индивидуальных аудитах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task_2/audit_2.md</w:t>
      </w:r>
      <w:r>
        <w:rPr>
          <w:rFonts w:eastAsia="Times New Roman" w:cs="Times New Roman"/>
        </w:rPr>
        <w:t xml:space="preserve"> и </w:t>
      </w:r>
      <w:r>
        <w:rPr>
          <w:rStyle w:val="VerbatimChar"/>
          <w:rFonts w:ascii="Times New Roman" w:eastAsia="Times New Roman" w:hAnsi="Times New Roman" w:cs="Times New Roman"/>
          <w:sz w:val="24"/>
        </w:rPr>
        <w:t>task_3/audit_3.md</w:t>
      </w:r>
      <w:r>
        <w:rPr>
          <w:rFonts w:eastAsia="Times New Roman" w:cs="Times New Roman"/>
        </w:rPr>
        <w:t>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Зона активного контроля</w:t>
      </w:r>
      <w:r>
        <w:rPr>
          <w:rFonts w:eastAsia="Times New Roman" w:cs="Times New Roman"/>
        </w:rPr>
        <w:t xml:space="preserve"> (центр и средняя строка) — методологические замечания, которые не перестраивают модель, но показывают «потолок» работы. Закрытие этой зоны переводит Задания 1 и 4 в верхнюю часть «Отлично» (~91–93%), что и составляет основу Топ-5 цикла.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t>Зона полировки</w:t>
      </w:r>
      <w:r>
        <w:rPr>
          <w:rFonts w:eastAsia="Times New Roman" w:cs="Times New Roman"/>
        </w:rPr>
        <w:t xml:space="preserve"> (левая колонка и нижняя строка) — отсутствие графики, опечатки, локальные неопределения, мелкие арифметические неточности (например, NPV-расхождение в 5,8%). Не двигают категории, но влияют на восприятие. Закрываются быстро, и без них работа выглядит сырой.</w:t>
      </w:r>
    </w:p>
    <w:p w:rsidR="00676715" w:rsidRDefault="00421C40">
      <w:pPr>
        <w:pStyle w:val="Compact"/>
        <w:numPr>
          <w:ilvl w:val="0"/>
          <w:numId w:val="2"/>
        </w:numPr>
      </w:pPr>
      <w:r>
        <w:rPr>
          <w:rFonts w:eastAsia="Times New Roman" w:cs="Times New Roman"/>
          <w:b/>
          <w:bCs/>
        </w:rPr>
        <w:lastRenderedPageBreak/>
        <w:t>Концентрация рисков: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b/>
          <w:bCs/>
        </w:rPr>
        <w:t>значительно снизилась</w:t>
      </w:r>
      <w:r>
        <w:rPr>
          <w:rFonts w:eastAsia="Times New Roman" w:cs="Times New Roman"/>
        </w:rPr>
        <w:t xml:space="preserve"> после второй итерации. Задание 4 после фикса покинуло правый верхний угол: каскадные риски арифметики прямых выгод, отсутствия лицензий, пропуска затрат на вывод и терминологической нечёткости — все закрыты. Задание 1 ещё после первой итерации переместилось из верхнего правого угла в центр и среднюю строку. Задания 2 и 3 в зоне высокого влияния присутствуют по одному риску каждый — это согласуется с категорией «Отлично» и обозначает естественные «потолки» этих работ. </w:t>
      </w:r>
      <w:r>
        <w:rPr>
          <w:rFonts w:eastAsia="Times New Roman" w:cs="Times New Roman"/>
          <w:b/>
          <w:bCs/>
        </w:rPr>
        <w:t>Структурно цикл стабилизирован</w:t>
      </w:r>
      <w:r>
        <w:rPr>
          <w:rFonts w:eastAsia="Times New Roman" w:cs="Times New Roman"/>
        </w:rPr>
        <w:t>: оставшиеся риски касаются качества подачи и читаемости, а не принципиальной корректности моделей.</w:t>
      </w:r>
    </w:p>
    <w:sectPr w:rsidR="00676715">
      <w:footnotePr>
        <w:numRestart w:val="eachSect"/>
      </w:footnotePr>
      <w:pgSz w:w="12240" w:h="15840"/>
      <w:pgMar w:top="1134" w:right="1134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34B45C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5834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700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76715"/>
    <w:rsid w:val="002F718D"/>
    <w:rsid w:val="00421C40"/>
    <w:rsid w:val="00500ED0"/>
    <w:rsid w:val="00676715"/>
    <w:rsid w:val="00C3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9D50B9-A044-4792-8082-52565ABC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0" w:line="276" w:lineRule="auto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sz w:val="26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sz w:val="25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120"/>
    </w:pPr>
  </w:style>
  <w:style w:type="paragraph" w:customStyle="1" w:styleId="Compact">
    <w:name w:val="Compact"/>
    <w:basedOn w:val="a0"/>
    <w:qFormat/>
    <w:pPr>
      <w:spacing w:before="36" w:after="120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contextualSpacing/>
      <w:jc w:val="center"/>
    </w:pPr>
    <w:rPr>
      <w:rFonts w:asciiTheme="majorHAnsi" w:eastAsiaTheme="majorEastAsia" w:hAnsiTheme="majorHAnsi" w:cstheme="majorBidi"/>
      <w:sz w:val="32"/>
      <w:szCs w:val="56"/>
    </w:rPr>
  </w:style>
  <w:style w:type="character" w:customStyle="1" w:styleId="a5">
    <w:name w:val="Название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color w:val="000000"/>
      <w:sz w:val="20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color w:val="000000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color w:val="000000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51</Pages>
  <Words>13853</Words>
  <Characters>78966</Characters>
  <Application>Microsoft Office Word</Application>
  <DocSecurity>0</DocSecurity>
  <Lines>658</Lines>
  <Paragraphs>185</Paragraphs>
  <ScaleCrop>false</ScaleCrop>
  <Company/>
  <LinksUpToDate>false</LinksUpToDate>
  <CharactersWithSpaces>92634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void</cp:lastModifiedBy>
  <cp:revision>5</cp:revision>
  <dcterms:created xsi:type="dcterms:W3CDTF">2026-05-09T21:54:00Z</dcterms:created>
  <dcterms:modified xsi:type="dcterms:W3CDTF">2026-05-09T22:10:00Z</dcterms:modified>
  <dc:language>ru</dc:language>
</cp:coreProperties>
</file>