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2287270</wp:posOffset>
            </wp:positionH>
            <wp:positionV relativeFrom="page">
              <wp:posOffset>-13970</wp:posOffset>
            </wp:positionV>
            <wp:extent cx="5285739" cy="2723603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739" cy="27236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24" w:lineRule="exact" w:before="0" w:after="0"/>
        <w:ind w:left="44" w:right="0" w:firstLine="0"/>
        <w:jc w:val="left"/>
      </w:pPr>
      <w:r>
        <w:rPr>
          <w:rFonts w:ascii="BrandingSF" w:hAnsi="BrandingSF" w:eastAsia="BrandingSF"/>
          <w:b/>
          <w:i w:val="0"/>
          <w:color w:val="F3BD24"/>
          <w:sz w:val="36"/>
        </w:rPr>
        <w:t>LA COUVERTURE IDÉALE</w:t>
      </w:r>
    </w:p>
    <w:p>
      <w:pPr>
        <w:autoSpaceDN w:val="0"/>
        <w:autoSpaceDE w:val="0"/>
        <w:widowControl/>
        <w:spacing w:line="422" w:lineRule="exact" w:before="56" w:after="0"/>
        <w:ind w:left="46" w:right="0" w:firstLine="0"/>
        <w:jc w:val="left"/>
      </w:pPr>
      <w:r>
        <w:rPr>
          <w:rFonts w:ascii="BrandingSF" w:hAnsi="BrandingSF" w:eastAsia="BrandingSF"/>
          <w:b w:val="0"/>
          <w:i w:val="0"/>
          <w:color w:val="F3BD24"/>
          <w:sz w:val="40"/>
        </w:rPr>
        <w:t>POUR VOTRE ANIMAL</w:t>
      </w:r>
    </w:p>
    <w:p>
      <w:pPr>
        <w:autoSpaceDN w:val="0"/>
        <w:autoSpaceDE w:val="0"/>
        <w:widowControl/>
        <w:spacing w:line="235" w:lineRule="auto" w:before="554" w:after="0"/>
        <w:ind w:left="32" w:right="0" w:firstLine="0"/>
        <w:jc w:val="left"/>
      </w:pPr>
      <w:r>
        <w:rPr>
          <w:rFonts w:ascii="Montserrat" w:hAnsi="Montserrat" w:eastAsia="Montserrat"/>
          <w:b/>
          <w:i w:val="0"/>
          <w:color w:val="575756"/>
          <w:sz w:val="22"/>
        </w:rPr>
        <w:t xml:space="preserve">Des garanties simples et complètes </w:t>
      </w:r>
    </w:p>
    <w:p>
      <w:pPr>
        <w:autoSpaceDN w:val="0"/>
        <w:autoSpaceDE w:val="0"/>
        <w:widowControl/>
        <w:spacing w:line="245" w:lineRule="auto" w:before="114" w:after="0"/>
        <w:ind w:left="32" w:right="6770" w:firstLine="0"/>
        <w:jc w:val="both"/>
      </w:pP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Parce que votre  animal de compagnie </w:t>
      </w:r>
      <w:r>
        <w:br/>
      </w: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est considéré comme un membre à part </w:t>
      </w:r>
      <w:r>
        <w:br/>
      </w: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entière de votre famille, il mérite  que vous lui </w:t>
      </w:r>
      <w:r>
        <w:br/>
      </w: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apportiez une couverture santé de qualité et </w:t>
      </w:r>
      <w:r>
        <w:br/>
      </w: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les meilleurs soins ! </w:t>
      </w:r>
    </w:p>
    <w:p>
      <w:pPr>
        <w:autoSpaceDN w:val="0"/>
        <w:autoSpaceDE w:val="0"/>
        <w:widowControl/>
        <w:spacing w:line="240" w:lineRule="auto" w:before="170" w:after="130"/>
        <w:ind w:left="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" cy="15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BrandingSF" w:hAnsi="BrandingSF" w:eastAsia="BrandingSF"/>
          <w:b/>
          <w:i w:val="0"/>
          <w:color w:val="F3BD24"/>
          <w:sz w:val="28"/>
        </w:rPr>
        <w:t>Les points forts</w:t>
      </w:r>
    </w:p>
    <w:p>
      <w:pPr>
        <w:sectPr>
          <w:pgSz w:w="11906" w:h="16838"/>
          <w:pgMar w:top="464" w:right="436" w:bottom="30" w:left="45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000" cy="139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 Souscription simple et sans justificatif médical</w:t>
      </w:r>
    </w:p>
    <w:p>
      <w:pPr>
        <w:autoSpaceDN w:val="0"/>
        <w:autoSpaceDE w:val="0"/>
        <w:widowControl/>
        <w:spacing w:line="240" w:lineRule="auto" w:before="94" w:after="0"/>
        <w:ind w:left="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000" cy="139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 Des formules adaptées à vos besoins et votre </w:t>
      </w:r>
    </w:p>
    <w:p>
      <w:pPr>
        <w:autoSpaceDN w:val="0"/>
        <w:autoSpaceDE w:val="0"/>
        <w:widowControl/>
        <w:spacing w:line="235" w:lineRule="auto" w:before="46" w:after="0"/>
        <w:ind w:left="288" w:right="0" w:firstLine="0"/>
        <w:jc w:val="left"/>
      </w:pPr>
      <w:r>
        <w:rPr>
          <w:rFonts w:ascii="Montserrat" w:hAnsi="Montserrat" w:eastAsia="Montserrat"/>
          <w:b w:val="0"/>
          <w:i w:val="0"/>
          <w:color w:val="575756"/>
          <w:sz w:val="18"/>
        </w:rPr>
        <w:t>budget</w:t>
      </w:r>
    </w:p>
    <w:p>
      <w:pPr>
        <w:autoSpaceDN w:val="0"/>
        <w:autoSpaceDE w:val="0"/>
        <w:widowControl/>
        <w:spacing w:line="240" w:lineRule="auto" w:before="96" w:after="0"/>
        <w:ind w:left="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000" cy="127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 Frais de dossier offerts</w:t>
      </w:r>
    </w:p>
    <w:p>
      <w:pPr>
        <w:sectPr>
          <w:type w:val="continuous"/>
          <w:pgSz w:w="11906" w:h="16838"/>
          <w:pgMar w:top="464" w:right="436" w:bottom="30" w:left="456" w:header="720" w:footer="720" w:gutter="0"/>
          <w:cols w:num="2" w:equalWidth="0">
            <w:col w:w="4791" w:space="0"/>
            <w:col w:w="6222" w:space="0"/>
          </w:cols>
          <w:docGrid w:linePitch="360"/>
        </w:sectPr>
      </w:pPr>
    </w:p>
    <w:p>
      <w:pPr>
        <w:autoSpaceDN w:val="0"/>
        <w:tabs>
          <w:tab w:pos="498" w:val="left"/>
          <w:tab w:pos="546" w:val="left"/>
        </w:tabs>
        <w:autoSpaceDE w:val="0"/>
        <w:widowControl/>
        <w:spacing w:line="240" w:lineRule="auto" w:before="0" w:after="0"/>
        <w:ind w:left="292" w:right="432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9700" cy="139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 Garanties d’assistance étendues incluses pour toutes les </w:t>
      </w:r>
      <w:r>
        <w:tab/>
      </w:r>
      <w:r>
        <w:rPr>
          <w:rFonts w:ascii="Montserrat" w:hAnsi="Montserrat" w:eastAsia="Montserrat"/>
          <w:b w:val="0"/>
          <w:i w:val="0"/>
          <w:color w:val="575756"/>
          <w:sz w:val="18"/>
        </w:rPr>
        <w:t>formules :</w:t>
      </w:r>
    </w:p>
    <w:p>
      <w:pPr>
        <w:autoSpaceDN w:val="0"/>
        <w:tabs>
          <w:tab w:pos="654" w:val="left"/>
        </w:tabs>
        <w:autoSpaceDE w:val="0"/>
        <w:widowControl/>
        <w:spacing w:line="245" w:lineRule="auto" w:before="60" w:after="0"/>
        <w:ind w:left="538" w:right="720" w:firstLine="0"/>
        <w:jc w:val="left"/>
      </w:pP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- Prise en charge des animaux en cas d’hospitalisation </w:t>
      </w:r>
      <w:r>
        <w:tab/>
      </w:r>
      <w:r>
        <w:rPr>
          <w:rFonts w:ascii="Montserrat" w:hAnsi="Montserrat" w:eastAsia="Montserrat"/>
          <w:b w:val="0"/>
          <w:i w:val="0"/>
          <w:color w:val="575756"/>
          <w:sz w:val="18"/>
        </w:rPr>
        <w:t>imprévue du maître</w:t>
      </w:r>
    </w:p>
    <w:p>
      <w:pPr>
        <w:autoSpaceDN w:val="0"/>
        <w:tabs>
          <w:tab w:pos="654" w:val="left"/>
        </w:tabs>
        <w:autoSpaceDE w:val="0"/>
        <w:widowControl/>
        <w:spacing w:line="245" w:lineRule="auto" w:before="60" w:after="60"/>
        <w:ind w:left="538" w:right="432" w:firstLine="0"/>
        <w:jc w:val="left"/>
      </w:pP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- Transport de l’animal, hébergement du maître et envoi </w:t>
      </w:r>
      <w:r>
        <w:tab/>
      </w: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de médicament en cas d’hospitalisation ou de maladie </w:t>
      </w:r>
    </w:p>
    <w:p>
      <w:pPr>
        <w:sectPr>
          <w:type w:val="nextColumn"/>
          <w:pgSz w:w="11906" w:h="16838"/>
          <w:pgMar w:top="464" w:right="436" w:bottom="30" w:left="456" w:header="720" w:footer="720" w:gutter="0"/>
          <w:cols w:num="2" w:equalWidth="0">
            <w:col w:w="4791" w:space="0"/>
            <w:col w:w="62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1573"/>
        <w:gridCol w:w="1573"/>
        <w:gridCol w:w="1573"/>
        <w:gridCol w:w="1573"/>
        <w:gridCol w:w="1573"/>
        <w:gridCol w:w="1573"/>
        <w:gridCol w:w="1573"/>
      </w:tblGrid>
      <w:tr>
        <w:trPr>
          <w:trHeight w:hRule="exact" w:val="56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651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3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82" w:after="0"/>
              <w:ind w:left="42" w:right="0" w:firstLine="0"/>
              <w:jc w:val="left"/>
            </w:pPr>
            <w:r>
              <w:rPr>
                <w:rFonts w:ascii="BrandingSF" w:hAnsi="BrandingSF" w:eastAsia="BrandingSF"/>
                <w:b/>
                <w:i w:val="0"/>
                <w:color w:val="F3BD24"/>
                <w:sz w:val="28"/>
              </w:rPr>
              <w:t>Exemples de remboursement</w:t>
            </w:r>
          </w:p>
        </w:tc>
        <w:tc>
          <w:tcPr>
            <w:tcW w:type="dxa" w:w="650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1092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>- Aide en cas de disparition de l’animal</w:t>
            </w:r>
          </w:p>
        </w:tc>
      </w:tr>
      <w:tr>
        <w:trPr>
          <w:trHeight w:hRule="exact" w:val="330"/>
        </w:trPr>
        <w:tc>
          <w:tcPr>
            <w:tcW w:type="dxa" w:w="107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22"/>
              </w:rPr>
              <w:t>EXEMPLE DE FRAIS VÉTÉRINAIRES EN CAS DE MALADIE :</w:t>
            </w:r>
          </w:p>
        </w:tc>
      </w:tr>
      <w:tr>
        <w:trPr>
          <w:trHeight w:hRule="exact" w:val="770"/>
        </w:trPr>
        <w:tc>
          <w:tcPr>
            <w:tcW w:type="dxa" w:w="17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90930" cy="4953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930" cy="495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42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>Oscar, 1 an, est un Cavalier King Charles assuré chez Néoliane Chiens &amp; Chats.</w:t>
            </w:r>
          </w:p>
          <w:p>
            <w:pPr>
              <w:autoSpaceDN w:val="0"/>
              <w:autoSpaceDE w:val="0"/>
              <w:widowControl/>
              <w:spacing w:line="245" w:lineRule="auto" w:before="64" w:after="0"/>
              <w:ind w:left="426" w:right="144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 xml:space="preserve">Le propriétaire d’Oscar l’emmène chez le vétérinaire pour soigner une otite, les frais </w:t>
            </w: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 xml:space="preserve">(consultation et médicaments) s’élèvent à 90 €. Il s’agit de la première demande de </w:t>
            </w:r>
          </w:p>
        </w:tc>
      </w:tr>
      <w:tr>
        <w:trPr>
          <w:trHeight w:hRule="exact" w:val="220"/>
        </w:trPr>
        <w:tc>
          <w:tcPr>
            <w:tcW w:type="dxa" w:w="17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2.00000000000003" w:type="dxa"/>
            </w:tblPr>
            <w:tblGrid>
              <w:gridCol w:w="1732"/>
            </w:tblGrid>
            <w:tr>
              <w:trPr>
                <w:trHeight w:hRule="exact" w:val="214"/>
              </w:trPr>
              <w:tc>
                <w:tcPr>
                  <w:tcW w:type="dxa" w:w="1680"/>
                  <w:tcBorders/>
                  <w:shd w:fill="f3bd2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28" w:lineRule="exact" w:before="6" w:after="0"/>
                    <w:ind w:left="0" w:right="0" w:firstLine="0"/>
                    <w:jc w:val="center"/>
                  </w:pPr>
                  <w:r>
                    <w:rPr>
                      <w:rFonts w:ascii="BrandingSF" w:hAnsi="BrandingSF" w:eastAsia="BrandingSF"/>
                      <w:b/>
                      <w:i w:val="0"/>
                      <w:color w:val="FFFFFF"/>
                      <w:sz w:val="20"/>
                    </w:rPr>
                    <w:t>OSCAR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00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42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>remboursement de l’année auprès de Néoliane Santé.</w:t>
            </w:r>
          </w:p>
        </w:tc>
      </w:tr>
      <w:tr>
        <w:trPr>
          <w:trHeight w:hRule="exact" w:val="200"/>
        </w:trPr>
        <w:tc>
          <w:tcPr>
            <w:tcW w:type="dxa" w:w="107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2158" w:right="0" w:firstLine="0"/>
              <w:jc w:val="left"/>
            </w:pPr>
            <w:r>
              <w:rPr>
                <w:rFonts w:ascii="Montserrat" w:hAnsi="Montserrat" w:eastAsia="Montserrat"/>
                <w:b w:val="0"/>
                <w:i/>
                <w:color w:val="575756"/>
                <w:sz w:val="17"/>
              </w:rPr>
              <w:t xml:space="preserve">*A noter : la franchise n’est appliquée qu’une seule fois par année d’assurance quel que soit le </w:t>
            </w:r>
          </w:p>
        </w:tc>
      </w:tr>
      <w:tr>
        <w:trPr>
          <w:trHeight w:hRule="exact" w:val="616"/>
        </w:trPr>
        <w:tc>
          <w:tcPr>
            <w:tcW w:type="dxa" w:w="19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12" w:after="0"/>
              <w:ind w:left="0" w:right="144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F3BD24"/>
                <w:sz w:val="16"/>
              </w:rPr>
              <w:t xml:space="preserve">BASE DE </w:t>
            </w:r>
            <w:r>
              <w:br/>
            </w:r>
            <w:r>
              <w:rPr>
                <w:rFonts w:ascii="Montserrat" w:hAnsi="Montserrat" w:eastAsia="Montserrat"/>
                <w:b/>
                <w:i w:val="0"/>
                <w:color w:val="F3BD24"/>
                <w:sz w:val="16"/>
              </w:rPr>
              <w:t xml:space="preserve">REMBOURSEMENT </w:t>
            </w:r>
            <w:r>
              <w:rPr>
                <w:rFonts w:ascii="Montserrat" w:hAnsi="Montserrat" w:eastAsia="Montserrat"/>
                <w:b/>
                <w:i w:val="0"/>
                <w:color w:val="F3BD24"/>
                <w:sz w:val="16"/>
              </w:rPr>
              <w:t>=</w:t>
            </w:r>
            <w:r>
              <w:rPr>
                <w:rFonts w:ascii="Montserrat" w:hAnsi="Montserrat" w:eastAsia="Montserrat"/>
                <w:b w:val="0"/>
                <w:i w:val="0"/>
                <w:color w:val="F3BD24"/>
                <w:sz w:val="16"/>
              </w:rPr>
              <w:t xml:space="preserve"> TOTAL DES FRAIS </w:t>
            </w:r>
          </w:p>
        </w:tc>
        <w:tc>
          <w:tcPr>
            <w:tcW w:type="dxa" w:w="87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198" w:right="0" w:firstLine="0"/>
              <w:jc w:val="left"/>
            </w:pPr>
            <w:r>
              <w:rPr>
                <w:rFonts w:ascii="Montserrat" w:hAnsi="Montserrat" w:eastAsia="Montserrat"/>
                <w:b w:val="0"/>
                <w:i/>
                <w:color w:val="575756"/>
                <w:sz w:val="17"/>
              </w:rPr>
              <w:t>nombre d’actes en cas de maladie ou d’accident.</w:t>
            </w:r>
          </w:p>
          <w:p>
            <w:pPr>
              <w:autoSpaceDN w:val="0"/>
              <w:autoSpaceDE w:val="0"/>
              <w:widowControl/>
              <w:spacing w:line="235" w:lineRule="auto" w:before="170" w:after="0"/>
              <w:ind w:left="198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9"/>
              </w:rPr>
              <w:t>MONTANT DE REMBOURSEMENT D’OSCAR POUR CETTE PREMIERE CONSULTATION</w:t>
            </w:r>
          </w:p>
        </w:tc>
      </w:tr>
      <w:tr>
        <w:trPr>
          <w:trHeight w:hRule="exact" w:val="184"/>
        </w:trPr>
        <w:tc>
          <w:tcPr>
            <w:tcW w:type="dxa" w:w="1074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52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F3BD24"/>
                <w:sz w:val="16"/>
              </w:rPr>
              <w:t xml:space="preserve">ENGAGÉS </w:t>
            </w:r>
          </w:p>
        </w:tc>
      </w:tr>
      <w:tr>
        <w:trPr>
          <w:trHeight w:hRule="exact" w:val="213"/>
        </w:trPr>
        <w:tc>
          <w:tcPr>
            <w:tcW w:type="dxa" w:w="17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238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F3BD24"/>
                <w:sz w:val="16"/>
              </w:rPr>
              <w:t xml:space="preserve">GARANTIS POUR </w:t>
            </w:r>
          </w:p>
        </w:tc>
        <w:tc>
          <w:tcPr>
            <w:tcW w:type="dxa" w:w="446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964" w:firstLine="0"/>
              <w:jc w:val="right"/>
            </w:pPr>
            <w:r>
              <w:rPr>
                <w:rFonts w:ascii="BrandingSF" w:hAnsi="BrandingSF" w:eastAsia="BrandingSF"/>
                <w:b/>
                <w:i w:val="0"/>
                <w:color w:val="4A4A49"/>
                <w:sz w:val="18"/>
              </w:rPr>
              <w:t xml:space="preserve">Formule CONFORT+ 75% </w:t>
            </w:r>
          </w:p>
        </w:tc>
        <w:tc>
          <w:tcPr>
            <w:tcW w:type="dxa" w:w="45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0" w:right="1628" w:firstLine="0"/>
              <w:jc w:val="right"/>
            </w:pPr>
            <w:r>
              <w:rPr>
                <w:rFonts w:ascii="BrandingSF" w:hAnsi="BrandingSF" w:eastAsia="BrandingSF"/>
                <w:b/>
                <w:i w:val="0"/>
                <w:color w:val="4A4A49"/>
                <w:sz w:val="18"/>
              </w:rPr>
              <w:t>Formule ÉCO+ 50%</w:t>
            </w:r>
          </w:p>
        </w:tc>
      </w:tr>
      <w:tr>
        <w:trPr>
          <w:trHeight w:hRule="exact" w:val="181"/>
        </w:trPr>
        <w:tc>
          <w:tcPr>
            <w:tcW w:type="dxa" w:w="173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0" w:after="0"/>
              <w:ind w:left="212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F3BD24"/>
                <w:sz w:val="16"/>
              </w:rPr>
              <w:t xml:space="preserve">CETTE PREMIÈRE </w:t>
            </w:r>
          </w:p>
        </w:tc>
        <w:tc>
          <w:tcPr>
            <w:tcW w:type="dxa" w:w="446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1058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4A4A49"/>
                <w:sz w:val="16"/>
              </w:rPr>
              <w:t>(Franchise 1er remboursement 25 €)</w:t>
            </w:r>
          </w:p>
        </w:tc>
        <w:tc>
          <w:tcPr>
            <w:tcW w:type="dxa" w:w="45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0" w:after="0"/>
              <w:ind w:left="734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4A4A49"/>
                <w:sz w:val="16"/>
              </w:rPr>
              <w:t>(Franchise 1er remboursement 10 €)</w:t>
            </w:r>
          </w:p>
        </w:tc>
      </w:tr>
      <w:tr>
        <w:trPr>
          <w:trHeight w:hRule="exact" w:val="311"/>
        </w:trPr>
        <w:tc>
          <w:tcPr>
            <w:tcW w:type="dxa" w:w="17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0" w:after="0"/>
              <w:ind w:left="144" w:right="0" w:firstLine="0"/>
              <w:jc w:val="center"/>
            </w:pPr>
            <w:r>
              <w:rPr>
                <w:rFonts w:ascii="Montserrat" w:hAnsi="Montserrat" w:eastAsia="Montserrat"/>
                <w:b w:val="0"/>
                <w:i w:val="0"/>
                <w:color w:val="F3BD24"/>
                <w:sz w:val="16"/>
              </w:rPr>
              <w:t xml:space="preserve">CONSULTATION </w:t>
            </w:r>
            <w:r>
              <w:rPr>
                <w:rFonts w:ascii="Montserrat" w:hAnsi="Montserrat" w:eastAsia="Montserrat"/>
                <w:b/>
                <w:i w:val="0"/>
                <w:color w:val="F3BD24"/>
                <w:sz w:val="16"/>
              </w:rPr>
              <w:t>-</w:t>
            </w:r>
            <w:r>
              <w:rPr>
                <w:rFonts w:ascii="Montserrat" w:hAnsi="Montserrat" w:eastAsia="Montserrat"/>
                <w:b w:val="0"/>
                <w:i w:val="0"/>
                <w:color w:val="F3BD24"/>
                <w:sz w:val="16"/>
              </w:rPr>
              <w:t xml:space="preserve"> FRANCHISE*</w:t>
            </w:r>
          </w:p>
        </w:tc>
        <w:tc>
          <w:tcPr>
            <w:tcW w:type="dxa" w:w="25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4" w:after="0"/>
              <w:ind w:left="0" w:right="494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Remboursement</w:t>
            </w:r>
          </w:p>
        </w:tc>
        <w:tc>
          <w:tcPr>
            <w:tcW w:type="dxa" w:w="19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4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Reste à charge</w:t>
            </w:r>
          </w:p>
        </w:tc>
        <w:tc>
          <w:tcPr>
            <w:tcW w:type="dxa" w:w="17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4" w:after="0"/>
              <w:ind w:left="426" w:right="0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Remboursement</w:t>
            </w:r>
          </w:p>
        </w:tc>
        <w:tc>
          <w:tcPr>
            <w:tcW w:type="dxa" w:w="28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4" w:after="0"/>
              <w:ind w:left="0" w:right="1170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Reste à charge</w:t>
            </w:r>
          </w:p>
        </w:tc>
      </w:tr>
      <w:tr>
        <w:trPr>
          <w:trHeight w:hRule="exact" w:val="284"/>
        </w:trPr>
        <w:tc>
          <w:tcPr>
            <w:tcW w:type="dxa" w:w="3146"/>
            <w:gridSpan w:val="2"/>
            <w:vMerge/>
            <w:tcBorders/>
          </w:tcPr>
          <w:p/>
        </w:tc>
        <w:tc>
          <w:tcPr>
            <w:tcW w:type="dxa" w:w="250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42" w:after="0"/>
              <w:ind w:left="0" w:right="676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FFFFFF"/>
                <w:sz w:val="16"/>
              </w:rPr>
              <w:t>48,75 €</w:t>
            </w:r>
          </w:p>
        </w:tc>
        <w:tc>
          <w:tcPr>
            <w:tcW w:type="dxa" w:w="1962"/>
            <w:tcBorders/>
            <w:shd w:fill="f3bd23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62"/>
            </w:tblGrid>
            <w:tr>
              <w:trPr>
                <w:trHeight w:hRule="exact" w:val="264"/>
              </w:trPr>
              <w:tc>
                <w:tcPr>
                  <w:tcW w:type="dxa" w:w="1962"/>
                  <w:tcBorders/>
                  <w:shd w:fill="fade9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42" w:after="0"/>
                    <w:ind w:left="0" w:right="0" w:firstLine="0"/>
                    <w:jc w:val="center"/>
                  </w:pPr>
                  <w:r>
                    <w:rPr>
                      <w:rFonts w:ascii="Montserrat" w:hAnsi="Montserrat" w:eastAsia="Montserrat"/>
                      <w:b/>
                      <w:i w:val="0"/>
                      <w:color w:val="FFFFFF"/>
                      <w:sz w:val="16"/>
                    </w:rPr>
                    <w:t>41,25 €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08"/>
            <w:tcBorders/>
            <w:shd w:fill="f3bd2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42" w:after="0"/>
              <w:ind w:left="0" w:right="436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FFFFFF"/>
                <w:sz w:val="16"/>
              </w:rPr>
              <w:t>40,00 €</w:t>
            </w:r>
          </w:p>
        </w:tc>
        <w:tc>
          <w:tcPr>
            <w:tcW w:type="dxa" w:w="2836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836"/>
            </w:tblGrid>
            <w:tr>
              <w:trPr>
                <w:trHeight w:hRule="exact" w:val="264"/>
              </w:trPr>
              <w:tc>
                <w:tcPr>
                  <w:tcW w:type="dxa" w:w="2426"/>
                  <w:tcBorders/>
                  <w:shd w:fill="fade9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42" w:after="0"/>
                    <w:ind w:left="0" w:right="0" w:firstLine="0"/>
                    <w:jc w:val="center"/>
                  </w:pPr>
                  <w:r>
                    <w:rPr>
                      <w:rFonts w:ascii="Montserrat" w:hAnsi="Montserrat" w:eastAsia="Montserrat"/>
                      <w:b/>
                      <w:i w:val="0"/>
                      <w:color w:val="FFFFFF"/>
                      <w:sz w:val="16"/>
                    </w:rPr>
                    <w:t>50,00 €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5" w:lineRule="auto" w:before="114" w:after="66"/>
        <w:ind w:left="2162" w:right="536" w:firstLine="0"/>
        <w:jc w:val="both"/>
      </w:pP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Durant la même année Oscar doit se faire opérer d’un kyste qui nécessite une hospitalisation </w:t>
      </w: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avec anesthésie, opération et prescription de médicaments. Le montant total de ces frais </w:t>
      </w:r>
      <w:r>
        <w:rPr>
          <w:rFonts w:ascii="Montserrat" w:hAnsi="Montserrat" w:eastAsia="Montserrat"/>
          <w:b w:val="0"/>
          <w:i w:val="0"/>
          <w:color w:val="575756"/>
          <w:sz w:val="18"/>
        </w:rPr>
        <w:t>s’élève à 250 €.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62.0" w:type="dxa"/>
      </w:tblPr>
      <w:tblGrid>
        <w:gridCol w:w="2753"/>
        <w:gridCol w:w="2753"/>
        <w:gridCol w:w="2753"/>
        <w:gridCol w:w="2753"/>
      </w:tblGrid>
      <w:tr>
        <w:trPr>
          <w:trHeight w:hRule="exact" w:val="286"/>
        </w:trPr>
        <w:tc>
          <w:tcPr>
            <w:tcW w:type="dxa" w:w="39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896" w:firstLine="0"/>
              <w:jc w:val="right"/>
            </w:pPr>
            <w:r>
              <w:rPr>
                <w:rFonts w:ascii="BrandingSF" w:hAnsi="BrandingSF" w:eastAsia="BrandingSF"/>
                <w:b/>
                <w:i w:val="0"/>
                <w:color w:val="4A4A49"/>
                <w:sz w:val="18"/>
              </w:rPr>
              <w:t xml:space="preserve">Formule CONFORT+ 75% </w:t>
            </w:r>
          </w:p>
        </w:tc>
        <w:tc>
          <w:tcPr>
            <w:tcW w:type="dxa" w:w="41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60" w:after="0"/>
              <w:ind w:left="0" w:right="1206" w:firstLine="0"/>
              <w:jc w:val="right"/>
            </w:pPr>
            <w:r>
              <w:rPr>
                <w:rFonts w:ascii="BrandingSF" w:hAnsi="BrandingSF" w:eastAsia="BrandingSF"/>
                <w:b/>
                <w:i w:val="0"/>
                <w:color w:val="575756"/>
                <w:sz w:val="18"/>
              </w:rPr>
              <w:t>Formule ÉCO+ 50%</w:t>
            </w:r>
          </w:p>
        </w:tc>
      </w:tr>
      <w:tr>
        <w:trPr>
          <w:trHeight w:hRule="exact" w:val="198"/>
        </w:trPr>
        <w:tc>
          <w:tcPr>
            <w:tcW w:type="dxa" w:w="29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Remboursement</w:t>
            </w:r>
          </w:p>
        </w:tc>
        <w:tc>
          <w:tcPr>
            <w:tcW w:type="dxa" w:w="9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Reste à charge</w:t>
            </w:r>
          </w:p>
        </w:tc>
        <w:tc>
          <w:tcPr>
            <w:tcW w:type="dxa" w:w="22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0" w:right="482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Remboursement</w:t>
            </w:r>
          </w:p>
        </w:tc>
        <w:tc>
          <w:tcPr>
            <w:tcW w:type="dxa" w:w="19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Reste à charge</w:t>
            </w:r>
          </w:p>
        </w:tc>
      </w:tr>
      <w:tr>
        <w:trPr>
          <w:trHeight w:hRule="exact" w:val="276"/>
        </w:trPr>
        <w:tc>
          <w:tcPr>
            <w:tcW w:type="dxa" w:w="2978"/>
            <w:tcBorders/>
            <w:shd w:fill="f3bd2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46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FFFFFF"/>
                <w:sz w:val="16"/>
              </w:rPr>
              <w:t>187,50 €</w:t>
            </w:r>
          </w:p>
        </w:tc>
        <w:tc>
          <w:tcPr>
            <w:tcW w:type="dxa" w:w="992"/>
            <w:tcBorders/>
            <w:shd w:fill="f3bd23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92"/>
            </w:tblGrid>
            <w:tr>
              <w:trPr>
                <w:trHeight w:hRule="exact" w:val="256"/>
              </w:trPr>
              <w:tc>
                <w:tcPr>
                  <w:tcW w:type="dxa" w:w="992"/>
                  <w:tcBorders/>
                  <w:shd w:fill="fade9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38" w:after="0"/>
                    <w:ind w:left="0" w:right="0" w:firstLine="0"/>
                    <w:jc w:val="center"/>
                  </w:pPr>
                  <w:r>
                    <w:rPr>
                      <w:rFonts w:ascii="Montserrat" w:hAnsi="Montserrat" w:eastAsia="Montserrat"/>
                      <w:b/>
                      <w:i w:val="0"/>
                      <w:color w:val="FFFFFF"/>
                      <w:sz w:val="16"/>
                    </w:rPr>
                    <w:t>62,50 €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04"/>
            <w:tcBorders/>
            <w:shd w:fill="f3bd2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46" w:after="0"/>
              <w:ind w:left="0" w:right="768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FFFFFF"/>
                <w:sz w:val="16"/>
              </w:rPr>
              <w:t>125 €</w:t>
            </w:r>
          </w:p>
        </w:tc>
        <w:tc>
          <w:tcPr>
            <w:tcW w:type="dxa" w:w="1986"/>
            <w:tcBorders/>
            <w:shd w:fill="f3bd23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86"/>
            </w:tblGrid>
            <w:tr>
              <w:trPr>
                <w:trHeight w:hRule="exact" w:val="256"/>
              </w:trPr>
              <w:tc>
                <w:tcPr>
                  <w:tcW w:type="dxa" w:w="1986"/>
                  <w:tcBorders/>
                  <w:shd w:fill="fade9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46" w:after="0"/>
                    <w:ind w:left="0" w:right="0" w:firstLine="0"/>
                    <w:jc w:val="center"/>
                  </w:pPr>
                  <w:r>
                    <w:rPr>
                      <w:rFonts w:ascii="Montserrat" w:hAnsi="Montserrat" w:eastAsia="Montserrat"/>
                      <w:b/>
                      <w:i w:val="0"/>
                      <w:color w:val="FFFFFF"/>
                      <w:sz w:val="16"/>
                    </w:rPr>
                    <w:t>125,00 €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5" w:lineRule="auto" w:before="234" w:after="20"/>
        <w:ind w:left="2140" w:right="576" w:firstLine="0"/>
        <w:jc w:val="left"/>
      </w:pP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A la fin de l’année le propriétaire d’Oscar l’emmène pour son bilan de santé annuel dont la </w:t>
      </w:r>
      <w:r>
        <w:rPr>
          <w:rFonts w:ascii="Montserrat" w:hAnsi="Montserrat" w:eastAsia="Montserrat"/>
          <w:b w:val="0"/>
          <w:i w:val="0"/>
          <w:color w:val="575756"/>
          <w:sz w:val="18"/>
        </w:rPr>
        <w:t xml:space="preserve">facture s’élève à 45 €.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3.99999999999999" w:type="dxa"/>
      </w:tblPr>
      <w:tblGrid>
        <w:gridCol w:w="2203"/>
        <w:gridCol w:w="2203"/>
        <w:gridCol w:w="2203"/>
        <w:gridCol w:w="2203"/>
        <w:gridCol w:w="2203"/>
      </w:tblGrid>
      <w:tr>
        <w:trPr>
          <w:trHeight w:hRule="exact" w:val="196"/>
        </w:trPr>
        <w:tc>
          <w:tcPr>
            <w:tcW w:type="dxa" w:w="170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6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650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Remboursement</w:t>
            </w:r>
          </w:p>
        </w:tc>
        <w:tc>
          <w:tcPr>
            <w:tcW w:type="dxa" w:w="2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0" w:right="422" w:firstLine="0"/>
              <w:jc w:val="righ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12"/>
              </w:rPr>
              <w:t>Reste à charge</w:t>
            </w:r>
          </w:p>
        </w:tc>
      </w:tr>
      <w:tr>
        <w:trPr>
          <w:trHeight w:hRule="exact" w:val="284"/>
        </w:trPr>
        <w:tc>
          <w:tcPr>
            <w:tcW w:type="dxa" w:w="170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5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" w:after="0"/>
              <w:ind w:left="740" w:right="0" w:firstLine="0"/>
              <w:jc w:val="left"/>
            </w:pPr>
            <w:r>
              <w:rPr>
                <w:rFonts w:ascii="BrandingSF" w:hAnsi="BrandingSF" w:eastAsia="BrandingSF"/>
                <w:b/>
                <w:i w:val="0"/>
                <w:color w:val="575756"/>
                <w:sz w:val="18"/>
              </w:rPr>
              <w:t>Formule CONFORT et CONFORT+</w:t>
            </w:r>
          </w:p>
        </w:tc>
        <w:tc>
          <w:tcPr>
            <w:tcW w:type="dxa" w:w="4416"/>
            <w:gridSpan w:val="2"/>
            <w:tcBorders/>
            <w:shd w:fill="f3bd2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42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FFFFFF"/>
                <w:sz w:val="16"/>
              </w:rPr>
              <w:t>40 €</w:t>
            </w:r>
          </w:p>
        </w:tc>
        <w:tc>
          <w:tcPr>
            <w:tcW w:type="dxa" w:w="952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52"/>
            </w:tblGrid>
            <w:tr>
              <w:trPr>
                <w:trHeight w:hRule="exact" w:val="264"/>
              </w:trPr>
              <w:tc>
                <w:tcPr>
                  <w:tcW w:type="dxa" w:w="530"/>
                  <w:tcBorders/>
                  <w:shd w:fill="fade9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42" w:after="0"/>
                    <w:ind w:left="0" w:right="0" w:firstLine="0"/>
                    <w:jc w:val="center"/>
                  </w:pPr>
                  <w:r>
                    <w:rPr>
                      <w:rFonts w:ascii="Montserrat" w:hAnsi="Montserrat" w:eastAsia="Montserrat"/>
                      <w:b/>
                      <w:i w:val="0"/>
                      <w:color w:val="FFFFFF"/>
                      <w:sz w:val="16"/>
                    </w:rPr>
                    <w:t>5 €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614"/>
        </w:trPr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4" w:after="0"/>
              <w:ind w:left="10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71220" cy="51180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511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266" w:right="0" w:firstLine="0"/>
              <w:jc w:val="left"/>
            </w:pPr>
            <w:r>
              <w:rPr>
                <w:rFonts w:ascii="BrandingSF" w:hAnsi="BrandingSF" w:eastAsia="BrandingSF"/>
                <w:b/>
                <w:i w:val="0"/>
                <w:color w:val="FFFFFF"/>
                <w:sz w:val="20"/>
              </w:rPr>
              <w:t>FRIMOUSSE</w:t>
            </w:r>
          </w:p>
        </w:tc>
        <w:tc>
          <w:tcPr>
            <w:tcW w:type="dxa" w:w="89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260" w:after="0"/>
              <w:ind w:left="246" w:right="288" w:firstLine="0"/>
              <w:jc w:val="left"/>
            </w:pPr>
            <w:r>
              <w:rPr>
                <w:rFonts w:ascii="Montserrat" w:hAnsi="Montserrat" w:eastAsia="Montserrat"/>
                <w:b/>
                <w:i w:val="0"/>
                <w:color w:val="575756"/>
                <w:sz w:val="22"/>
              </w:rPr>
              <w:t xml:space="preserve">EXEMPLE DE FRAIS VÉTÉRINAIRES EN CAS D’ACCIDENT : </w:t>
            </w:r>
            <w:r>
              <w:br/>
            </w: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>Frimousse, 3 ans, est un chat assuré chez Néoliane Chiens &amp; Chats avec la formule Accident.</w:t>
            </w:r>
          </w:p>
          <w:p>
            <w:pPr>
              <w:autoSpaceDN w:val="0"/>
              <w:autoSpaceDE w:val="0"/>
              <w:widowControl/>
              <w:spacing w:line="233" w:lineRule="auto" w:before="104" w:after="0"/>
              <w:ind w:left="246" w:right="0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>En mai, Frimousse fait une mauvaise chute et se casse la patte avant.</w:t>
            </w:r>
          </w:p>
          <w:p>
            <w:pPr>
              <w:autoSpaceDN w:val="0"/>
              <w:autoSpaceDE w:val="0"/>
              <w:widowControl/>
              <w:spacing w:line="245" w:lineRule="auto" w:before="4" w:after="0"/>
              <w:ind w:left="246" w:right="144" w:firstLine="0"/>
              <w:jc w:val="left"/>
            </w:pP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 xml:space="preserve">Le montant total des frais engagés pour le soigner (consultation, radiologie, anesthésie, </w:t>
            </w:r>
            <w:r>
              <w:rPr>
                <w:rFonts w:ascii="Montserrat" w:hAnsi="Montserrat" w:eastAsia="Montserrat"/>
                <w:b w:val="0"/>
                <w:i w:val="0"/>
                <w:color w:val="575756"/>
                <w:sz w:val="18"/>
              </w:rPr>
              <w:t xml:space="preserve">opération, injection, hospitalisation, prescription de médicaments) s’élève à </w:t>
            </w:r>
            <w:r>
              <w:rPr>
                <w:rFonts w:ascii="Montserrat" w:hAnsi="Montserrat" w:eastAsia="Montserrat"/>
                <w:b/>
                <w:i w:val="0"/>
                <w:color w:val="F3BD24"/>
                <w:sz w:val="18"/>
              </w:rPr>
              <w:t>700 €</w:t>
            </w:r>
            <w:r>
              <w:rPr>
                <w:rFonts w:ascii="Montserrat" w:hAnsi="Montserrat" w:eastAsia="Montserrat"/>
                <w:b w:val="0"/>
                <w:i w:val="0"/>
                <w:color w:val="000000"/>
                <w:sz w:val="18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45" w:lineRule="auto" w:before="146" w:after="152"/>
        <w:ind w:left="2050" w:right="1008" w:firstLine="0"/>
        <w:jc w:val="left"/>
      </w:pPr>
      <w:r>
        <w:rPr>
          <w:rFonts w:ascii="Montserrat" w:hAnsi="Montserrat" w:eastAsia="Montserrat"/>
          <w:b/>
          <w:i w:val="0"/>
          <w:color w:val="575756"/>
          <w:sz w:val="19"/>
        </w:rPr>
        <w:t xml:space="preserve">LE REMBOURSEMENT S’EFFECTUE À 100% DES FRAIS ENGAGÉS UNIQUEMENT EN </w:t>
      </w:r>
      <w:r>
        <w:rPr>
          <w:rFonts w:ascii="Montserrat" w:hAnsi="Montserrat" w:eastAsia="Montserrat"/>
          <w:b/>
          <w:i w:val="0"/>
          <w:color w:val="575756"/>
          <w:sz w:val="19"/>
        </w:rPr>
        <w:t>CAS D’ACCIDENT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4.0" w:type="dxa"/>
      </w:tblPr>
      <w:tblGrid>
        <w:gridCol w:w="5507"/>
        <w:gridCol w:w="5507"/>
      </w:tblGrid>
      <w:tr>
        <w:trPr>
          <w:trHeight w:hRule="exact" w:val="284"/>
        </w:trPr>
        <w:tc>
          <w:tcPr>
            <w:tcW w:type="dxa" w:w="42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2" w:after="0"/>
              <w:ind w:left="1026" w:right="0" w:firstLine="0"/>
              <w:jc w:val="left"/>
            </w:pPr>
            <w:r>
              <w:rPr>
                <w:rFonts w:ascii="HelveticaNeueLTStd" w:hAnsi="HelveticaNeueLTStd" w:eastAsia="HelveticaNeueLTStd"/>
                <w:b/>
                <w:i w:val="0"/>
                <w:color w:val="454444"/>
                <w:sz w:val="18"/>
              </w:rPr>
              <w:t>Formule ACCIDENT 100%</w:t>
            </w:r>
            <w:r>
              <w:rPr>
                <w:rFonts w:ascii="HelveticaNeueLTStd" w:hAnsi="HelveticaNeueLTStd" w:eastAsia="HelveticaNeueLTStd"/>
                <w:b w:val="0"/>
                <w:i w:val="0"/>
                <w:color w:val="454444"/>
                <w:sz w:val="18"/>
              </w:rPr>
              <w:t xml:space="preserve"> (aucune franchise) </w:t>
            </w:r>
          </w:p>
        </w:tc>
        <w:tc>
          <w:tcPr>
            <w:tcW w:type="dxa" w:w="4126"/>
            <w:tcBorders/>
            <w:shd w:fill="f3bd2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42" w:after="0"/>
              <w:ind w:left="0" w:right="0" w:firstLine="0"/>
              <w:jc w:val="center"/>
            </w:pPr>
            <w:r>
              <w:rPr>
                <w:rFonts w:ascii="Montserrat" w:hAnsi="Montserrat" w:eastAsia="Montserrat"/>
                <w:b/>
                <w:i w:val="0"/>
                <w:color w:val="FFFFFF"/>
                <w:sz w:val="16"/>
              </w:rPr>
              <w:t>700 €</w:t>
            </w:r>
          </w:p>
        </w:tc>
      </w:tr>
    </w:tbl>
    <w:p>
      <w:pPr>
        <w:autoSpaceDN w:val="0"/>
        <w:tabs>
          <w:tab w:pos="7048" w:val="left"/>
        </w:tabs>
        <w:autoSpaceDE w:val="0"/>
        <w:widowControl/>
        <w:spacing w:line="250" w:lineRule="auto" w:before="166" w:after="0"/>
        <w:ind w:left="2050" w:right="144" w:firstLine="0"/>
        <w:jc w:val="left"/>
      </w:pP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Avec la formule Accident de Néoliane Chiens &amp; Chats, les frais engagés en cas d’accident </w:t>
      </w: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sont pris en charge à hauteur de 100% et sans franchise. Ainsi, le maître de Frimousse a été </w:t>
      </w:r>
      <w:r>
        <w:rPr>
          <w:rFonts w:ascii="Montserrat" w:hAnsi="Montserrat" w:eastAsia="Montserrat"/>
          <w:b w:val="0"/>
          <w:i w:val="0"/>
          <w:color w:val="525251"/>
          <w:sz w:val="18"/>
        </w:rPr>
        <w:t xml:space="preserve">remboursé intégralement des frais engagés </w:t>
      </w:r>
      <w:r>
        <w:rPr>
          <w:rFonts w:ascii="Montserrat" w:hAnsi="Montserrat" w:eastAsia="Montserrat"/>
          <w:b w:val="0"/>
          <w:i/>
          <w:color w:val="646363"/>
          <w:sz w:val="8"/>
        </w:rPr>
        <w:t xml:space="preserve">*Ces exemples de soins sont donnés à titre indicatif, les tarifs peuvent varier selon le vétérinaire </w:t>
      </w:r>
      <w:r>
        <w:rPr>
          <w:rFonts w:ascii="Montserrat" w:hAnsi="Montserrat" w:eastAsia="Montserrat"/>
          <w:b w:val="0"/>
          <w:i/>
          <w:color w:val="646363"/>
          <w:sz w:val="8"/>
        </w:rPr>
        <w:t>consulté et la région.</w:t>
      </w:r>
    </w:p>
    <w:p>
      <w:pPr>
        <w:autoSpaceDN w:val="0"/>
        <w:autoSpaceDE w:val="0"/>
        <w:widowControl/>
        <w:spacing w:line="247" w:lineRule="auto" w:before="56" w:after="0"/>
        <w:ind w:left="0" w:right="0" w:firstLine="0"/>
        <w:jc w:val="center"/>
      </w:pPr>
      <w:r>
        <w:rPr>
          <w:rFonts w:ascii="Montserrat" w:hAnsi="Montserrat" w:eastAsia="Montserrat"/>
          <w:b w:val="0"/>
          <w:i w:val="0"/>
          <w:color w:val="575756"/>
          <w:sz w:val="8"/>
        </w:rPr>
        <w:t xml:space="preserve">Produit distribué par </w:t>
      </w:r>
      <w:r>
        <w:rPr>
          <w:rFonts w:ascii="Montserrat" w:hAnsi="Montserrat" w:eastAsia="Montserrat"/>
          <w:b/>
          <w:i w:val="0"/>
          <w:color w:val="575756"/>
          <w:sz w:val="8"/>
        </w:rPr>
        <w:t>NÉOLIANE SANTÉ</w:t>
      </w:r>
      <w:r>
        <w:rPr>
          <w:rFonts w:ascii="Montserrat" w:hAnsi="Montserrat" w:eastAsia="Montserrat"/>
          <w:b w:val="0"/>
          <w:i w:val="0"/>
          <w:color w:val="575756"/>
          <w:sz w:val="8"/>
        </w:rPr>
        <w:t xml:space="preserve"> – 143 Boulevard René Cassin - Immeuble Nouvel'R - Bat.C - 06200 NICE – SAS au capital de 2 000 000 € – Immatriculée au Registre du Commerce et des Sociétés de NICE sous le n° B 510 204 274 – Intermédiaire en assurances – </w:t>
      </w:r>
      <w:r>
        <w:rPr>
          <w:rFonts w:ascii="Montserrat" w:hAnsi="Montserrat" w:eastAsia="Montserrat"/>
          <w:b w:val="0"/>
          <w:i w:val="0"/>
          <w:color w:val="575756"/>
          <w:sz w:val="8"/>
        </w:rPr>
        <w:t>Immatriculé à l’Orias sous le n° 09 050 488 (www.orias.fr).</w:t>
      </w: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center"/>
      </w:pPr>
      <w:r>
        <w:rPr>
          <w:rFonts w:ascii="Montserrat" w:hAnsi="Montserrat" w:eastAsia="Montserrat"/>
          <w:b w:val="0"/>
          <w:i w:val="0"/>
          <w:color w:val="575756"/>
          <w:sz w:val="8"/>
        </w:rPr>
        <w:t xml:space="preserve">Produit assuré par </w:t>
      </w:r>
      <w:r>
        <w:rPr>
          <w:rFonts w:ascii="Montserrat" w:hAnsi="Montserrat" w:eastAsia="Montserrat"/>
          <w:b/>
          <w:i w:val="0"/>
          <w:color w:val="575756"/>
          <w:sz w:val="8"/>
        </w:rPr>
        <w:t>L’ÉQUITÉ</w:t>
      </w:r>
      <w:r>
        <w:rPr>
          <w:rFonts w:ascii="Montserrat" w:hAnsi="Montserrat" w:eastAsia="Montserrat"/>
          <w:b w:val="0"/>
          <w:i w:val="0"/>
          <w:color w:val="575756"/>
          <w:sz w:val="8"/>
        </w:rPr>
        <w:t xml:space="preserve"> – Société anonyme au capital de 69 213 760 euros - Entreprise régie par le Code des assurances – 572 084 697 RCS PARIS - Siège social : 2 rue Pillet-Will 75009 PARIS - N° d’identifiant unique ADEME FR232327_03PBRV - Société appartenant au </w:t>
      </w:r>
      <w:r>
        <w:rPr>
          <w:rFonts w:ascii="Montserrat" w:hAnsi="Montserrat" w:eastAsia="Montserrat"/>
          <w:b w:val="0"/>
          <w:i w:val="0"/>
          <w:color w:val="575756"/>
          <w:sz w:val="8"/>
        </w:rPr>
        <w:t xml:space="preserve">Groupe Generali immatriculé sur le registre italien des groupes d’assurances sous le numéro 026 </w:t>
      </w:r>
      <w:r>
        <w:br/>
      </w:r>
      <w:r>
        <w:rPr>
          <w:rFonts w:ascii="Montserrat" w:hAnsi="Montserrat" w:eastAsia="Montserrat"/>
          <w:b w:val="0"/>
          <w:i w:val="0"/>
          <w:color w:val="575756"/>
          <w:sz w:val="8"/>
        </w:rPr>
        <w:t xml:space="preserve">Assistance du produit : </w:t>
      </w:r>
      <w:r>
        <w:rPr>
          <w:rFonts w:ascii="Montserrat" w:hAnsi="Montserrat" w:eastAsia="Montserrat"/>
          <w:b/>
          <w:i w:val="0"/>
          <w:color w:val="575756"/>
          <w:sz w:val="8"/>
        </w:rPr>
        <w:t>FILASSISTANCE INTERNATIONAL -</w:t>
      </w:r>
      <w:r>
        <w:rPr>
          <w:rFonts w:ascii="Montserrat" w:hAnsi="Montserrat" w:eastAsia="Montserrat"/>
          <w:b w:val="0"/>
          <w:i w:val="0"/>
          <w:color w:val="575756"/>
          <w:sz w:val="8"/>
        </w:rPr>
        <w:t xml:space="preserve"> 108 Bureaux de la Colline - 92213 SAINT-CLOUD Cedex – SA au capital de 4 100 000 € – RCS Nanterre 433 012 689 – Entreprise régie par le Code des Assurances – N° d’identifiant unique ADEME : FR329780_01LOPR.</w:t>
      </w:r>
    </w:p>
    <w:p>
      <w:pPr>
        <w:autoSpaceDN w:val="0"/>
        <w:autoSpaceDE w:val="0"/>
        <w:widowControl/>
        <w:spacing w:line="257" w:lineRule="auto" w:before="0" w:after="0"/>
        <w:ind w:left="0" w:right="0" w:firstLine="0"/>
        <w:jc w:val="center"/>
      </w:pPr>
      <w:r>
        <w:rPr>
          <w:rFonts w:ascii="Montserrat" w:hAnsi="Montserrat" w:eastAsia="Montserrat"/>
          <w:b w:val="0"/>
          <w:i w:val="0"/>
          <w:color w:val="575756"/>
          <w:sz w:val="8"/>
        </w:rPr>
        <w:t>Sociétés soumises au contrôle de l’ACPR – 4 place de Budapest - CS 92459 - 75436 Paris Cedex 09</w:t>
      </w:r>
    </w:p>
    <w:sectPr w:rsidR="00FC693F" w:rsidRPr="0006063C" w:rsidSect="00034616">
      <w:type w:val="continuous"/>
      <w:pgSz w:w="11906" w:h="16838"/>
      <w:pgMar w:top="464" w:right="436" w:bottom="30" w:left="45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