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2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6089650</wp:posOffset>
            </wp:positionH>
            <wp:positionV relativeFrom="page">
              <wp:posOffset>7876540</wp:posOffset>
            </wp:positionV>
            <wp:extent cx="226060" cy="265244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2652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3035300</wp:posOffset>
            </wp:positionV>
            <wp:extent cx="2755900" cy="754849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75484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-13970</wp:posOffset>
            </wp:positionH>
            <wp:positionV relativeFrom="page">
              <wp:posOffset>525780</wp:posOffset>
            </wp:positionV>
            <wp:extent cx="7586980" cy="242144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24214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533400</wp:posOffset>
            </wp:positionV>
            <wp:extent cx="7569200" cy="240231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24023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292100</wp:posOffset>
            </wp:positionV>
            <wp:extent cx="38100" cy="63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</wp:posOffset>
            </wp:positionH>
            <wp:positionV relativeFrom="page">
              <wp:posOffset>44450</wp:posOffset>
            </wp:positionV>
            <wp:extent cx="1515110" cy="44508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44508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6" w:lineRule="auto" w:before="0" w:after="0"/>
        <w:ind w:left="0" w:right="174" w:firstLine="0"/>
        <w:jc w:val="right"/>
      </w:pPr>
      <w:r>
        <w:rPr>
          <w:rFonts w:ascii="Roboto" w:hAnsi="Roboto" w:eastAsia="Roboto"/>
          <w:b w:val="0"/>
          <w:i w:val="0"/>
          <w:color w:val="12375E"/>
          <w:sz w:val="28"/>
        </w:rPr>
        <w:t>www.ugipassurances.fr</w:t>
      </w:r>
    </w:p>
    <w:p>
      <w:pPr>
        <w:autoSpaceDN w:val="0"/>
        <w:autoSpaceDE w:val="0"/>
        <w:widowControl/>
        <w:spacing w:line="264" w:lineRule="auto" w:before="1874" w:after="0"/>
        <w:ind w:left="0" w:right="1512" w:firstLine="0"/>
        <w:jc w:val="right"/>
      </w:pPr>
      <w:r>
        <w:rPr>
          <w:rFonts w:ascii="Roboto" w:hAnsi="Roboto" w:eastAsia="Roboto"/>
          <w:b/>
          <w:i w:val="0"/>
          <w:color w:val="FFFFFF"/>
          <w:sz w:val="40"/>
        </w:rPr>
        <w:t xml:space="preserve">Assurance de Prêt </w:t>
      </w:r>
    </w:p>
    <w:p>
      <w:pPr>
        <w:autoSpaceDN w:val="0"/>
        <w:autoSpaceDE w:val="0"/>
        <w:widowControl/>
        <w:spacing w:line="264" w:lineRule="auto" w:before="186" w:after="0"/>
        <w:ind w:left="0" w:right="544" w:firstLine="0"/>
        <w:jc w:val="right"/>
      </w:pPr>
      <w:r>
        <w:rPr>
          <w:rFonts w:ascii="Roboto" w:hAnsi="Roboto" w:eastAsia="Roboto"/>
          <w:b w:val="0"/>
          <w:i w:val="0"/>
          <w:color w:val="FFFFFF"/>
          <w:sz w:val="46"/>
        </w:rPr>
        <w:t xml:space="preserve">UGIP </w:t>
      </w:r>
      <w:r>
        <w:rPr>
          <w:rFonts w:ascii="Roboto" w:hAnsi="Roboto" w:eastAsia="Roboto"/>
          <w:b/>
          <w:i w:val="0"/>
          <w:color w:val="FFFFFF"/>
          <w:sz w:val="46"/>
        </w:rPr>
        <w:t>GLOBAL+ CI N°4057</w:t>
      </w:r>
    </w:p>
    <w:p>
      <w:pPr>
        <w:autoSpaceDN w:val="0"/>
        <w:autoSpaceDE w:val="0"/>
        <w:widowControl/>
        <w:spacing w:line="264" w:lineRule="auto" w:before="1124" w:after="240"/>
        <w:ind w:left="386" w:right="0" w:firstLine="0"/>
        <w:jc w:val="left"/>
      </w:pPr>
      <w:r>
        <w:rPr>
          <w:rFonts w:ascii="Roboto" w:hAnsi="Roboto" w:eastAsia="Roboto"/>
          <w:b w:val="0"/>
          <w:i w:val="0"/>
          <w:color w:val="11395E"/>
          <w:sz w:val="50"/>
        </w:rPr>
        <w:t xml:space="preserve">Les Points Forts </w:t>
      </w:r>
    </w:p>
    <w:p>
      <w:pPr>
        <w:sectPr>
          <w:pgSz w:w="11906" w:h="16838"/>
          <w:pgMar w:top="126" w:right="74" w:bottom="26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386" w:right="0" w:firstLine="0"/>
        <w:jc w:val="left"/>
      </w:pPr>
      <w:r>
        <w:rPr>
          <w:rFonts w:ascii="Roboto" w:hAnsi="Roboto" w:eastAsia="Roboto"/>
          <w:b w:val="0"/>
          <w:i w:val="0"/>
          <w:color w:val="11395E"/>
          <w:sz w:val="28"/>
        </w:rPr>
        <w:t>Calcul de la cotisation annuelle sur le capital initial !</w:t>
      </w:r>
    </w:p>
    <w:p>
      <w:pPr>
        <w:sectPr>
          <w:type w:val="continuous"/>
          <w:pgSz w:w="11906" w:h="16838"/>
          <w:pgMar w:top="126" w:right="74" w:bottom="26" w:left="0" w:header="720" w:footer="720" w:gutter="0"/>
          <w:cols w:num="2" w:equalWidth="0">
            <w:col w:w="7592" w:space="0"/>
            <w:col w:w="4240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24"/>
        <w:ind w:left="658" w:right="0" w:firstLine="0"/>
        <w:jc w:val="left"/>
      </w:pPr>
      <w:r>
        <w:rPr>
          <w:rFonts w:ascii="Roboto" w:hAnsi="Roboto" w:eastAsia="Roboto"/>
          <w:b/>
          <w:i w:val="0"/>
          <w:color w:val="FFFFFF"/>
          <w:sz w:val="28"/>
        </w:rPr>
        <w:t xml:space="preserve">Une souscription rapide </w:t>
      </w:r>
    </w:p>
    <w:p>
      <w:pPr>
        <w:sectPr>
          <w:type w:val="nextColumn"/>
          <w:pgSz w:w="11906" w:h="16838"/>
          <w:pgMar w:top="126" w:right="74" w:bottom="26" w:left="0" w:header="720" w:footer="720" w:gutter="0"/>
          <w:cols w:num="2" w:equalWidth="0">
            <w:col w:w="7592" w:space="0"/>
            <w:col w:w="424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3944"/>
        <w:gridCol w:w="3944"/>
        <w:gridCol w:w="3944"/>
      </w:tblGrid>
      <w:tr>
        <w:trPr>
          <w:trHeight w:hRule="exact" w:val="326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6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5580" cy="17907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790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84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4"/>
              </w:rPr>
              <w:t xml:space="preserve">Un contrat adapté aux expatriés : Extension territoriale en </w:t>
            </w:r>
          </w:p>
        </w:tc>
        <w:tc>
          <w:tcPr>
            <w:tcW w:type="dxa" w:w="4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" w:after="0"/>
              <w:ind w:left="54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32"/>
              </w:rPr>
              <w:t xml:space="preserve">avec l’adhésion en ligne ! </w:t>
            </w:r>
          </w:p>
        </w:tc>
      </w:tr>
      <w:tr>
        <w:trPr>
          <w:trHeight w:hRule="exact" w:val="496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6" w:after="0"/>
              <w:ind w:left="0" w:right="6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5580" cy="17906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790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4" w:after="0"/>
              <w:ind w:left="84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4"/>
              </w:rPr>
              <w:t>Décés, P.T.I.A., I.T.T. et I.P.T. aux pays frontaliers.</w:t>
            </w:r>
          </w:p>
        </w:tc>
        <w:tc>
          <w:tcPr>
            <w:tcW w:type="dxa" w:w="3944"/>
            <w:vMerge/>
            <w:tcBorders/>
          </w:tcPr>
          <w:p/>
        </w:tc>
      </w:tr>
      <w:tr>
        <w:trPr>
          <w:trHeight w:hRule="exact" w:val="498"/>
        </w:trPr>
        <w:tc>
          <w:tcPr>
            <w:tcW w:type="dxa" w:w="3944"/>
            <w:vMerge/>
            <w:tcBorders/>
          </w:tcPr>
          <w:p/>
        </w:tc>
        <w:tc>
          <w:tcPr>
            <w:tcW w:type="dxa" w:w="6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44" w:after="0"/>
              <w:ind w:left="84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4"/>
              </w:rPr>
              <w:t xml:space="preserve">Garanties I.T.T. et I.P.T. accordées aux assurés n’exerçant </w:t>
            </w:r>
          </w:p>
        </w:tc>
        <w:tc>
          <w:tcPr>
            <w:tcW w:type="dxa" w:w="394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6" w:lineRule="auto" w:before="6" w:after="0"/>
        <w:ind w:left="864" w:right="0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4"/>
        </w:rPr>
        <w:t xml:space="preserve">pas d’activité y compris résidant dans les D.R.O.M., C.O.M. </w:t>
      </w:r>
    </w:p>
    <w:p>
      <w:pPr>
        <w:autoSpaceDN w:val="0"/>
        <w:autoSpaceDE w:val="0"/>
        <w:widowControl/>
        <w:spacing w:line="266" w:lineRule="auto" w:before="40" w:after="154"/>
        <w:ind w:left="864" w:right="0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4"/>
        </w:rPr>
        <w:t xml:space="preserve">ou  P.O.M.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3944"/>
        <w:gridCol w:w="3944"/>
        <w:gridCol w:w="3944"/>
      </w:tblGrid>
      <w:tr>
        <w:trPr>
          <w:trHeight w:hRule="exact" w:val="466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6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5580" cy="17907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790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48" w:after="0"/>
              <w:ind w:left="84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4"/>
              </w:rPr>
              <w:t xml:space="preserve">Irrévocabilité des primes et des garanties. 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60" w:after="0"/>
              <w:ind w:left="0" w:right="162" w:firstLine="0"/>
              <w:jc w:val="right"/>
            </w:pPr>
            <w:r>
              <w:rPr>
                <w:rFonts w:ascii="Roboto" w:hAnsi="Roboto" w:eastAsia="Roboto"/>
                <w:b/>
                <w:i w:val="0"/>
                <w:color w:val="FFFFFF"/>
                <w:sz w:val="30"/>
              </w:rPr>
              <w:t xml:space="preserve">Un grand choix </w:t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30"/>
              </w:rPr>
              <w:t>d’options !</w:t>
            </w:r>
          </w:p>
        </w:tc>
      </w:tr>
      <w:tr>
        <w:trPr>
          <w:trHeight w:hRule="exact" w:val="212"/>
        </w:trPr>
        <w:tc>
          <w:tcPr>
            <w:tcW w:type="dxa" w:w="3944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8" w:after="0"/>
              <w:ind w:left="84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4"/>
              </w:rPr>
              <w:t>Réduction tarifaire I.T.T./I.P.T. pour le locatif.</w:t>
            </w:r>
          </w:p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06" w:after="0"/>
              <w:ind w:left="0" w:right="1694" w:firstLine="0"/>
              <w:jc w:val="right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Option prévoyance</w:t>
            </w:r>
          </w:p>
        </w:tc>
      </w:tr>
      <w:tr>
        <w:trPr>
          <w:trHeight w:hRule="exact" w:val="286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6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5580" cy="17906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790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44"/>
            <w:vMerge/>
            <w:tcBorders/>
          </w:tcPr>
          <w:p/>
        </w:tc>
        <w:tc>
          <w:tcPr>
            <w:tcW w:type="dxa" w:w="3944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944"/>
            <w:vMerge/>
            <w:tcBorders/>
          </w:tcPr>
          <w:p/>
        </w:tc>
        <w:tc>
          <w:tcPr>
            <w:tcW w:type="dxa" w:w="3944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0" w:right="1890" w:firstLine="0"/>
              <w:jc w:val="righ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20"/>
              </w:rPr>
              <w:t xml:space="preserve">adossée à un prêt.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74"/>
        <w:ind w:left="0" w:right="0"/>
      </w:pPr>
    </w:p>
    <w:p>
      <w:pPr>
        <w:sectPr>
          <w:type w:val="continuous"/>
          <w:pgSz w:w="11906" w:h="16838"/>
          <w:pgMar w:top="126" w:right="74" w:bottom="26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386" w:right="0" w:firstLine="0"/>
        <w:jc w:val="left"/>
      </w:pPr>
      <w:r>
        <w:rPr>
          <w:rFonts w:ascii="Roboto" w:hAnsi="Roboto" w:eastAsia="Roboto"/>
          <w:b w:val="0"/>
          <w:i w:val="0"/>
          <w:color w:val="11395E"/>
          <w:sz w:val="28"/>
        </w:rPr>
        <w:t xml:space="preserve">Des formalités médicales allégées </w:t>
      </w:r>
    </w:p>
    <w:p>
      <w:pPr>
        <w:autoSpaceDN w:val="0"/>
        <w:autoSpaceDE w:val="0"/>
        <w:widowControl/>
        <w:spacing w:line="264" w:lineRule="auto" w:before="214" w:after="0"/>
        <w:ind w:left="386" w:right="0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4"/>
        </w:rPr>
        <w:t xml:space="preserve">Questionnaire de Santé Simplifié jusqu’à 500.000€ </w:t>
      </w:r>
    </w:p>
    <w:p>
      <w:pPr>
        <w:autoSpaceDN w:val="0"/>
        <w:autoSpaceDE w:val="0"/>
        <w:widowControl/>
        <w:spacing w:line="264" w:lineRule="auto" w:before="62" w:after="380"/>
        <w:ind w:left="386" w:right="0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4"/>
        </w:rPr>
        <w:t>pour les assurés de moins de 46 ans.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832"/>
      </w:tblGrid>
      <w:tr>
        <w:trPr>
          <w:trHeight w:hRule="exact" w:val="602"/>
        </w:trPr>
        <w:tc>
          <w:tcPr>
            <w:tcW w:type="dxa" w:w="7016"/>
            <w:tcBorders/>
            <w:shd w:fill="d3d8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44" w:after="0"/>
              <w:ind w:left="38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1395E"/>
                <w:sz w:val="30"/>
              </w:rPr>
              <w:t>Les Conditions UGIP GLOBAL+ CI N°4057</w:t>
            </w:r>
          </w:p>
        </w:tc>
      </w:tr>
    </w:tbl>
    <w:p>
      <w:pPr>
        <w:autoSpaceDN w:val="0"/>
        <w:autoSpaceDE w:val="0"/>
        <w:widowControl/>
        <w:spacing w:line="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1832"/>
      </w:tblGrid>
      <w:tr>
        <w:trPr>
          <w:trHeight w:hRule="exact" w:val="442"/>
        </w:trPr>
        <w:tc>
          <w:tcPr>
            <w:tcW w:type="dxa" w:w="5260"/>
            <w:tcBorders/>
            <w:shd w:fill="d3d8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60" w:after="0"/>
              <w:ind w:left="20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1395E"/>
                <w:sz w:val="26"/>
              </w:rPr>
              <w:t xml:space="preserve">Âge limite à l’adhésion : </w:t>
            </w:r>
          </w:p>
        </w:tc>
      </w:tr>
    </w:tbl>
    <w:p>
      <w:pPr>
        <w:autoSpaceDN w:val="0"/>
        <w:autoSpaceDE w:val="0"/>
        <w:widowControl/>
        <w:spacing w:line="278" w:lineRule="auto" w:before="38" w:after="14"/>
        <w:ind w:left="288" w:right="4320" w:firstLine="0"/>
        <w:jc w:val="center"/>
      </w:pPr>
      <w:r>
        <w:rPr>
          <w:rFonts w:ascii="Roboto" w:hAnsi="Roboto" w:eastAsia="Roboto"/>
          <w:b w:val="0"/>
          <w:i w:val="0"/>
          <w:color w:val="545554"/>
          <w:sz w:val="22"/>
        </w:rPr>
        <w:t>Décès :</w:t>
      </w:r>
      <w:r>
        <w:rPr>
          <w:rFonts w:ascii="Roboto" w:hAnsi="Roboto" w:eastAsia="Roboto"/>
          <w:b w:val="0"/>
          <w:i w:val="0"/>
          <w:color w:val="545554"/>
          <w:sz w:val="22"/>
        </w:rPr>
        <w:t xml:space="preserve"> moins de 85 ans </w:t>
      </w:r>
      <w:r>
        <w:br/>
      </w:r>
      <w:r>
        <w:rPr>
          <w:rFonts w:ascii="Roboto" w:hAnsi="Roboto" w:eastAsia="Roboto"/>
          <w:b w:val="0"/>
          <w:i w:val="0"/>
          <w:color w:val="545554"/>
          <w:sz w:val="22"/>
        </w:rPr>
        <w:t>P.T.I.A :</w:t>
      </w:r>
      <w:r>
        <w:rPr>
          <w:rFonts w:ascii="Roboto" w:hAnsi="Roboto" w:eastAsia="Roboto"/>
          <w:b w:val="0"/>
          <w:i w:val="0"/>
          <w:color w:val="545554"/>
          <w:sz w:val="22"/>
        </w:rPr>
        <w:t xml:space="preserve"> moins de 65 ans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1832"/>
      </w:tblGrid>
      <w:tr>
        <w:trPr>
          <w:trHeight w:hRule="exact" w:val="366"/>
        </w:trPr>
        <w:tc>
          <w:tcPr>
            <w:tcW w:type="dxa" w:w="6040"/>
            <w:tcBorders/>
            <w:shd w:fill="d3d8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4" w:after="0"/>
              <w:ind w:left="20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2"/>
              </w:rPr>
              <w:t>Incapacité / Invalidité :</w:t>
            </w:r>
            <w:r>
              <w:rPr>
                <w:rFonts w:ascii="Roboto" w:hAnsi="Roboto" w:eastAsia="Roboto"/>
                <w:b w:val="0"/>
                <w:i w:val="0"/>
                <w:color w:val="545554"/>
                <w:sz w:val="22"/>
              </w:rPr>
              <w:t xml:space="preserve"> moins de 65 ans</w:t>
            </w:r>
          </w:p>
        </w:tc>
      </w:tr>
    </w:tbl>
    <w:p>
      <w:pPr>
        <w:autoSpaceDN w:val="0"/>
        <w:autoSpaceDE w:val="0"/>
        <w:widowControl/>
        <w:spacing w:line="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1832"/>
      </w:tblGrid>
      <w:tr>
        <w:trPr>
          <w:trHeight w:hRule="exact" w:val="444"/>
        </w:trPr>
        <w:tc>
          <w:tcPr>
            <w:tcW w:type="dxa" w:w="5360"/>
            <w:tcBorders/>
            <w:shd w:fill="d3d8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60" w:after="0"/>
              <w:ind w:left="20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1395E"/>
                <w:sz w:val="26"/>
              </w:rPr>
              <w:t xml:space="preserve">Âge limite des garanties : </w:t>
            </w:r>
          </w:p>
        </w:tc>
      </w:tr>
    </w:tbl>
    <w:p>
      <w:pPr>
        <w:autoSpaceDN w:val="0"/>
        <w:autoSpaceDE w:val="0"/>
        <w:widowControl/>
        <w:spacing w:line="266" w:lineRule="auto" w:before="36" w:after="0"/>
        <w:ind w:left="386" w:right="0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2"/>
        </w:rPr>
        <w:t>Décès :</w:t>
      </w:r>
      <w:r>
        <w:rPr>
          <w:rFonts w:ascii="Roboto" w:hAnsi="Roboto" w:eastAsia="Roboto"/>
          <w:b w:val="0"/>
          <w:i w:val="0"/>
          <w:color w:val="545554"/>
          <w:sz w:val="22"/>
        </w:rPr>
        <w:t xml:space="preserve"> 90 ème anniversaire de l’assuré. </w:t>
      </w:r>
    </w:p>
    <w:p>
      <w:pPr>
        <w:autoSpaceDN w:val="0"/>
        <w:autoSpaceDE w:val="0"/>
        <w:widowControl/>
        <w:spacing w:line="278" w:lineRule="auto" w:before="28" w:after="4"/>
        <w:ind w:left="386" w:right="1584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2"/>
        </w:rPr>
        <w:t>P.T.I.A toutes causes :</w:t>
      </w:r>
      <w:r>
        <w:rPr>
          <w:rFonts w:ascii="Roboto" w:hAnsi="Roboto" w:eastAsia="Roboto"/>
          <w:b w:val="0"/>
          <w:i w:val="0"/>
          <w:color w:val="545554"/>
          <w:sz w:val="22"/>
        </w:rPr>
        <w:t xml:space="preserve"> 70 ème anniversaire de l’assuré. </w:t>
      </w:r>
      <w:r>
        <w:rPr>
          <w:rFonts w:ascii="Roboto" w:hAnsi="Roboto" w:eastAsia="Roboto"/>
          <w:b w:val="0"/>
          <w:i w:val="0"/>
          <w:color w:val="545554"/>
          <w:sz w:val="22"/>
        </w:rPr>
        <w:t xml:space="preserve">P.T.I.A accident : </w:t>
      </w:r>
      <w:r>
        <w:rPr>
          <w:rFonts w:ascii="Roboto" w:hAnsi="Roboto" w:eastAsia="Roboto"/>
          <w:b w:val="0"/>
          <w:i w:val="0"/>
          <w:color w:val="545554"/>
          <w:sz w:val="22"/>
        </w:rPr>
        <w:t xml:space="preserve">75 ème anniversaire de l’assuré.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1832"/>
      </w:tblGrid>
      <w:tr>
        <w:trPr>
          <w:trHeight w:hRule="exact" w:val="356"/>
        </w:trPr>
        <w:tc>
          <w:tcPr>
            <w:tcW w:type="dxa" w:w="6500"/>
            <w:tcBorders/>
            <w:shd w:fill="d3d8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4" w:after="0"/>
              <w:ind w:left="20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2"/>
              </w:rPr>
              <w:t>Incapacité / Invalidité :</w:t>
            </w:r>
            <w:r>
              <w:rPr>
                <w:rFonts w:ascii="Roboto" w:hAnsi="Roboto" w:eastAsia="Roboto"/>
                <w:b w:val="0"/>
                <w:i w:val="0"/>
                <w:color w:val="545554"/>
                <w:sz w:val="22"/>
              </w:rPr>
              <w:t xml:space="preserve"> 70 ème anniversaire de l’assuré.</w:t>
            </w:r>
          </w:p>
        </w:tc>
      </w:tr>
    </w:tbl>
    <w:p>
      <w:pPr>
        <w:autoSpaceDN w:val="0"/>
        <w:autoSpaceDE w:val="0"/>
        <w:widowControl/>
        <w:spacing w:line="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1832"/>
      </w:tblGrid>
      <w:tr>
        <w:trPr>
          <w:trHeight w:hRule="exact" w:val="444"/>
        </w:trPr>
        <w:tc>
          <w:tcPr>
            <w:tcW w:type="dxa" w:w="6340"/>
            <w:tcBorders/>
            <w:shd w:fill="d3d8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206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11395E"/>
                <w:sz w:val="26"/>
              </w:rPr>
              <w:t>Franchises :</w:t>
            </w:r>
            <w:r>
              <w:rPr>
                <w:rFonts w:ascii="Roboto" w:hAnsi="Roboto" w:eastAsia="Roboto"/>
                <w:b w:val="0"/>
                <w:i w:val="0"/>
                <w:color w:val="545554"/>
                <w:sz w:val="22"/>
              </w:rPr>
              <w:t xml:space="preserve">Absolue : </w:t>
            </w:r>
            <w:r>
              <w:rPr>
                <w:rFonts w:ascii="Roboto" w:hAnsi="Roboto" w:eastAsia="Roboto"/>
                <w:b w:val="0"/>
                <w:i w:val="0"/>
                <w:color w:val="545554"/>
                <w:sz w:val="22"/>
              </w:rPr>
              <w:t xml:space="preserve">30, 60, 90 à 180 jours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126" w:right="74" w:bottom="26" w:left="0" w:header="720" w:footer="720" w:gutter="0"/>
          <w:cols w:num="2" w:equalWidth="0">
            <w:col w:w="7540" w:space="0"/>
            <w:col w:w="4292" w:space="0"/>
          </w:cols>
          <w:docGrid w:linePitch="360"/>
        </w:sectPr>
      </w:pPr>
    </w:p>
    <w:p>
      <w:pPr>
        <w:autoSpaceDN w:val="0"/>
        <w:autoSpaceDE w:val="0"/>
        <w:widowControl/>
        <w:spacing w:line="259" w:lineRule="auto" w:before="0" w:after="0"/>
        <w:ind w:left="524" w:right="864" w:firstLine="0"/>
        <w:jc w:val="left"/>
      </w:pPr>
      <w:r>
        <w:rPr>
          <w:rFonts w:ascii="Roboto" w:hAnsi="Roboto" w:eastAsia="Roboto"/>
          <w:b/>
          <w:i w:val="0"/>
          <w:color w:val="FFFFFF"/>
          <w:sz w:val="22"/>
        </w:rPr>
        <w:t xml:space="preserve">Option Rachat Psy </w:t>
      </w:r>
      <w:r>
        <w:br/>
      </w:r>
      <w:r>
        <w:rPr>
          <w:rFonts w:ascii="Roboto" w:hAnsi="Roboto" w:eastAsia="Roboto"/>
          <w:b w:val="0"/>
          <w:i w:val="0"/>
          <w:color w:val="FFFFFF"/>
          <w:sz w:val="20"/>
        </w:rPr>
        <w:t>sans condition d’hospitalisation.</w:t>
      </w:r>
    </w:p>
    <w:p>
      <w:pPr>
        <w:autoSpaceDN w:val="0"/>
        <w:autoSpaceDE w:val="0"/>
        <w:widowControl/>
        <w:spacing w:line="259" w:lineRule="auto" w:before="282" w:after="0"/>
        <w:ind w:left="524" w:right="576" w:firstLine="0"/>
        <w:jc w:val="left"/>
      </w:pPr>
      <w:r>
        <w:rPr>
          <w:rFonts w:ascii="Roboto" w:hAnsi="Roboto" w:eastAsia="Roboto"/>
          <w:b/>
          <w:i w:val="0"/>
          <w:color w:val="F2F5F7"/>
          <w:sz w:val="22"/>
        </w:rPr>
        <w:t xml:space="preserve">Rachat possible des exclusions </w:t>
      </w:r>
      <w:r>
        <w:rPr>
          <w:rFonts w:ascii="Roboto" w:hAnsi="Roboto" w:eastAsia="Roboto"/>
          <w:b w:val="0"/>
          <w:i w:val="0"/>
          <w:color w:val="F2F5F7"/>
          <w:sz w:val="20"/>
        </w:rPr>
        <w:t>médicales et sportives.</w:t>
      </w:r>
    </w:p>
    <w:p>
      <w:pPr>
        <w:autoSpaceDN w:val="0"/>
        <w:autoSpaceDE w:val="0"/>
        <w:widowControl/>
        <w:spacing w:line="266" w:lineRule="auto" w:before="1672" w:after="0"/>
        <w:ind w:left="0" w:right="0" w:firstLine="0"/>
        <w:jc w:val="center"/>
      </w:pPr>
      <w:r>
        <w:rPr>
          <w:rFonts w:ascii="Roboto" w:hAnsi="Roboto" w:eastAsia="Roboto"/>
          <w:b/>
          <w:i w:val="0"/>
          <w:color w:val="FFFFFF"/>
          <w:sz w:val="30"/>
        </w:rPr>
        <w:t xml:space="preserve">Des Garanties </w:t>
      </w:r>
      <w:r>
        <w:rPr>
          <w:rFonts w:ascii="Roboto" w:hAnsi="Roboto" w:eastAsia="Roboto"/>
          <w:b w:val="0"/>
          <w:i w:val="0"/>
          <w:color w:val="FFFFFF"/>
          <w:sz w:val="30"/>
        </w:rPr>
        <w:t>adaptées !</w:t>
      </w:r>
    </w:p>
    <w:p>
      <w:pPr>
        <w:autoSpaceDN w:val="0"/>
        <w:autoSpaceDE w:val="0"/>
        <w:widowControl/>
        <w:spacing w:line="266" w:lineRule="auto" w:before="244" w:after="0"/>
        <w:ind w:left="524" w:right="0" w:firstLine="0"/>
        <w:jc w:val="left"/>
      </w:pPr>
      <w:r>
        <w:rPr>
          <w:rFonts w:ascii="Roboto" w:hAnsi="Roboto" w:eastAsia="Roboto"/>
          <w:b w:val="0"/>
          <w:i w:val="0"/>
          <w:color w:val="FFFFFF"/>
          <w:sz w:val="20"/>
        </w:rPr>
        <w:t xml:space="preserve">Décès, Perte Totale et Irréversible </w:t>
      </w:r>
    </w:p>
    <w:p>
      <w:pPr>
        <w:autoSpaceDN w:val="0"/>
        <w:autoSpaceDE w:val="0"/>
        <w:widowControl/>
        <w:spacing w:line="266" w:lineRule="auto" w:before="74" w:after="0"/>
        <w:ind w:left="524" w:right="0" w:firstLine="0"/>
        <w:jc w:val="left"/>
      </w:pPr>
      <w:r>
        <w:rPr>
          <w:rFonts w:ascii="Roboto" w:hAnsi="Roboto" w:eastAsia="Roboto"/>
          <w:b w:val="0"/>
          <w:i w:val="0"/>
          <w:color w:val="FFFFFF"/>
          <w:sz w:val="20"/>
        </w:rPr>
        <w:t>d’Autonomie (P.T.I.A.)</w:t>
      </w:r>
    </w:p>
    <w:p>
      <w:pPr>
        <w:autoSpaceDN w:val="0"/>
        <w:autoSpaceDE w:val="0"/>
        <w:widowControl/>
        <w:spacing w:line="264" w:lineRule="auto" w:before="230" w:after="0"/>
        <w:ind w:left="524" w:right="0" w:firstLine="0"/>
        <w:jc w:val="left"/>
      </w:pPr>
      <w:r>
        <w:rPr>
          <w:rFonts w:ascii="Roboto" w:hAnsi="Roboto" w:eastAsia="Roboto"/>
          <w:b w:val="0"/>
          <w:i w:val="0"/>
          <w:color w:val="FFFFFF"/>
          <w:sz w:val="20"/>
        </w:rPr>
        <w:t xml:space="preserve">Incapacité Temporaire Totale (I.T.T) </w:t>
      </w:r>
    </w:p>
    <w:p>
      <w:pPr>
        <w:autoSpaceDN w:val="0"/>
        <w:autoSpaceDE w:val="0"/>
        <w:widowControl/>
        <w:spacing w:line="264" w:lineRule="auto" w:before="76" w:after="0"/>
        <w:ind w:left="524" w:right="0" w:firstLine="0"/>
        <w:jc w:val="left"/>
      </w:pPr>
      <w:r>
        <w:rPr>
          <w:rFonts w:ascii="Roboto" w:hAnsi="Roboto" w:eastAsia="Roboto"/>
          <w:b w:val="0"/>
          <w:i w:val="0"/>
          <w:color w:val="FFFFFF"/>
          <w:sz w:val="20"/>
        </w:rPr>
        <w:t xml:space="preserve">et Invalidité Permanente Totale (I.P.T) </w:t>
      </w:r>
    </w:p>
    <w:p>
      <w:pPr>
        <w:autoSpaceDN w:val="0"/>
        <w:autoSpaceDE w:val="0"/>
        <w:widowControl/>
        <w:spacing w:line="266" w:lineRule="auto" w:before="244" w:after="0"/>
        <w:ind w:left="524" w:right="0" w:firstLine="0"/>
        <w:jc w:val="left"/>
      </w:pPr>
      <w:r>
        <w:rPr>
          <w:rFonts w:ascii="Roboto" w:hAnsi="Roboto" w:eastAsia="Roboto"/>
          <w:b w:val="0"/>
          <w:i w:val="0"/>
          <w:color w:val="FFFFFF"/>
          <w:sz w:val="20"/>
        </w:rPr>
        <w:t>Incapacité Temporaire Partielle (I.T.P)</w:t>
      </w:r>
    </w:p>
    <w:p>
      <w:pPr>
        <w:autoSpaceDN w:val="0"/>
        <w:autoSpaceDE w:val="0"/>
        <w:widowControl/>
        <w:spacing w:line="266" w:lineRule="auto" w:before="74" w:after="0"/>
        <w:ind w:left="524" w:right="0" w:firstLine="0"/>
        <w:jc w:val="left"/>
      </w:pPr>
      <w:r>
        <w:rPr>
          <w:rFonts w:ascii="Roboto" w:hAnsi="Roboto" w:eastAsia="Roboto"/>
          <w:b w:val="0"/>
          <w:i w:val="0"/>
          <w:color w:val="FFFFFF"/>
          <w:sz w:val="20"/>
        </w:rPr>
        <w:t xml:space="preserve">et Invalidité Permanente Partielle (I.P.P) </w:t>
      </w:r>
    </w:p>
    <w:p>
      <w:pPr>
        <w:autoSpaceDN w:val="0"/>
        <w:autoSpaceDE w:val="0"/>
        <w:widowControl/>
        <w:spacing w:line="264" w:lineRule="auto" w:before="448" w:after="0"/>
        <w:ind w:left="0" w:right="20" w:firstLine="0"/>
        <w:jc w:val="right"/>
      </w:pPr>
      <w:r>
        <w:rPr>
          <w:rFonts w:ascii="Roboto" w:hAnsi="Roboto" w:eastAsia="Roboto"/>
          <w:b w:val="0"/>
          <w:i w:val="0"/>
          <w:color w:val="545554"/>
          <w:sz w:val="10"/>
        </w:rPr>
        <w:t>Fiche Technique Global+ Ci N°4057 _ NV°20200214</w:t>
      </w:r>
    </w:p>
    <w:p>
      <w:pPr>
        <w:sectPr>
          <w:type w:val="nextColumn"/>
          <w:pgSz w:w="11906" w:h="16838"/>
          <w:pgMar w:top="126" w:right="74" w:bottom="26" w:left="0" w:header="720" w:footer="720" w:gutter="0"/>
          <w:cols w:num="2" w:equalWidth="0">
            <w:col w:w="7540" w:space="0"/>
            <w:col w:w="4292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0"/>
      </w:pPr>
    </w:p>
    <w:p>
      <w:pPr>
        <w:autoSpaceDN w:val="0"/>
        <w:tabs>
          <w:tab w:pos="926" w:val="left"/>
        </w:tabs>
        <w:autoSpaceDE w:val="0"/>
        <w:widowControl/>
        <w:spacing w:line="240" w:lineRule="auto" w:before="0" w:after="0"/>
        <w:ind w:left="1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1000" cy="381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Roboto" w:hAnsi="Roboto" w:eastAsia="Roboto"/>
          <w:b/>
          <w:i w:val="0"/>
          <w:color w:val="2F4767"/>
          <w:sz w:val="28"/>
        </w:rPr>
        <w:t xml:space="preserve">FICHE TECHNIQUE UGIP GLOBAL+ CI N°4057  </w:t>
      </w:r>
      <w:r>
        <w:rPr>
          <w:rFonts w:ascii="Roboto" w:hAnsi="Roboto" w:eastAsia="Roboto"/>
          <w:b/>
          <w:i w:val="0"/>
          <w:color w:val="2F4767"/>
          <w:sz w:val="36"/>
        </w:rPr>
        <w:t>Formalités Médicales</w:t>
      </w:r>
    </w:p>
    <w:p>
      <w:pPr>
        <w:autoSpaceDN w:val="0"/>
        <w:autoSpaceDE w:val="0"/>
        <w:widowControl/>
        <w:spacing w:line="274" w:lineRule="auto" w:before="166" w:after="0"/>
        <w:ind w:left="0" w:right="1152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0"/>
        </w:rPr>
        <w:t xml:space="preserve">Les formalités médicales, indispensables à l’assureur pour lui permettre l’appréciation au mieux du risque à assurer, </w:t>
      </w:r>
      <w:r>
        <w:rPr>
          <w:rFonts w:ascii="Roboto" w:hAnsi="Roboto" w:eastAsia="Roboto"/>
          <w:b w:val="0"/>
          <w:i w:val="0"/>
          <w:color w:val="545554"/>
          <w:sz w:val="20"/>
        </w:rPr>
        <w:t>sont déterminées selon l’âge de l’assuré et l’engagement financier.</w:t>
      </w:r>
    </w:p>
    <w:p>
      <w:pPr>
        <w:autoSpaceDN w:val="0"/>
        <w:autoSpaceDE w:val="0"/>
        <w:widowControl/>
        <w:spacing w:line="264" w:lineRule="auto" w:before="172" w:after="0"/>
        <w:ind w:left="0" w:right="0" w:firstLine="0"/>
        <w:jc w:val="left"/>
      </w:pPr>
      <w:r>
        <w:rPr>
          <w:rFonts w:ascii="Roboto" w:hAnsi="Roboto" w:eastAsia="Roboto"/>
          <w:b/>
          <w:i w:val="0"/>
          <w:color w:val="304666"/>
          <w:sz w:val="24"/>
        </w:rPr>
        <w:t>COMMENT ACCOMPLIR LES FORMALITÉS MÉDICALES ?</w:t>
      </w:r>
    </w:p>
    <w:p>
      <w:pPr>
        <w:autoSpaceDN w:val="0"/>
        <w:autoSpaceDE w:val="0"/>
        <w:widowControl/>
        <w:spacing w:line="266" w:lineRule="auto" w:before="84" w:after="0"/>
        <w:ind w:left="0" w:right="272" w:firstLine="0"/>
        <w:jc w:val="both"/>
      </w:pPr>
      <w:r>
        <w:rPr>
          <w:rFonts w:ascii="Roboto" w:hAnsi="Roboto" w:eastAsia="Roboto"/>
          <w:b w:val="0"/>
          <w:i w:val="0"/>
          <w:color w:val="545554"/>
          <w:sz w:val="20"/>
        </w:rPr>
        <w:t xml:space="preserve">Chaque futur assuré doit prendre contact avec </w:t>
      </w:r>
      <w:r>
        <w:rPr>
          <w:rFonts w:ascii="Roboto" w:hAnsi="Roboto" w:eastAsia="Roboto"/>
          <w:b/>
          <w:i w:val="0"/>
          <w:color w:val="545554"/>
          <w:sz w:val="20"/>
        </w:rPr>
        <w:t>ABCOS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 au 0.969.322.732, ou </w:t>
      </w:r>
      <w:r>
        <w:rPr>
          <w:rFonts w:ascii="Roboto" w:hAnsi="Roboto" w:eastAsia="Roboto"/>
          <w:b/>
          <w:i w:val="0"/>
          <w:color w:val="545554"/>
          <w:sz w:val="20"/>
        </w:rPr>
        <w:t xml:space="preserve">C.B.S.A. 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au 0.969.323.443 qui le mettra directement 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en relation avec le centre de bilan le plus proche de son domicile, et avec lequel il conviendra d’un rendez-vous. Dans le cadre de 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la procédure ABCOS ou C.B.S.A., UGIP prend en charge l’intégralité des frais médicaux occasionnés par les éventuels examens 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à effectuer. </w:t>
      </w:r>
    </w:p>
    <w:p>
      <w:pPr>
        <w:autoSpaceDN w:val="0"/>
        <w:autoSpaceDE w:val="0"/>
        <w:widowControl/>
        <w:spacing w:line="264" w:lineRule="auto" w:before="94" w:after="0"/>
        <w:ind w:left="0" w:right="1152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20"/>
        </w:rPr>
        <w:t xml:space="preserve">Les frais médicaux ne sont pas pris en charge, si l’assuré ne donne pas suite à sa demande d’adhésion et en cas de </w:t>
      </w:r>
      <w:r>
        <w:rPr>
          <w:rFonts w:ascii="Roboto" w:hAnsi="Roboto" w:eastAsia="Roboto"/>
          <w:b w:val="0"/>
          <w:i w:val="0"/>
          <w:color w:val="545554"/>
          <w:sz w:val="20"/>
        </w:rPr>
        <w:t>souscription d’un Prêt Relais sec.</w:t>
      </w:r>
    </w:p>
    <w:p>
      <w:pPr>
        <w:autoSpaceDN w:val="0"/>
        <w:autoSpaceDE w:val="0"/>
        <w:widowControl/>
        <w:spacing w:line="264" w:lineRule="auto" w:before="178" w:after="204"/>
        <w:ind w:left="0" w:right="0" w:firstLine="0"/>
        <w:jc w:val="left"/>
      </w:pPr>
      <w:r>
        <w:rPr>
          <w:rFonts w:ascii="Roboto" w:hAnsi="Roboto" w:eastAsia="Roboto"/>
          <w:b/>
          <w:i w:val="0"/>
          <w:color w:val="2F4767"/>
          <w:sz w:val="24"/>
        </w:rPr>
        <w:t xml:space="preserve">CAPITAL À ASSURER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1417"/>
        <w:gridCol w:w="1417"/>
        <w:gridCol w:w="1417"/>
        <w:gridCol w:w="1417"/>
        <w:gridCol w:w="1417"/>
        <w:gridCol w:w="1417"/>
        <w:gridCol w:w="1417"/>
        <w:gridCol w:w="1417"/>
      </w:tblGrid>
      <w:tr>
        <w:trPr>
          <w:trHeight w:hRule="exact" w:val="294"/>
        </w:trPr>
        <w:tc>
          <w:tcPr>
            <w:tcW w:type="dxa" w:w="12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20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0"/>
              </w:rPr>
              <w:t>Âge</w:t>
            </w:r>
          </w:p>
        </w:tc>
        <w:tc>
          <w:tcPr>
            <w:tcW w:type="dxa" w:w="13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54" w:after="0"/>
              <w:ind w:left="290" w:right="144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 xml:space="preserve">De 0€ à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 xml:space="preserve">200.000€ </w:t>
            </w:r>
          </w:p>
        </w:tc>
        <w:tc>
          <w:tcPr>
            <w:tcW w:type="dxa" w:w="14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160" w:right="144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De 200.001€</w:t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à 500.000€</w:t>
            </w:r>
          </w:p>
        </w:tc>
        <w:tc>
          <w:tcPr>
            <w:tcW w:type="dxa" w:w="1326"/>
            <w:vMerge w:val="restart"/>
            <w:tcBorders>
              <w:bottom w:sz="16.0" w:val="single" w:color="#6469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86" w:right="144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De 500 001€</w:t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à 700.000€</w:t>
            </w:r>
          </w:p>
        </w:tc>
        <w:tc>
          <w:tcPr>
            <w:tcW w:type="dxa" w:w="1368"/>
            <w:vMerge w:val="restart"/>
            <w:tcBorders>
              <w:bottom w:sz="16.0" w:val="single" w:color="#6469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0" w:right="144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De 700 001€</w:t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à 1.000.000€</w:t>
            </w:r>
          </w:p>
        </w:tc>
        <w:tc>
          <w:tcPr>
            <w:tcW w:type="dxa" w:w="1376"/>
            <w:vMerge w:val="restart"/>
            <w:tcBorders>
              <w:bottom w:sz="16.0" w:val="single" w:color="#6469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11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De 1.000.001€</w:t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à 2.000.000€</w:t>
            </w:r>
          </w:p>
        </w:tc>
        <w:tc>
          <w:tcPr>
            <w:tcW w:type="dxa" w:w="14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6" w:after="0"/>
              <w:ind w:left="0" w:right="0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De 2.000.001€</w:t>
            </w:r>
          </w:p>
        </w:tc>
        <w:tc>
          <w:tcPr>
            <w:tcW w:type="dxa" w:w="1328"/>
            <w:vMerge w:val="restart"/>
            <w:tcBorders>
              <w:bottom w:sz="16.0" w:val="single" w:color="#6469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60" w:after="0"/>
              <w:ind w:left="84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&gt; 3.000.000€</w:t>
            </w:r>
          </w:p>
        </w:tc>
      </w:tr>
      <w:tr>
        <w:trPr>
          <w:trHeight w:hRule="exact" w:val="240"/>
        </w:trPr>
        <w:tc>
          <w:tcPr>
            <w:tcW w:type="dxa" w:w="1417"/>
            <w:vMerge/>
            <w:tcBorders/>
          </w:tcPr>
          <w:p/>
        </w:tc>
        <w:tc>
          <w:tcPr>
            <w:tcW w:type="dxa" w:w="1417"/>
            <w:vMerge/>
            <w:tcBorders/>
          </w:tcPr>
          <w:p/>
        </w:tc>
        <w:tc>
          <w:tcPr>
            <w:tcW w:type="dxa" w:w="1417"/>
            <w:vMerge/>
            <w:tcBorders/>
          </w:tcPr>
          <w:p/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  <w:tc>
          <w:tcPr>
            <w:tcW w:type="dxa" w:w="14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0" w:after="0"/>
              <w:ind w:left="100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8"/>
              </w:rPr>
              <w:t>à 3.000.000€</w:t>
            </w:r>
          </w:p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</w:tr>
      <w:tr>
        <w:trPr>
          <w:trHeight w:hRule="exact" w:val="292"/>
        </w:trPr>
        <w:tc>
          <w:tcPr>
            <w:tcW w:type="dxa" w:w="1288"/>
            <w:tcBorders>
              <w:bottom w:sz="16.0" w:val="single" w:color="#64696D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78"/>
            <w:gridSpan w:val="2"/>
            <w:tcBorders>
              <w:bottom w:sz="16.0" w:val="single" w:color="#6469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4" w:after="0"/>
              <w:ind w:left="0" w:right="1222" w:firstLine="0"/>
              <w:jc w:val="right"/>
            </w:pPr>
            <w:r>
              <w:rPr>
                <w:rFonts w:ascii="Roboto" w:hAnsi="Roboto" w:eastAsia="Roboto"/>
                <w:b/>
                <w:i w:val="0"/>
                <w:color w:val="FFFFFF"/>
                <w:sz w:val="18"/>
              </w:rPr>
              <w:t>Q.S.S.</w:t>
            </w:r>
          </w:p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  <w:tc>
          <w:tcPr>
            <w:tcW w:type="dxa" w:w="1416"/>
            <w:tcBorders>
              <w:bottom w:sz="16.0" w:val="single" w:color="#64696D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7"/>
            <w:vMerge/>
            <w:tcBorders>
              <w:bottom w:sz="16.0" w:val="single" w:color="#64696D"/>
            </w:tcBorders>
          </w:tcPr>
          <w:p/>
        </w:tc>
      </w:tr>
      <w:tr>
        <w:trPr>
          <w:trHeight w:hRule="exact" w:val="212"/>
        </w:trPr>
        <w:tc>
          <w:tcPr>
            <w:tcW w:type="dxa" w:w="1288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78"/>
            <w:gridSpan w:val="2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26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8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6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3</w:t>
            </w:r>
          </w:p>
        </w:tc>
        <w:tc>
          <w:tcPr>
            <w:tcW w:type="dxa" w:w="1416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28"/>
            <w:tcBorders>
              <w:top w:sz="16.0" w:val="single" w:color="#64696D"/>
              <w:bottom w:sz="16.0" w:val="single" w:color="#2289C8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4</w:t>
            </w:r>
          </w:p>
        </w:tc>
      </w:tr>
      <w:tr>
        <w:trPr>
          <w:trHeight w:hRule="exact" w:val="204"/>
        </w:trPr>
        <w:tc>
          <w:tcPr>
            <w:tcW w:type="dxa" w:w="1288"/>
            <w:tcBorders>
              <w:top w:sz="16.0" w:val="single" w:color="#2289C8"/>
              <w:bottom w:sz="16.0" w:val="single" w:color="#64696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72"/>
            <w:vMerge w:val="restart"/>
            <w:tcBorders>
              <w:top w:sz="16.0" w:val="single" w:color="#2289C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8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18"/>
              </w:rPr>
              <w:t>Q.S.S.</w:t>
            </w:r>
          </w:p>
        </w:tc>
        <w:tc>
          <w:tcPr>
            <w:tcW w:type="dxa" w:w="1406"/>
            <w:vMerge w:val="restart"/>
            <w:tcBorders>
              <w:top w:sz="16.0" w:val="single" w:color="#2289C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8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18"/>
              </w:rPr>
              <w:t xml:space="preserve">Q.S. </w:t>
            </w:r>
          </w:p>
        </w:tc>
        <w:tc>
          <w:tcPr>
            <w:tcW w:type="dxa" w:w="1326"/>
            <w:tcBorders>
              <w:top w:sz="16.0" w:val="single" w:color="#2289C8"/>
              <w:bottom w:sz="16.0" w:val="single" w:color="#64696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1</w:t>
            </w:r>
          </w:p>
        </w:tc>
        <w:tc>
          <w:tcPr>
            <w:tcW w:type="dxa" w:w="1368"/>
            <w:tcBorders>
              <w:top w:sz="16.0" w:val="single" w:color="#2289C8"/>
              <w:bottom w:sz="16.0" w:val="single" w:color="#64696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2</w:t>
            </w:r>
          </w:p>
        </w:tc>
        <w:tc>
          <w:tcPr>
            <w:tcW w:type="dxa" w:w="1376"/>
            <w:tcBorders>
              <w:top w:sz="16.0" w:val="single" w:color="#2289C8"/>
              <w:bottom w:sz="16.0" w:val="single" w:color="#64696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top w:sz="16.0" w:val="single" w:color="#2289C8"/>
              <w:bottom w:sz="16.0" w:val="single" w:color="#64696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28"/>
            <w:tcBorders>
              <w:top w:sz="16.0" w:val="single" w:color="#2289C8"/>
              <w:bottom w:sz="16.0" w:val="single" w:color="#64696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2"/>
        </w:trPr>
        <w:tc>
          <w:tcPr>
            <w:tcW w:type="dxa" w:w="1288"/>
            <w:vMerge w:val="restart"/>
            <w:tcBorders>
              <w:top w:sz="16.0" w:val="single" w:color="#64696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417"/>
            <w:vMerge/>
            <w:tcBorders>
              <w:top w:sz="16.0" w:val="single" w:color="#2289C8"/>
            </w:tcBorders>
          </w:tcPr>
          <w:p/>
        </w:tc>
        <w:tc>
          <w:tcPr>
            <w:tcW w:type="dxa" w:w="1417"/>
            <w:vMerge/>
            <w:tcBorders>
              <w:top w:sz="16.0" w:val="single" w:color="#2289C8"/>
            </w:tcBorders>
          </w:tcPr>
          <w:p/>
        </w:tc>
        <w:tc>
          <w:tcPr>
            <w:tcW w:type="dxa" w:w="1326"/>
            <w:vMerge w:val="restart"/>
            <w:tcBorders>
              <w:top w:sz="16.0" w:val="single" w:color="#64696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68"/>
            <w:vMerge w:val="restart"/>
            <w:tcBorders>
              <w:top w:sz="16.0" w:val="single" w:color="#64696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76"/>
            <w:vMerge w:val="restart"/>
            <w:tcBorders>
              <w:top w:sz="16.0" w:val="single" w:color="#64696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54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4</w:t>
            </w:r>
          </w:p>
        </w:tc>
        <w:tc>
          <w:tcPr>
            <w:tcW w:type="dxa" w:w="1416"/>
            <w:vMerge w:val="restart"/>
            <w:tcBorders>
              <w:top w:sz="16.0" w:val="single" w:color="#64696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328"/>
            <w:vMerge w:val="restart"/>
            <w:tcBorders>
              <w:top w:sz="16.0" w:val="single" w:color="#64696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40" w:after="0"/>
              <w:ind w:left="0" w:right="0" w:firstLine="0"/>
              <w:jc w:val="center"/>
            </w:pPr>
            <w:r>
              <w:rPr>
                <w:rFonts w:ascii="Roboto" w:hAnsi="Roboto" w:eastAsia="Roboto"/>
                <w:b/>
                <w:i w:val="0"/>
                <w:color w:val="FFFFFF"/>
                <w:sz w:val="22"/>
              </w:rPr>
              <w:t>5</w:t>
            </w:r>
          </w:p>
        </w:tc>
      </w:tr>
      <w:tr>
        <w:trPr>
          <w:trHeight w:hRule="exact" w:val="506"/>
        </w:trPr>
        <w:tc>
          <w:tcPr>
            <w:tcW w:type="dxa" w:w="1417"/>
            <w:vMerge/>
            <w:tcBorders>
              <w:top w:sz="16.0" w:val="single" w:color="#64696F"/>
            </w:tcBorders>
          </w:tcPr>
          <w:p/>
        </w:tc>
        <w:tc>
          <w:tcPr>
            <w:tcW w:type="dxa" w:w="1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.99999999999977" w:type="dxa"/>
            </w:tblPr>
            <w:tblGrid>
              <w:gridCol w:w="1372"/>
            </w:tblGrid>
            <w:tr>
              <w:trPr>
                <w:trHeight w:hRule="exact" w:val="318"/>
              </w:trPr>
              <w:tc>
                <w:tcPr>
                  <w:tcW w:type="dxa" w:w="1304"/>
                  <w:tcBorders>
                    <w:start w:sz="16.0" w:val="single" w:color="#ADB3BF"/>
                    <w:top w:sz="16.0" w:val="single" w:color="#ADB3BF"/>
                    <w:end w:sz="16.0" w:val="single" w:color="#ADB3BF"/>
                    <w:bottom w:sz="16.0" w:val="single" w:color="#ADB3BF"/>
                  </w:tcBorders>
                  <w:shd w:fill="aeb3c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0" w:after="0"/>
                    <w:ind w:left="0" w:right="0" w:firstLine="0"/>
                    <w:jc w:val="center"/>
                  </w:pPr>
                  <w:r>
                    <w:rPr>
                      <w:rFonts w:ascii="Roboto" w:hAnsi="Roboto" w:eastAsia="Roboto"/>
                      <w:b/>
                      <w:i w:val="0"/>
                      <w:color w:val="FFFFFF"/>
                      <w:sz w:val="18"/>
                    </w:rPr>
                    <w:t>Q.S.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1406"/>
            </w:tblGrid>
            <w:tr>
              <w:trPr>
                <w:trHeight w:hRule="exact" w:val="318"/>
              </w:trPr>
              <w:tc>
                <w:tcPr>
                  <w:tcW w:type="dxa" w:w="1304"/>
                  <w:tcBorders>
                    <w:start w:sz="16.0" w:val="single" w:color="#AEB3BF"/>
                    <w:top w:sz="16.0" w:val="single" w:color="#AEB3BF"/>
                    <w:end w:sz="16.0" w:val="single" w:color="#AEB3BF"/>
                    <w:bottom w:sz="16.0" w:val="single" w:color="#AEB3BF"/>
                  </w:tcBorders>
                  <w:shd w:fill="aeb3c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0" w:after="0"/>
                    <w:ind w:left="0" w:right="0" w:firstLine="0"/>
                    <w:jc w:val="center"/>
                  </w:pPr>
                  <w:r>
                    <w:rPr>
                      <w:rFonts w:ascii="Roboto" w:hAnsi="Roboto" w:eastAsia="Roboto"/>
                      <w:b/>
                      <w:i w:val="0"/>
                      <w:color w:val="FFFFFF"/>
                      <w:sz w:val="18"/>
                    </w:rPr>
                    <w:t>Q.S. + R.M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17"/>
            <w:vMerge/>
            <w:tcBorders>
              <w:top w:sz="16.0" w:val="single" w:color="#64696F"/>
            </w:tcBorders>
          </w:tcPr>
          <w:p/>
        </w:tc>
        <w:tc>
          <w:tcPr>
            <w:tcW w:type="dxa" w:w="1417"/>
            <w:vMerge/>
            <w:tcBorders>
              <w:top w:sz="16.0" w:val="single" w:color="#64696F"/>
            </w:tcBorders>
          </w:tcPr>
          <w:p/>
        </w:tc>
        <w:tc>
          <w:tcPr>
            <w:tcW w:type="dxa" w:w="1417"/>
            <w:vMerge/>
            <w:tcBorders>
              <w:top w:sz="16.0" w:val="single" w:color="#64696F"/>
            </w:tcBorders>
          </w:tcPr>
          <w:p/>
        </w:tc>
        <w:tc>
          <w:tcPr>
            <w:tcW w:type="dxa" w:w="1417"/>
            <w:vMerge/>
            <w:tcBorders>
              <w:top w:sz="16.0" w:val="single" w:color="#64696F"/>
            </w:tcBorders>
          </w:tcPr>
          <w:p/>
        </w:tc>
        <w:tc>
          <w:tcPr>
            <w:tcW w:type="dxa" w:w="1417"/>
            <w:vMerge/>
            <w:tcBorders>
              <w:top w:sz="16.0" w:val="single" w:color="#64696F"/>
            </w:tcBorders>
          </w:tcPr>
          <w:p/>
        </w:tc>
      </w:tr>
    </w:tbl>
    <w:p>
      <w:pPr>
        <w:autoSpaceDN w:val="0"/>
        <w:autoSpaceDE w:val="0"/>
        <w:widowControl/>
        <w:spacing w:line="266" w:lineRule="auto" w:before="180" w:after="144"/>
        <w:ind w:left="0" w:right="0" w:firstLine="0"/>
        <w:jc w:val="left"/>
      </w:pPr>
      <w:r>
        <w:rPr>
          <w:rFonts w:ascii="Roboto" w:hAnsi="Roboto" w:eastAsia="Roboto"/>
          <w:b/>
          <w:i w:val="0"/>
          <w:color w:val="2F4767"/>
          <w:sz w:val="24"/>
        </w:rPr>
        <w:t xml:space="preserve">LEXIQUE 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5667"/>
        <w:gridCol w:w="5667"/>
      </w:tblGrid>
      <w:tr>
        <w:trPr>
          <w:trHeight w:hRule="exact" w:val="2884"/>
        </w:trPr>
        <w:tc>
          <w:tcPr>
            <w:tcW w:type="dxa" w:w="1632"/>
            <w:tcBorders>
              <w:bottom w:sz="16.0" w:val="single" w:color="#30456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0" w:right="306" w:firstLine="0"/>
              <w:jc w:val="right"/>
            </w:pPr>
            <w:r>
              <w:rPr>
                <w:rFonts w:ascii="Roboto" w:hAnsi="Roboto" w:eastAsia="Roboto"/>
                <w:b w:val="0"/>
                <w:i w:val="0"/>
                <w:color w:val="545554"/>
                <w:sz w:val="24"/>
              </w:rPr>
              <w:t>Q.S.S</w:t>
            </w:r>
          </w:p>
          <w:p>
            <w:pPr>
              <w:autoSpaceDN w:val="0"/>
              <w:autoSpaceDE w:val="0"/>
              <w:widowControl/>
              <w:spacing w:line="252" w:lineRule="auto" w:before="42" w:after="0"/>
              <w:ind w:left="432" w:right="0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AFB5C1"/>
                <w:sz w:val="24"/>
              </w:rPr>
              <w:t xml:space="preserve">Q.S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AFB4C1"/>
                <w:sz w:val="24"/>
              </w:rPr>
              <w:t>Q.S. + R.M.</w:t>
            </w:r>
          </w:p>
          <w:p>
            <w:pPr>
              <w:autoSpaceDN w:val="0"/>
              <w:autoSpaceDE w:val="0"/>
              <w:widowControl/>
              <w:spacing w:line="252" w:lineRule="auto" w:before="102" w:after="0"/>
              <w:ind w:left="864" w:right="532" w:firstLine="0"/>
              <w:jc w:val="right"/>
            </w:pPr>
            <w:r>
              <w:rPr>
                <w:rFonts w:ascii="Roboto" w:hAnsi="Roboto" w:eastAsia="Roboto"/>
                <w:b w:val="0"/>
                <w:i w:val="0"/>
                <w:color w:val="29588F"/>
                <w:sz w:val="24"/>
              </w:rPr>
              <w:t xml:space="preserve">1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29588F"/>
                <w:sz w:val="24"/>
              </w:rPr>
              <w:t>2</w:t>
            </w:r>
          </w:p>
          <w:p>
            <w:pPr>
              <w:autoSpaceDN w:val="0"/>
              <w:autoSpaceDE w:val="0"/>
              <w:widowControl/>
              <w:spacing w:line="252" w:lineRule="auto" w:before="82" w:after="0"/>
              <w:ind w:left="864" w:right="532" w:firstLine="0"/>
              <w:jc w:val="right"/>
            </w:pPr>
            <w:r>
              <w:rPr>
                <w:rFonts w:ascii="Roboto" w:hAnsi="Roboto" w:eastAsia="Roboto"/>
                <w:b w:val="0"/>
                <w:i w:val="0"/>
                <w:color w:val="238AC9"/>
                <w:sz w:val="24"/>
              </w:rPr>
              <w:t xml:space="preserve">3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238AC9"/>
                <w:sz w:val="24"/>
              </w:rPr>
              <w:t>4</w:t>
            </w:r>
          </w:p>
          <w:p>
            <w:pPr>
              <w:autoSpaceDN w:val="0"/>
              <w:autoSpaceDE w:val="0"/>
              <w:widowControl/>
              <w:spacing w:line="264" w:lineRule="auto" w:before="62" w:after="0"/>
              <w:ind w:left="0" w:right="532" w:firstLine="0"/>
              <w:jc w:val="right"/>
            </w:pPr>
            <w:r>
              <w:rPr>
                <w:rFonts w:ascii="Roboto" w:hAnsi="Roboto" w:eastAsia="Roboto"/>
                <w:b w:val="0"/>
                <w:i w:val="0"/>
                <w:color w:val="2F4767"/>
                <w:sz w:val="24"/>
              </w:rPr>
              <w:t>5</w:t>
            </w:r>
          </w:p>
        </w:tc>
        <w:tc>
          <w:tcPr>
            <w:tcW w:type="dxa" w:w="8828"/>
            <w:tcBorders>
              <w:bottom w:sz="16.0" w:val="single" w:color="#30456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4.00000000000034" w:type="dxa"/>
            </w:tblPr>
            <w:tblGrid>
              <w:gridCol w:w="8828"/>
            </w:tblGrid>
            <w:tr>
              <w:trPr>
                <w:trHeight w:hRule="exact" w:val="972"/>
              </w:trPr>
              <w:tc>
                <w:tcPr>
                  <w:tcW w:type="dxa" w:w="8154"/>
                  <w:tcBorders>
                    <w:start w:sz="16.0" w:val="single" w:color="#64696D"/>
                    <w:top w:sz="16.0" w:val="single" w:color="#64696D"/>
                    <w:end w:sz="16.0" w:val="single" w:color="#64696D"/>
                    <w:bottom w:sz="16.0" w:val="single" w:color="#64696D"/>
                  </w:tcBorders>
                  <w:shd w:fill="64696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34" w:after="16"/>
                    <w:ind w:left="234" w:right="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FFFFFF"/>
                      <w:sz w:val="16"/>
                    </w:rPr>
                    <w:t>Questionnaire de Santé Simplifié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43.99999999999977" w:type="dxa"/>
                  </w:tblPr>
                  <w:tblGrid>
                    <w:gridCol w:w="4077"/>
                    <w:gridCol w:w="4077"/>
                  </w:tblGrid>
                  <w:tr>
                    <w:trPr>
                      <w:trHeight w:hRule="exact" w:val="634"/>
                    </w:trPr>
                    <w:tc>
                      <w:tcPr>
                        <w:tcW w:type="dxa" w:w="4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8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91.99999999999989" w:type="dxa"/>
                        </w:tblPr>
                        <w:tblGrid>
                          <w:gridCol w:w="4040"/>
                        </w:tblGrid>
                        <w:tr>
                          <w:trPr>
                            <w:trHeight w:hRule="exact" w:val="480"/>
                          </w:trPr>
                          <w:tc>
                            <w:tcPr>
                              <w:tcW w:type="dxa" w:w="3556"/>
                              <w:tcBorders>
                                <w:start w:sz="16.0" w:val="single" w:color="#AEB3BF"/>
                                <w:top w:sz="16.0" w:val="single" w:color="#AEB3BF"/>
                                <w:end w:sz="16.0" w:val="single" w:color="#AEB3BF"/>
                                <w:bottom w:sz="16.0" w:val="single" w:color="#AEB3BF"/>
                              </w:tcBorders>
                              <w:shd w:fill="aeb3c1"/>
                              <w:tcMar>
                                <w:start w:w="0" w:type="dxa"/>
                                <w:end w:w="0" w:type="dxa"/>
                              </w:tcMar>
                            </w:tcPr>
                            <w:p>
                              <w:pPr>
                                <w:autoSpaceDN w:val="0"/>
                                <w:autoSpaceDE w:val="0"/>
                                <w:widowControl/>
                                <w:spacing w:line="254" w:lineRule="auto" w:before="10" w:after="0"/>
                                <w:ind w:left="78" w:right="144" w:firstLine="0"/>
                                <w:jc w:val="left"/>
                              </w:pPr>
                              <w:r>
                                <w:rPr>
                                  <w:rFonts w:ascii="Roboto" w:hAnsi="Roboto" w:eastAsia="Roboto"/>
                                  <w:b w:val="0"/>
                                  <w:i w:val="0"/>
                                  <w:color w:val="FFFFFF"/>
                                  <w:sz w:val="16"/>
                                </w:rPr>
                                <w:t xml:space="preserve">Questionnaire de Santé (Q.S.) 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Roboto" w:hAnsi="Roboto" w:eastAsia="Roboto"/>
                                  <w:b w:val="0"/>
                                  <w:i w:val="0"/>
                                  <w:color w:val="FFFFFF"/>
                                  <w:sz w:val="16"/>
                                </w:rPr>
                                <w:t>Questionnaire de Santé + Rapport Médical (1)</w:t>
                              </w:r>
                            </w:p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35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6" w:lineRule="auto" w:before="16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Roboto" w:hAnsi="Roboto" w:eastAsia="Roboto"/>
                            <w:b/>
                            <w:i w:val="0"/>
                            <w:color w:val="FFFFFF"/>
                            <w:sz w:val="24"/>
                          </w:rPr>
                          <w:t>Durée de validité : 6 mois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8154"/>
                  <w:tcBorders>
                    <w:top w:sz="16.0" w:val="single" w:color="#64696D"/>
                    <w:bottom w:sz="16.0" w:val="single" w:color="#29588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80" w:after="0"/>
                    <w:ind w:left="254" w:right="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FFFFFF"/>
                      <w:sz w:val="16"/>
                    </w:rPr>
                    <w:t>Questionnaire de Santé + Rapport Médical (1) + Labo 1 (1)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4" w:lineRule="auto" w:before="0" w:after="0"/>
              <w:ind w:left="438" w:right="0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Questionnaire de Santé + Rapport Médical (1) + Labo 2 (1)</w:t>
            </w:r>
          </w:p>
          <w:p>
            <w:pPr>
              <w:autoSpaceDN w:val="0"/>
              <w:autoSpaceDE w:val="0"/>
              <w:widowControl/>
              <w:spacing w:line="254" w:lineRule="auto" w:before="236" w:after="106"/>
              <w:ind w:left="438" w:right="1008" w:firstLine="0"/>
              <w:jc w:val="left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 xml:space="preserve">Questionnaire de Santé + Rapport Médical + Labo 2 + Cotinine + Urines + ECG repos (1)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Questionnaire de Santé + Rapport Médical + Labo 2 + Cotinine + Urines + ECG repos + ECG d’effort (1)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4.00000000000034" w:type="dxa"/>
            </w:tblPr>
            <w:tblGrid>
              <w:gridCol w:w="8828"/>
            </w:tblGrid>
            <w:tr>
              <w:trPr>
                <w:trHeight w:hRule="exact" w:val="496"/>
              </w:trPr>
              <w:tc>
                <w:tcPr>
                  <w:tcW w:type="dxa" w:w="8154"/>
                  <w:tcBorders>
                    <w:start w:sz="16.0" w:val="single" w:color="#2F4666"/>
                    <w:top w:sz="16.0" w:val="single" w:color="#2F4666"/>
                    <w:end w:sz="16.0" w:val="single" w:color="#2F4666"/>
                    <w:bottom w:sz="16.0" w:val="single" w:color="#2F4666"/>
                  </w:tcBorders>
                  <w:shd w:fill="2f476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auto" w:before="34" w:after="0"/>
                    <w:ind w:left="234" w:right="72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FFFFFF"/>
                      <w:sz w:val="16"/>
                    </w:rPr>
                    <w:t xml:space="preserve">Questionnaire de Santé + Rapport Médical + Labo 2 + Cotinine + Urines + ECG repos + ECG d’effort + </w:t>
                  </w:r>
                  <w:r>
                    <w:rPr>
                      <w:rFonts w:ascii="Roboto" w:hAnsi="Roboto" w:eastAsia="Roboto"/>
                      <w:b w:val="0"/>
                      <w:i w:val="0"/>
                      <w:color w:val="FFFFFF"/>
                      <w:sz w:val="16"/>
                    </w:rPr>
                    <w:t>Mammographie + Échocardiographie (1)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4"/>
        </w:trPr>
        <w:tc>
          <w:tcPr>
            <w:tcW w:type="dxa" w:w="1632"/>
            <w:tcBorders>
              <w:top w:sz="16.0" w:val="single" w:color="#304566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28"/>
            <w:tcBorders>
              <w:top w:sz="16.0" w:val="single" w:color="#304566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66" w:lineRule="auto" w:before="50" w:after="340"/>
        <w:ind w:left="2196" w:right="0" w:firstLine="0"/>
        <w:jc w:val="left"/>
      </w:pPr>
      <w:r>
        <w:rPr>
          <w:rFonts w:ascii="Roboto" w:hAnsi="Roboto" w:eastAsia="Roboto"/>
          <w:b w:val="0"/>
          <w:i w:val="0"/>
          <w:color w:val="545554"/>
          <w:sz w:val="16"/>
        </w:rPr>
        <w:t xml:space="preserve">(1) Les formalités médicales ont une durée de validité de 12 mois.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.00000000000006" w:type="dxa"/>
      </w:tblPr>
      <w:tblGrid>
        <w:gridCol w:w="5667"/>
        <w:gridCol w:w="5667"/>
      </w:tblGrid>
      <w:tr>
        <w:trPr>
          <w:trHeight w:hRule="exact" w:val="3293"/>
        </w:trPr>
        <w:tc>
          <w:tcPr>
            <w:tcW w:type="dxa" w:w="1794"/>
            <w:tcBorders/>
            <w:shd w:fill="2f466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80" w:after="0"/>
              <w:ind w:left="0" w:right="0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LABO 1</w:t>
            </w:r>
          </w:p>
          <w:p>
            <w:pPr>
              <w:autoSpaceDN w:val="0"/>
              <w:autoSpaceDE w:val="0"/>
              <w:widowControl/>
              <w:spacing w:line="266" w:lineRule="auto" w:before="426" w:after="0"/>
              <w:ind w:left="0" w:right="0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LABO 2</w:t>
            </w:r>
          </w:p>
          <w:p>
            <w:pPr>
              <w:autoSpaceDN w:val="0"/>
              <w:autoSpaceDE w:val="0"/>
              <w:widowControl/>
              <w:spacing w:line="334" w:lineRule="auto" w:before="266" w:after="0"/>
              <w:ind w:left="432" w:right="432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 xml:space="preserve">URINES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COTININE</w:t>
            </w:r>
          </w:p>
          <w:p>
            <w:pPr>
              <w:autoSpaceDN w:val="0"/>
              <w:autoSpaceDE w:val="0"/>
              <w:widowControl/>
              <w:spacing w:line="334" w:lineRule="auto" w:before="166" w:after="0"/>
              <w:ind w:left="288" w:right="288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 xml:space="preserve">ECG REPOS </w:t>
            </w:r>
            <w:r>
              <w:br/>
            </w: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ECG D’EFFORT</w:t>
            </w:r>
          </w:p>
          <w:p>
            <w:pPr>
              <w:autoSpaceDN w:val="0"/>
              <w:autoSpaceDE w:val="0"/>
              <w:widowControl/>
              <w:spacing w:line="266" w:lineRule="auto" w:before="186" w:after="0"/>
              <w:ind w:left="0" w:right="0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ÉCHOCARDIOGRAPHIE</w:t>
            </w:r>
          </w:p>
          <w:p>
            <w:pPr>
              <w:autoSpaceDN w:val="0"/>
              <w:autoSpaceDE w:val="0"/>
              <w:widowControl/>
              <w:spacing w:line="266" w:lineRule="auto" w:before="146" w:after="0"/>
              <w:ind w:left="0" w:right="0" w:firstLine="0"/>
              <w:jc w:val="center"/>
            </w:pPr>
            <w:r>
              <w:rPr>
                <w:rFonts w:ascii="Roboto" w:hAnsi="Roboto" w:eastAsia="Roboto"/>
                <w:b w:val="0"/>
                <w:i w:val="0"/>
                <w:color w:val="FFFFFF"/>
                <w:sz w:val="16"/>
              </w:rPr>
              <w:t>MAMMOGRAPHIE</w:t>
            </w:r>
          </w:p>
        </w:tc>
        <w:tc>
          <w:tcPr>
            <w:tcW w:type="dxa" w:w="9092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3.99999999999977" w:type="dxa"/>
            </w:tblPr>
            <w:tblGrid>
              <w:gridCol w:w="9092"/>
            </w:tblGrid>
            <w:tr>
              <w:trPr>
                <w:trHeight w:hRule="exact" w:val="3272"/>
              </w:trPr>
              <w:tc>
                <w:tcPr>
                  <w:tcW w:type="dxa" w:w="8748"/>
                  <w:tcBorders>
                    <w:start w:sz="16.0" w:val="single" w:color="#2F4767"/>
                    <w:top w:sz="16.0" w:val="single" w:color="#2F4767"/>
                    <w:end w:sz="16.0" w:val="single" w:color="#2F4767"/>
                    <w:bottom w:sz="16.0" w:val="single" w:color="#2F4767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56" w:after="0"/>
                    <w:ind w:left="112" w:right="288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 xml:space="preserve">Numération et Formule Sanguine, Plaquettes, Vitesse de sédimentation, Cholestérol Total / HDL, glycémie à jeun, </w:t>
                  </w: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triglycérides, créatinine, ASAT, ALAT, GGT et sérologie H.I.V. 1 et 2.</w:t>
                  </w:r>
                </w:p>
                <w:p>
                  <w:pPr>
                    <w:autoSpaceDN w:val="0"/>
                    <w:autoSpaceDE w:val="0"/>
                    <w:widowControl/>
                    <w:spacing w:line="245" w:lineRule="auto" w:before="148" w:after="0"/>
                    <w:ind w:left="112" w:right="576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 xml:space="preserve">LABO 1 + dosage de la protéine C réactive, acide urique, Marqueurs de l’hépatite B (Ag Hbs) et de l’hépatite C </w:t>
                  </w: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(AC anti-VHC). Pour les hommes de + de 50 ans dosage de l’Antigène Spécifique de la Prostate.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auto" w:before="148" w:after="0"/>
                    <w:ind w:left="112" w:right="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Analyse chimique et cytobactériologique des urines.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auto" w:before="148" w:after="0"/>
                    <w:ind w:left="112" w:right="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Test de cotinine urinaire pour les Non-Fumeurs.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auto" w:before="148" w:after="0"/>
                    <w:ind w:left="112" w:right="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Électrocardiogramme de repos avec compte rendu du cardiologue.</w:t>
                  </w:r>
                </w:p>
                <w:p>
                  <w:pPr>
                    <w:autoSpaceDN w:val="0"/>
                    <w:autoSpaceDE w:val="0"/>
                    <w:widowControl/>
                    <w:spacing w:line="358" w:lineRule="auto" w:before="148" w:after="0"/>
                    <w:ind w:left="112" w:right="288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 xml:space="preserve">Électrocardiogramme d’effort avec compte rendu du cardiologue en l’absence de toute contre indication médicale. </w:t>
                  </w: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Avec son compte rendu.</w:t>
                  </w:r>
                </w:p>
                <w:p>
                  <w:pPr>
                    <w:autoSpaceDN w:val="0"/>
                    <w:autoSpaceDE w:val="0"/>
                    <w:widowControl/>
                    <w:spacing w:line="264" w:lineRule="auto" w:before="148" w:after="0"/>
                    <w:ind w:left="112" w:right="0" w:firstLine="0"/>
                    <w:jc w:val="left"/>
                  </w:pPr>
                  <w:r>
                    <w:rPr>
                      <w:rFonts w:ascii="Roboto" w:hAnsi="Roboto" w:eastAsia="Roboto"/>
                      <w:b w:val="0"/>
                      <w:i w:val="0"/>
                      <w:color w:val="304868"/>
                      <w:sz w:val="16"/>
                    </w:rPr>
                    <w:t>Pour les femmes.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52" w:lineRule="auto" w:before="280" w:after="0"/>
        <w:ind w:left="0" w:right="576" w:firstLine="0"/>
        <w:jc w:val="left"/>
      </w:pPr>
      <w:r>
        <w:rPr>
          <w:rFonts w:ascii="Roboto" w:hAnsi="Roboto" w:eastAsia="Roboto"/>
          <w:b/>
          <w:i w:val="0"/>
          <w:color w:val="2F4767"/>
          <w:sz w:val="20"/>
        </w:rPr>
        <w:t>FORMALITÉS FINANCIÈRES :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Le Questionnaire Financier, ainsi que les justificatifs et toute la documentation, sont exigés à </w:t>
      </w:r>
      <w:r>
        <w:rPr>
          <w:rFonts w:ascii="Roboto" w:hAnsi="Roboto" w:eastAsia="Roboto"/>
          <w:b w:val="0"/>
          <w:i w:val="0"/>
          <w:color w:val="545554"/>
          <w:sz w:val="20"/>
        </w:rPr>
        <w:t>partir de 1 500 000 €.</w:t>
      </w:r>
    </w:p>
    <w:p>
      <w:pPr>
        <w:autoSpaceDN w:val="0"/>
        <w:autoSpaceDE w:val="0"/>
        <w:widowControl/>
        <w:spacing w:line="262" w:lineRule="auto" w:before="156" w:after="0"/>
        <w:ind w:left="0" w:right="206" w:firstLine="0"/>
        <w:jc w:val="both"/>
      </w:pPr>
      <w:r>
        <w:rPr>
          <w:rFonts w:ascii="Roboto" w:hAnsi="Roboto" w:eastAsia="Roboto"/>
          <w:b/>
          <w:i w:val="0"/>
          <w:color w:val="2F4767"/>
          <w:sz w:val="20"/>
        </w:rPr>
        <w:t xml:space="preserve">CONCERNANT LES PRÊTS RELAIS : </w:t>
      </w:r>
      <w:r>
        <w:rPr>
          <w:rFonts w:ascii="Roboto" w:hAnsi="Roboto" w:eastAsia="Roboto"/>
          <w:b w:val="0"/>
          <w:i w:val="0"/>
          <w:color w:val="545554"/>
          <w:sz w:val="20"/>
        </w:rPr>
        <w:t xml:space="preserve">Pas de cumul des capitaux entre le prêt principal et le prêt relais, dès lors que le prêt relais </w:t>
      </w:r>
      <w:r>
        <w:rPr>
          <w:rFonts w:ascii="Roboto" w:hAnsi="Roboto" w:eastAsia="Roboto"/>
          <w:b w:val="0"/>
          <w:i w:val="0"/>
          <w:color w:val="545554"/>
          <w:sz w:val="20"/>
        </w:rPr>
        <w:t>n’excède pas 500.000 € et une durée maximum de 24 mois.</w:t>
      </w:r>
      <w:r>
        <w:rPr>
          <w:rFonts w:ascii="Roboto" w:hAnsi="Roboto" w:eastAsia="Roboto"/>
          <w:b/>
          <w:i w:val="0"/>
          <w:color w:val="545554"/>
          <w:sz w:val="20"/>
        </w:rPr>
        <w:t xml:space="preserve">Seul le prêt principal entre en compte pour déterminer les formalités </w:t>
      </w:r>
      <w:r>
        <w:rPr>
          <w:rFonts w:ascii="Roboto" w:hAnsi="Roboto" w:eastAsia="Roboto"/>
          <w:b/>
          <w:i w:val="0"/>
          <w:color w:val="545554"/>
          <w:sz w:val="20"/>
        </w:rPr>
        <w:t>médicales.</w:t>
      </w:r>
      <w:r>
        <w:rPr>
          <w:rFonts w:ascii="Roboto" w:hAnsi="Roboto" w:eastAsia="Roboto"/>
          <w:b w:val="0"/>
          <w:i w:val="0"/>
          <w:color w:val="545554"/>
          <w:sz w:val="20"/>
        </w:rPr>
        <w:t>Dans le cas d’un prêt relais seul, les formalités médicales correspondant au capital devront être appliquées.</w:t>
      </w:r>
    </w:p>
    <w:p>
      <w:pPr>
        <w:autoSpaceDN w:val="0"/>
        <w:autoSpaceDE w:val="0"/>
        <w:widowControl/>
        <w:spacing w:line="245" w:lineRule="auto" w:before="218" w:after="0"/>
        <w:ind w:left="0" w:right="222" w:firstLine="0"/>
        <w:jc w:val="both"/>
      </w:pPr>
      <w:r>
        <w:rPr>
          <w:rFonts w:ascii="Roboto" w:hAnsi="Roboto" w:eastAsia="Roboto"/>
          <w:b w:val="0"/>
          <w:i w:val="0"/>
          <w:color w:val="545554"/>
          <w:sz w:val="16"/>
        </w:rPr>
        <w:t xml:space="preserve">UGIP Assurances est une Marque de SOLOGNE FINANCES (courtier en assurance) Société par Actions Simplifiées au capital de 130 944 € - RCS PARIS N°398 784 645 </w:t>
      </w:r>
      <w:r>
        <w:rPr>
          <w:rFonts w:ascii="Roboto" w:hAnsi="Roboto" w:eastAsia="Roboto"/>
          <w:b w:val="0"/>
          <w:i w:val="0"/>
          <w:color w:val="545554"/>
          <w:sz w:val="16"/>
        </w:rPr>
        <w:t xml:space="preserve">- Siret N°398 784 645 00044 Enregistrée auprès de l’ORIAS sous le N°07 005 590 et soumis au contrôle de l’Autorité de Contrôle Prudentiel et de Résolution (ACPR) 4, </w:t>
      </w:r>
      <w:r>
        <w:rPr>
          <w:rFonts w:ascii="Roboto" w:hAnsi="Roboto" w:eastAsia="Roboto"/>
          <w:b w:val="0"/>
          <w:i w:val="0"/>
          <w:color w:val="545554"/>
          <w:sz w:val="16"/>
        </w:rPr>
        <w:t xml:space="preserve">Place de Budapest CS 92459 75436 PARIS Cedex 09. Toutes réclamations devront être adressées par voie postale à : UGIP Assurances «Service Réclamations» - 73/75, </w:t>
      </w:r>
      <w:r>
        <w:rPr>
          <w:rFonts w:ascii="Roboto" w:hAnsi="Roboto" w:eastAsia="Roboto"/>
          <w:b w:val="0"/>
          <w:i w:val="0"/>
          <w:color w:val="545554"/>
          <w:sz w:val="16"/>
        </w:rPr>
        <w:t xml:space="preserve">Rue Brillat-Savarin 75013 PARIS </w:t>
      </w:r>
    </w:p>
    <w:p>
      <w:pPr>
        <w:autoSpaceDN w:val="0"/>
        <w:autoSpaceDE w:val="0"/>
        <w:widowControl/>
        <w:spacing w:line="264" w:lineRule="auto" w:before="36" w:after="0"/>
        <w:ind w:left="0" w:right="20" w:firstLine="0"/>
        <w:jc w:val="right"/>
      </w:pPr>
      <w:r>
        <w:rPr>
          <w:rFonts w:ascii="Roboto" w:hAnsi="Roboto" w:eastAsia="Roboto"/>
          <w:b w:val="0"/>
          <w:i w:val="0"/>
          <w:color w:val="545554"/>
          <w:sz w:val="10"/>
        </w:rPr>
        <w:t>Fiche Technique Global+ Ci N°4057 _ NV°20200214</w:t>
      </w:r>
    </w:p>
    <w:sectPr w:rsidR="00FC693F" w:rsidRPr="0006063C" w:rsidSect="00034616">
      <w:pgSz w:w="11906" w:h="16838"/>
      <w:pgMar w:top="168" w:right="52" w:bottom="20" w:left="52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