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2908300</wp:posOffset>
            </wp:positionV>
            <wp:extent cx="406400" cy="8636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863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5956300</wp:posOffset>
            </wp:positionV>
            <wp:extent cx="2311400" cy="160655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6065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</wp:posOffset>
            </wp:positionH>
            <wp:positionV relativeFrom="page">
              <wp:posOffset>3860800</wp:posOffset>
            </wp:positionV>
            <wp:extent cx="431800" cy="419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3860800</wp:posOffset>
            </wp:positionV>
            <wp:extent cx="419100" cy="419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3860800</wp:posOffset>
            </wp:positionV>
            <wp:extent cx="431800" cy="419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4737100</wp:posOffset>
            </wp:positionV>
            <wp:extent cx="431800" cy="419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4737100</wp:posOffset>
            </wp:positionV>
            <wp:extent cx="431800" cy="4191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4724400</wp:posOffset>
            </wp:positionH>
            <wp:positionV relativeFrom="page">
              <wp:posOffset>0</wp:posOffset>
            </wp:positionV>
            <wp:extent cx="3022600" cy="1435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3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7594600</wp:posOffset>
            </wp:positionH>
            <wp:positionV relativeFrom="page">
              <wp:posOffset>5524500</wp:posOffset>
            </wp:positionV>
            <wp:extent cx="3098800" cy="20320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032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9436100</wp:posOffset>
            </wp:positionH>
            <wp:positionV relativeFrom="page">
              <wp:posOffset>2705100</wp:posOffset>
            </wp:positionV>
            <wp:extent cx="38100" cy="38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9131300</wp:posOffset>
            </wp:positionH>
            <wp:positionV relativeFrom="page">
              <wp:posOffset>2679700</wp:posOffset>
            </wp:positionV>
            <wp:extent cx="381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9182100</wp:posOffset>
            </wp:positionH>
            <wp:positionV relativeFrom="page">
              <wp:posOffset>2590800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8483600</wp:posOffset>
            </wp:positionH>
            <wp:positionV relativeFrom="page">
              <wp:posOffset>2705100</wp:posOffset>
            </wp:positionV>
            <wp:extent cx="63500" cy="38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8343900</wp:posOffset>
            </wp:positionH>
            <wp:positionV relativeFrom="page">
              <wp:posOffset>2628900</wp:posOffset>
            </wp:positionV>
            <wp:extent cx="50800" cy="38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8280400</wp:posOffset>
            </wp:positionH>
            <wp:positionV relativeFrom="page">
              <wp:posOffset>2628900</wp:posOffset>
            </wp:positionV>
            <wp:extent cx="381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9258300</wp:posOffset>
            </wp:positionH>
            <wp:positionV relativeFrom="page">
              <wp:posOffset>2667000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8864600</wp:posOffset>
            </wp:positionH>
            <wp:positionV relativeFrom="page">
              <wp:posOffset>2628900</wp:posOffset>
            </wp:positionV>
            <wp:extent cx="381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8839200</wp:posOffset>
            </wp:positionH>
            <wp:positionV relativeFrom="page">
              <wp:posOffset>2578100</wp:posOffset>
            </wp:positionV>
            <wp:extent cx="381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9182100</wp:posOffset>
            </wp:positionH>
            <wp:positionV relativeFrom="page">
              <wp:posOffset>2501900</wp:posOffset>
            </wp:positionV>
            <wp:extent cx="381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9194800</wp:posOffset>
            </wp:positionH>
            <wp:positionV relativeFrom="page">
              <wp:posOffset>2489200</wp:posOffset>
            </wp:positionV>
            <wp:extent cx="381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8636000</wp:posOffset>
            </wp:positionH>
            <wp:positionV relativeFrom="page">
              <wp:posOffset>2540000</wp:posOffset>
            </wp:positionV>
            <wp:extent cx="50800" cy="381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9347200</wp:posOffset>
            </wp:positionH>
            <wp:positionV relativeFrom="page">
              <wp:posOffset>2463800</wp:posOffset>
            </wp:positionV>
            <wp:extent cx="381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8978900</wp:posOffset>
            </wp:positionH>
            <wp:positionV relativeFrom="page">
              <wp:posOffset>2489200</wp:posOffset>
            </wp:positionV>
            <wp:extent cx="508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8953500</wp:posOffset>
            </wp:positionH>
            <wp:positionV relativeFrom="page">
              <wp:posOffset>2540000</wp:posOffset>
            </wp:positionV>
            <wp:extent cx="38100" cy="38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8483600</wp:posOffset>
            </wp:positionH>
            <wp:positionV relativeFrom="page">
              <wp:posOffset>2540000</wp:posOffset>
            </wp:positionV>
            <wp:extent cx="63500" cy="381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9042400</wp:posOffset>
            </wp:positionH>
            <wp:positionV relativeFrom="page">
              <wp:posOffset>2501900</wp:posOffset>
            </wp:positionV>
            <wp:extent cx="38100" cy="254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7887970</wp:posOffset>
            </wp:positionH>
            <wp:positionV relativeFrom="page">
              <wp:posOffset>1973580</wp:posOffset>
            </wp:positionV>
            <wp:extent cx="1818639" cy="902983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18639" cy="9029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6838" w:h="11906"/>
          <w:pgMar w:top="156" w:right="292" w:bottom="132" w:left="42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6" w:lineRule="exact" w:before="0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4"/>
        </w:rPr>
        <w:t>PRODUIT EMPRUNTEUR</w:t>
      </w:r>
    </w:p>
    <w:p>
      <w:pPr>
        <w:autoSpaceDN w:val="0"/>
        <w:autoSpaceDE w:val="0"/>
        <w:widowControl/>
        <w:spacing w:line="240" w:lineRule="auto" w:before="34" w:after="0"/>
        <w:ind w:left="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6150" cy="5613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56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6838" w:h="11906"/>
          <w:pgMar w:top="156" w:right="292" w:bottom="132" w:left="428" w:header="720" w:footer="720" w:gutter="0"/>
          <w:cols w:num="2" w:equalWidth="0">
            <w:col w:w="8148" w:space="0"/>
            <w:col w:w="796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08200" cy="63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98"/>
        <w:sectPr>
          <w:type w:val="nextColumn"/>
          <w:pgSz w:w="16838" w:h="11906"/>
          <w:pgMar w:top="156" w:right="292" w:bottom="132" w:left="428" w:header="720" w:footer="720" w:gutter="0"/>
          <w:cols w:num="2" w:equalWidth="0">
            <w:col w:w="8148" w:space="0"/>
            <w:col w:w="796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2"/>
        <w:gridCol w:w="1612"/>
        <w:gridCol w:w="1612"/>
        <w:gridCol w:w="1612"/>
        <w:gridCol w:w="1612"/>
        <w:gridCol w:w="1612"/>
        <w:gridCol w:w="1612"/>
        <w:gridCol w:w="1612"/>
        <w:gridCol w:w="1612"/>
        <w:gridCol w:w="1612"/>
      </w:tblGrid>
      <w:tr>
        <w:trPr>
          <w:trHeight w:hRule="exact" w:val="342"/>
        </w:trPr>
        <w:tc>
          <w:tcPr>
            <w:tcW w:type="dxa" w:w="527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96" w:after="0"/>
              <w:ind w:left="0" w:right="28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 xml:space="preserve">Un contrat haut de gamme accessible à </w:t>
            </w: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>tous !</w:t>
            </w:r>
          </w:p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6" w:after="0"/>
              <w:ind w:left="19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 xml:space="preserve">Les limite d’âge des garanties : 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10" w:after="0"/>
              <w:ind w:left="222" w:right="138" w:firstLine="0"/>
              <w:jc w:val="both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 xml:space="preserve">Avec UGIP Assurances, découvrez notre </w:t>
            </w: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 xml:space="preserve">outil de gestion des substitutions via la </w:t>
            </w: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>Loi Lemoine !</w:t>
            </w:r>
          </w:p>
        </w:tc>
      </w:tr>
      <w:tr>
        <w:trPr>
          <w:trHeight w:hRule="exact" w:val="280"/>
        </w:trPr>
        <w:tc>
          <w:tcPr>
            <w:tcW w:type="dxa" w:w="8060"/>
            <w:gridSpan w:val="5"/>
            <w:vMerge/>
            <w:tcBorders/>
          </w:tcPr>
          <w:p/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14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5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Décès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au 31/12 suivant le 90ème anniversaire de </w:t>
            </w:r>
          </w:p>
        </w:tc>
        <w:tc>
          <w:tcPr>
            <w:tcW w:type="dxa" w:w="322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8060"/>
            <w:gridSpan w:val="5"/>
            <w:vMerge/>
            <w:tcBorders/>
          </w:tcPr>
          <w:p/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91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l'assuré.</w:t>
            </w:r>
          </w:p>
        </w:tc>
        <w:tc>
          <w:tcPr>
            <w:tcW w:type="dxa" w:w="3224"/>
            <w:gridSpan w:val="2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527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6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>UGIP Premium offre à vos clients :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0" w:right="14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15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P.T.I.A toutes causes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au 31/12 du 71ème </w:t>
            </w:r>
          </w:p>
        </w:tc>
        <w:tc>
          <w:tcPr>
            <w:tcW w:type="dxa" w:w="322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0" w:right="130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•</w:t>
            </w:r>
          </w:p>
        </w:tc>
        <w:tc>
          <w:tcPr>
            <w:tcW w:type="dxa" w:w="4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1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Une </w:t>
            </w: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tarification avantageuse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et adaptée pour les </w:t>
            </w:r>
          </w:p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91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anniversaire de l’assuré. 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510" w:after="0"/>
              <w:ind w:left="22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2B2425"/>
                <w:sz w:val="22"/>
              </w:rPr>
              <w:t xml:space="preserve">Vous pouvez nous déléguer facilement </w:t>
            </w:r>
          </w:p>
        </w:tc>
      </w:tr>
      <w:tr>
        <w:trPr>
          <w:trHeight w:hRule="exact" w:val="300"/>
        </w:trPr>
        <w:tc>
          <w:tcPr>
            <w:tcW w:type="dxa" w:w="527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72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classes professionnelles du secteur tertiaire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14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P.T.I.A accident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au 31/12 du 75ème anniversaire de </w:t>
            </w:r>
          </w:p>
        </w:tc>
        <w:tc>
          <w:tcPr>
            <w:tcW w:type="dxa" w:w="322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27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72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(CSP1).</w:t>
            </w:r>
          </w:p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91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l’assuré</w:t>
            </w:r>
          </w:p>
        </w:tc>
        <w:tc>
          <w:tcPr>
            <w:tcW w:type="dxa" w:w="322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0" w:right="130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•</w:t>
            </w:r>
          </w:p>
        </w:tc>
        <w:tc>
          <w:tcPr>
            <w:tcW w:type="dxa" w:w="4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1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Des </w:t>
            </w: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choix adaptés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: prime d’assurance fixe ou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14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5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Incapacité / Invalidité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au 31/12 de l’année suivant </w:t>
            </w:r>
          </w:p>
        </w:tc>
        <w:tc>
          <w:tcPr>
            <w:tcW w:type="dxa" w:w="322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27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72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variable, complétée par une garantie IPT en rente </w:t>
            </w:r>
          </w:p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91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le 67ème anniversaire de l'assuré et au 31/12 </w:t>
            </w:r>
          </w:p>
        </w:tc>
        <w:tc>
          <w:tcPr>
            <w:tcW w:type="dxa" w:w="3224"/>
            <w:gridSpan w:val="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527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8" w:after="0"/>
              <w:ind w:left="72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ou en capital .</w:t>
            </w:r>
          </w:p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91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suivant le 71ème anniversaire de l'assuré avec </w:t>
            </w:r>
          </w:p>
        </w:tc>
        <w:tc>
          <w:tcPr>
            <w:tcW w:type="dxa" w:w="3224"/>
            <w:gridSpan w:val="2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8060"/>
            <w:gridSpan w:val="5"/>
            <w:vMerge/>
            <w:tcBorders/>
          </w:tcPr>
          <w:p/>
        </w:tc>
        <w:tc>
          <w:tcPr>
            <w:tcW w:type="dxa" w:w="5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91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l'option UGIP PLUS.</w:t>
            </w:r>
          </w:p>
        </w:tc>
        <w:tc>
          <w:tcPr>
            <w:tcW w:type="dxa" w:w="3224"/>
            <w:gridSpan w:val="2"/>
            <w:vMerge/>
            <w:tcBorders/>
          </w:tcPr>
          <w:p/>
        </w:tc>
      </w:tr>
      <w:tr>
        <w:trPr>
          <w:trHeight w:hRule="exact" w:val="291"/>
        </w:trPr>
        <w:tc>
          <w:tcPr>
            <w:tcW w:type="dxa" w:w="8060"/>
            <w:gridSpan w:val="5"/>
            <w:vMerge/>
            <w:tcBorders/>
          </w:tcPr>
          <w:p/>
        </w:tc>
        <w:tc>
          <w:tcPr>
            <w:tcW w:type="dxa" w:w="4836"/>
            <w:gridSpan w:val="3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22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2B2425"/>
                <w:sz w:val="22"/>
              </w:rPr>
              <w:t xml:space="preserve">l’intégralité des démarches de résiliations des </w:t>
            </w:r>
          </w:p>
        </w:tc>
      </w:tr>
      <w:tr>
        <w:trPr>
          <w:trHeight w:hRule="exact" w:val="311"/>
        </w:trPr>
        <w:tc>
          <w:tcPr>
            <w:tcW w:type="dxa" w:w="527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90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 xml:space="preserve">De nombreuses formules : </w:t>
            </w:r>
          </w:p>
        </w:tc>
        <w:tc>
          <w:tcPr>
            <w:tcW w:type="dxa" w:w="5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92" w:after="0"/>
              <w:ind w:left="196" w:right="1296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 xml:space="preserve">Des options pour les meilleures </w:t>
            </w: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>garanties.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" w:after="0"/>
              <w:ind w:left="22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2B2425"/>
                <w:sz w:val="22"/>
              </w:rPr>
              <w:t xml:space="preserve">contrats d'assurance de prêt de vos clients. </w:t>
            </w:r>
          </w:p>
        </w:tc>
      </w:tr>
      <w:tr>
        <w:trPr>
          <w:trHeight w:hRule="exact" w:val="306"/>
        </w:trPr>
        <w:tc>
          <w:tcPr>
            <w:tcW w:type="dxa" w:w="8060"/>
            <w:gridSpan w:val="5"/>
            <w:vMerge/>
            <w:tcBorders/>
          </w:tcPr>
          <w:p/>
        </w:tc>
        <w:tc>
          <w:tcPr>
            <w:tcW w:type="dxa" w:w="4836"/>
            <w:gridSpan w:val="3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22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Depuis votre Espace Partenaire, vous pouvez suivre vos </w:t>
            </w:r>
          </w:p>
        </w:tc>
      </w:tr>
      <w:tr>
        <w:trPr>
          <w:trHeight w:hRule="exact" w:val="274"/>
        </w:trPr>
        <w:tc>
          <w:tcPr>
            <w:tcW w:type="dxa" w:w="8060"/>
            <w:gridSpan w:val="5"/>
            <w:vMerge/>
            <w:tcBorders/>
          </w:tcPr>
          <w:p/>
        </w:tc>
        <w:tc>
          <w:tcPr>
            <w:tcW w:type="dxa" w:w="4836"/>
            <w:gridSpan w:val="3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22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dossiers : </w:t>
            </w:r>
          </w:p>
        </w:tc>
      </w:tr>
      <w:tr>
        <w:trPr>
          <w:trHeight w:hRule="exact" w:val="320"/>
        </w:trPr>
        <w:tc>
          <w:tcPr>
            <w:tcW w:type="dxa" w:w="1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10" w:after="0"/>
              <w:ind w:left="0" w:right="858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32"/>
              </w:rPr>
              <w:t>1</w:t>
            </w:r>
          </w:p>
        </w:tc>
        <w:tc>
          <w:tcPr>
            <w:tcW w:type="dxa" w:w="1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14" w:after="0"/>
              <w:ind w:left="0" w:right="862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32"/>
              </w:rPr>
              <w:t>2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1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32"/>
              </w:rPr>
              <w:t>3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4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4" w:after="0"/>
              <w:ind w:left="15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Option UGIP M.N.O.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complément des garanties ITT /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6" w:after="0"/>
              <w:ind w:left="0" w:right="136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>•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6" w:after="0"/>
              <w:ind w:left="16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Visualisez le nombre de dossiers en cours sur un </w:t>
            </w:r>
          </w:p>
        </w:tc>
      </w:tr>
      <w:tr>
        <w:trPr>
          <w:trHeight w:hRule="exact" w:val="280"/>
        </w:trPr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1612"/>
            <w:vMerge/>
            <w:tcBorders/>
          </w:tcPr>
          <w:p/>
        </w:tc>
        <w:tc>
          <w:tcPr>
            <w:tcW w:type="dxa" w:w="1612"/>
            <w:vMerge/>
            <w:tcBorders/>
          </w:tcPr>
          <w:p/>
        </w:tc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94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tableau de bord clair et détaillé, </w:t>
            </w:r>
          </w:p>
        </w:tc>
      </w:tr>
      <w:tr>
        <w:trPr>
          <w:trHeight w:hRule="exact" w:val="300"/>
        </w:trPr>
        <w:tc>
          <w:tcPr>
            <w:tcW w:type="dxa" w:w="1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" w:after="0"/>
              <w:ind w:left="22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Décès / PTIA</w:t>
            </w:r>
          </w:p>
        </w:tc>
        <w:tc>
          <w:tcPr>
            <w:tcW w:type="dxa" w:w="1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144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Décès / PTIA + ITT /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ITP / IPT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144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Décès / PTIA + ITT /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ITP / IPT / IPP</w:t>
            </w:r>
          </w:p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55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ITP / IPT / IPP. L'assuré bénéficie de la prise en charge,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0" w:right="136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>•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Accédez à une liste complète avec le suivi détaillé </w:t>
            </w:r>
          </w:p>
        </w:tc>
      </w:tr>
      <w:tr>
        <w:trPr>
          <w:trHeight w:hRule="exact" w:val="300"/>
        </w:trPr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1612"/>
            <w:vMerge/>
            <w:tcBorders/>
          </w:tcPr>
          <w:p/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sans condition d’hospitalisation, des affections disco 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94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>de leurs statuts,</w:t>
            </w:r>
          </w:p>
        </w:tc>
      </w:tr>
      <w:tr>
        <w:trPr>
          <w:trHeight w:hRule="exact" w:val="280"/>
        </w:trPr>
        <w:tc>
          <w:tcPr>
            <w:tcW w:type="dxa" w:w="1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172" w:after="0"/>
              <w:ind w:left="0" w:right="18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32"/>
              </w:rPr>
              <w:t>4</w:t>
            </w:r>
          </w:p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172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32"/>
              </w:rPr>
              <w:t>5</w:t>
            </w:r>
          </w:p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55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vertébrales et psychiatriques.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6" w:after="0"/>
              <w:ind w:left="0" w:right="136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>•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6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Consultez les fiches de chaque dossier avec toutes </w:t>
            </w:r>
          </w:p>
        </w:tc>
      </w:tr>
      <w:tr>
        <w:trPr>
          <w:trHeight w:hRule="exact" w:val="46"/>
        </w:trPr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4836"/>
            <w:gridSpan w:val="3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34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34" w:after="0"/>
              <w:ind w:left="15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Option UGIP PLUS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prolongement des garanties ITT / </w:t>
            </w:r>
          </w:p>
        </w:tc>
        <w:tc>
          <w:tcPr>
            <w:tcW w:type="dxa" w:w="1612"/>
            <w:vMerge/>
            <w:tcBorders/>
          </w:tcPr>
          <w:p/>
        </w:tc>
        <w:tc>
          <w:tcPr>
            <w:tcW w:type="dxa" w:w="1612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4836"/>
            <w:gridSpan w:val="3"/>
            <w:vMerge/>
            <w:tcBorders/>
          </w:tcPr>
          <w:p/>
        </w:tc>
        <w:tc>
          <w:tcPr>
            <w:tcW w:type="dxa" w:w="1612"/>
            <w:vMerge/>
            <w:tcBorders/>
          </w:tcPr>
          <w:p/>
        </w:tc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94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>les informations,</w:t>
            </w:r>
          </w:p>
        </w:tc>
      </w:tr>
      <w:tr>
        <w:trPr>
          <w:trHeight w:hRule="exact" w:val="86"/>
        </w:trPr>
        <w:tc>
          <w:tcPr>
            <w:tcW w:type="dxa" w:w="251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72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Décès / PTIA + ITT /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ITP / IPT / IPM</w:t>
            </w:r>
          </w:p>
        </w:tc>
        <w:tc>
          <w:tcPr>
            <w:tcW w:type="dxa" w:w="27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1008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Décès / PTIA + ITT /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ITP / IPT / IPM / IPP</w:t>
            </w:r>
          </w:p>
        </w:tc>
        <w:tc>
          <w:tcPr>
            <w:tcW w:type="dxa" w:w="1612"/>
            <w:vMerge/>
            <w:tcBorders/>
          </w:tcPr>
          <w:p/>
        </w:tc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0" w:right="136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>•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Téléchargez les preuves de dépôt et les accusés de </w:t>
            </w:r>
          </w:p>
        </w:tc>
      </w:tr>
      <w:tr>
        <w:trPr>
          <w:trHeight w:hRule="exact" w:val="214"/>
        </w:trPr>
        <w:tc>
          <w:tcPr>
            <w:tcW w:type="dxa" w:w="4836"/>
            <w:gridSpan w:val="3"/>
            <w:vMerge/>
            <w:tcBorders/>
          </w:tcPr>
          <w:p/>
        </w:tc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5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55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ITP / IPT / IPP et IPM du 31/12 de l’année du 67ème </w:t>
            </w:r>
          </w:p>
        </w:tc>
        <w:tc>
          <w:tcPr>
            <w:tcW w:type="dxa" w:w="1612"/>
            <w:vMerge/>
            <w:tcBorders/>
          </w:tcPr>
          <w:p/>
        </w:tc>
        <w:tc>
          <w:tcPr>
            <w:tcW w:type="dxa" w:w="161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4836"/>
            <w:gridSpan w:val="3"/>
            <w:vMerge/>
            <w:tcBorders/>
          </w:tcPr>
          <w:p/>
        </w:tc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4836"/>
            <w:gridSpan w:val="3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94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>réception à tout moment.</w:t>
            </w:r>
          </w:p>
        </w:tc>
      </w:tr>
      <w:tr>
        <w:trPr>
          <w:trHeight w:hRule="exact" w:val="308"/>
        </w:trPr>
        <w:tc>
          <w:tcPr>
            <w:tcW w:type="dxa" w:w="4836"/>
            <w:gridSpan w:val="3"/>
            <w:vMerge/>
            <w:tcBorders/>
          </w:tcPr>
          <w:p/>
        </w:tc>
        <w:tc>
          <w:tcPr>
            <w:tcW w:type="dxa" w:w="3224"/>
            <w:gridSpan w:val="2"/>
            <w:vMerge/>
            <w:tcBorders/>
          </w:tcPr>
          <w:p/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55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anniversaire au 31/12 de l’année suivant le 71ème </w:t>
            </w:r>
          </w:p>
        </w:tc>
        <w:tc>
          <w:tcPr>
            <w:tcW w:type="dxa" w:w="322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0" w:lineRule="exact" w:before="8" w:after="40"/>
        <w:ind w:left="0" w:right="8288" w:firstLine="0"/>
        <w:jc w:val="right"/>
      </w:pPr>
      <w:r>
        <w:rPr>
          <w:rFonts w:ascii="SourceSansPro" w:hAnsi="SourceSansPro" w:eastAsia="SourceSansPro"/>
          <w:b w:val="0"/>
          <w:i w:val="0"/>
          <w:color w:val="3E3E3E"/>
          <w:sz w:val="20"/>
        </w:rPr>
        <w:t>anniversaire de l’assuré.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4029"/>
        <w:gridCol w:w="4029"/>
        <w:gridCol w:w="4029"/>
        <w:gridCol w:w="4029"/>
      </w:tblGrid>
      <w:tr>
        <w:trPr>
          <w:trHeight w:hRule="exact" w:val="344"/>
        </w:trPr>
        <w:tc>
          <w:tcPr>
            <w:tcW w:type="dxa" w:w="5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4" w:after="0"/>
              <w:ind w:left="1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 xml:space="preserve">Les conditions d’âge à l’adhésion : </w:t>
            </w:r>
          </w:p>
        </w:tc>
        <w:tc>
          <w:tcPr>
            <w:tcW w:type="dxa" w:w="50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92" w:after="0"/>
              <w:ind w:left="0" w:right="28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 xml:space="preserve">Des franchises au choix, adaptées aux </w:t>
            </w: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>besoins de vos assurés.</w:t>
            </w:r>
          </w:p>
        </w:tc>
        <w:tc>
          <w:tcPr>
            <w:tcW w:type="dxa" w:w="5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0" w:right="144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</w:t>
            </w:r>
          </w:p>
        </w:tc>
        <w:tc>
          <w:tcPr>
            <w:tcW w:type="dxa" w:w="4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15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Décès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moins de 85 ans.  /   </w:t>
            </w: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P.T.I.A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moins de 67 ans.</w:t>
            </w:r>
          </w:p>
        </w:tc>
        <w:tc>
          <w:tcPr>
            <w:tcW w:type="dxa" w:w="4029"/>
            <w:vMerge/>
            <w:tcBorders/>
          </w:tcPr>
          <w:p/>
        </w:tc>
        <w:tc>
          <w:tcPr>
            <w:tcW w:type="dxa" w:w="402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0" w:right="144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</w:t>
            </w:r>
          </w:p>
        </w:tc>
        <w:tc>
          <w:tcPr>
            <w:tcW w:type="dxa" w:w="4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15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Incapacité / Invalidité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moins de 67 ans et avant le </w:t>
            </w:r>
          </w:p>
        </w:tc>
        <w:tc>
          <w:tcPr>
            <w:tcW w:type="dxa" w:w="4029"/>
            <w:vMerge/>
            <w:tcBorders/>
          </w:tcPr>
          <w:p/>
        </w:tc>
        <w:tc>
          <w:tcPr>
            <w:tcW w:type="dxa" w:w="4029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54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départ en retraite ou préretraite, y compris pour </w:t>
            </w:r>
          </w:p>
        </w:tc>
        <w:tc>
          <w:tcPr>
            <w:tcW w:type="dxa" w:w="4029"/>
            <w:vMerge/>
            <w:tcBorders/>
          </w:tcPr>
          <w:p/>
        </w:tc>
        <w:tc>
          <w:tcPr>
            <w:tcW w:type="dxa" w:w="402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8058"/>
            <w:gridSpan w:val="2"/>
            <w:vMerge/>
            <w:tcBorders/>
          </w:tcPr>
          <w:p/>
        </w:tc>
        <w:tc>
          <w:tcPr>
            <w:tcW w:type="dxa" w:w="5068"/>
            <w:vMerge w:val="restart"/>
            <w:tcBorders/>
            <w:shd w:fill="28282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4" w:after="0"/>
              <w:ind w:left="0" w:right="1852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0"/>
              </w:rPr>
              <w:t>Franchise absolue</w:t>
            </w:r>
          </w:p>
        </w:tc>
        <w:tc>
          <w:tcPr>
            <w:tcW w:type="dxa" w:w="5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 xml:space="preserve">Des questions ? </w:t>
            </w:r>
          </w:p>
        </w:tc>
      </w:tr>
      <w:tr>
        <w:trPr>
          <w:trHeight w:hRule="exact" w:val="298"/>
        </w:trPr>
        <w:tc>
          <w:tcPr>
            <w:tcW w:type="dxa" w:w="54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8" w:after="0"/>
              <w:ind w:left="7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inaptitude au travail.</w:t>
            </w:r>
          </w:p>
        </w:tc>
        <w:tc>
          <w:tcPr>
            <w:tcW w:type="dxa" w:w="4029"/>
            <w:vMerge/>
            <w:tcBorders/>
          </w:tcPr>
          <w:p/>
        </w:tc>
        <w:tc>
          <w:tcPr>
            <w:tcW w:type="dxa" w:w="5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38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>Contactez-nous !</w:t>
            </w:r>
          </w:p>
        </w:tc>
      </w:tr>
      <w:tr>
        <w:trPr>
          <w:trHeight w:hRule="exact" w:val="422"/>
        </w:trPr>
        <w:tc>
          <w:tcPr>
            <w:tcW w:type="dxa" w:w="8058"/>
            <w:gridSpan w:val="2"/>
            <w:vMerge/>
            <w:tcBorders/>
          </w:tcPr>
          <w:p/>
        </w:tc>
        <w:tc>
          <w:tcPr>
            <w:tcW w:type="dxa" w:w="5068"/>
            <w:tcBorders/>
            <w:shd w:fill="dedb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2" w:after="0"/>
              <w:ind w:left="0" w:right="1426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60 jours - 90 jours - 180 jours</w:t>
            </w:r>
          </w:p>
        </w:tc>
        <w:tc>
          <w:tcPr>
            <w:tcW w:type="dxa" w:w="5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0" w:right="396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>commercial@ugip.org</w:t>
            </w:r>
          </w:p>
        </w:tc>
      </w:tr>
    </w:tbl>
    <w:p>
      <w:pPr>
        <w:autoSpaceDN w:val="0"/>
        <w:autoSpaceDE w:val="0"/>
        <w:widowControl/>
        <w:spacing w:line="280" w:lineRule="exact" w:before="10" w:after="10"/>
        <w:ind w:left="0" w:right="1078" w:firstLine="0"/>
        <w:jc w:val="right"/>
      </w:pPr>
      <w:r>
        <w:rPr>
          <w:rFonts w:ascii="SourceSansPro" w:hAnsi="SourceSansPro" w:eastAsia="SourceSansPro"/>
          <w:b w:val="0"/>
          <w:i w:val="0"/>
          <w:color w:val="FFFFFF"/>
          <w:sz w:val="20"/>
        </w:rPr>
        <w:t>01.44.53.49.99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2.0" w:type="dxa"/>
      </w:tblPr>
      <w:tblGrid>
        <w:gridCol w:w="8059"/>
        <w:gridCol w:w="8059"/>
      </w:tblGrid>
      <w:tr>
        <w:trPr>
          <w:trHeight w:hRule="exact" w:val="342"/>
        </w:trPr>
        <w:tc>
          <w:tcPr>
            <w:tcW w:type="dxa" w:w="10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74" w:after="0"/>
              <w:ind w:left="1654" w:right="1584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3E3E3E"/>
                <w:sz w:val="8"/>
              </w:rPr>
              <w:t xml:space="preserve">UGIP Assurances - 30/32 Boulevard de Vaugirard 75015 Paris - SAS au capital de 130 944 € - RCS Paris N°398 784 645 - Intermédiaire en assurances - Immatriculée à l'ORIAS N°07 005 590 (www.orias.fr). Société soumise au </w:t>
            </w:r>
            <w:r>
              <w:rPr>
                <w:rFonts w:ascii="SourceSansPro" w:hAnsi="SourceSansPro" w:eastAsia="SourceSansPro"/>
                <w:b w:val="0"/>
                <w:i/>
                <w:color w:val="3E3E3E"/>
                <w:sz w:val="8"/>
              </w:rPr>
              <w:t xml:space="preserve">contrôle de l'ACPR 4 place de Budapest 75436 Paris CEDEX 09. Toute réclamation devra être transmise à UGIP Assurances - Service Réclamations - 143 Boulevard René Cassin - Immeuble Nouvel’R - Bat C - CS 63278 - 06205 </w:t>
            </w:r>
            <w:r>
              <w:rPr>
                <w:rFonts w:ascii="SourceSansPro" w:hAnsi="SourceSansPro" w:eastAsia="SourceSansPro"/>
                <w:b w:val="0"/>
                <w:i/>
                <w:color w:val="3E3E3E"/>
                <w:sz w:val="8"/>
              </w:rPr>
              <w:t>Nice CEDEX 3.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0" w:right="26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>www.ugipassurances.com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38" w:h="11906"/>
          <w:pgMar w:top="156" w:right="292" w:bottom="132" w:left="428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>
        <w:trPr>
          <w:trHeight w:hRule="exact" w:val="1920"/>
        </w:trPr>
        <w:tc>
          <w:tcPr>
            <w:tcW w:type="dxa" w:w="50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312" w:after="0"/>
              <w:ind w:left="4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4"/>
              </w:rPr>
              <w:t>PRODUIT EMPRUNTEUR</w:t>
            </w:r>
          </w:p>
          <w:p>
            <w:pPr>
              <w:autoSpaceDN w:val="0"/>
              <w:autoSpaceDE w:val="0"/>
              <w:widowControl/>
              <w:spacing w:line="240" w:lineRule="auto" w:before="34" w:after="0"/>
              <w:ind w:left="11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16150" cy="5613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0" cy="561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00" w:lineRule="exact" w:before="488" w:after="0"/>
              <w:ind w:left="12" w:right="28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 xml:space="preserve">Formalités médicales UGIP Premium </w:t>
            </w: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>N°CE/20 015.</w:t>
            </w:r>
          </w:p>
          <w:p>
            <w:pPr>
              <w:autoSpaceDN w:val="0"/>
              <w:autoSpaceDE w:val="0"/>
              <w:widowControl/>
              <w:spacing w:line="300" w:lineRule="exact" w:before="276" w:after="0"/>
              <w:ind w:left="1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2"/>
              </w:rPr>
              <w:t xml:space="preserve">Les formalités médicales, indispensables à l’assureur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2"/>
              </w:rPr>
              <w:t xml:space="preserve">pour lui permettre d'apprécier au mieux le risque à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2"/>
              </w:rPr>
              <w:t xml:space="preserve">assurer, sont déterminées en fonction de l'âge de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2"/>
              </w:rPr>
              <w:t>l'assuré et de l'engagement financier.</w:t>
            </w:r>
          </w:p>
          <w:p>
            <w:pPr>
              <w:autoSpaceDN w:val="0"/>
              <w:autoSpaceDE w:val="0"/>
              <w:widowControl/>
              <w:spacing w:line="300" w:lineRule="exact" w:before="300" w:after="0"/>
              <w:ind w:left="12" w:right="144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2B2425"/>
                <w:sz w:val="22"/>
              </w:rPr>
              <w:t xml:space="preserve">Comment accomplir les formalités médicales ?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Chaque futur assuré doit prendre contact avec ABCOS au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09.69.32.27.32, ou CBSA au 09.69.32.34.43 qui le mettra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directement en relation avec le centre de bilan le plus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proche de son domicile, et avec lequel il conviendra d’un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rendez-vous. Dans le cadre de la procédure ABCOS ou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CBSA, UGIP Assurances prend en charge l’intégralité des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frais médicaux occasionnés par les éventuels examens à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effectuer sauf  si l'assurance n'est pas réalisée chez UGIP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Assurances ou en cas de souscription d'un prêt relais sec.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Il est également possible pour le futur assuré d'effectuer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les examens auprès de son médecin traitant ou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>professionnel de santé de son choix.</w:t>
            </w:r>
          </w:p>
          <w:p>
            <w:pPr>
              <w:autoSpaceDN w:val="0"/>
              <w:autoSpaceDE w:val="0"/>
              <w:widowControl/>
              <w:spacing w:line="180" w:lineRule="exact" w:before="590" w:after="0"/>
              <w:ind w:left="0" w:right="144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15"/>
              </w:rPr>
              <w:t xml:space="preserve">Lexique :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15"/>
              </w:rPr>
              <w:t>QSS = Questionnaire de Santé Simplifié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15"/>
              </w:rPr>
              <w:t>QS = Questionnaire de Santé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15"/>
              </w:rPr>
              <w:t xml:space="preserve">QS + Labo 1 = Questionnaire de Santé + Labo 1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15"/>
              </w:rPr>
              <w:t xml:space="preserve">1 = Questionnaire de Santé + Rapport Médical + Labo 1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15"/>
              </w:rPr>
              <w:t xml:space="preserve">2 = Questionnaire de Santé + Rapport Médical + Labo 2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15"/>
              </w:rPr>
              <w:t xml:space="preserve">3 = Questionnaire de Santé + Rapport Médical + Labo 2 + Cotinine + ECG Repos </w:t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15"/>
              </w:rPr>
              <w:t xml:space="preserve">4 = Questionnaire de Santé + Rapport Médical + Labo 2 + Cotinine + ECG Repos + </w:t>
            </w:r>
            <w:r>
              <w:rPr>
                <w:rFonts w:ascii="SourceSansPro" w:hAnsi="SourceSansPro" w:eastAsia="SourceSansPro"/>
                <w:b w:val="0"/>
                <w:i/>
                <w:color w:val="000000"/>
                <w:sz w:val="15"/>
              </w:rPr>
              <w:t>Echocardiographie</w:t>
            </w:r>
          </w:p>
        </w:tc>
        <w:tc>
          <w:tcPr>
            <w:tcW w:type="dxa" w:w="57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02000" cy="1168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16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108200" cy="635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0"/>
        </w:trPr>
        <w:tc>
          <w:tcPr>
            <w:tcW w:type="dxa" w:w="1010"/>
            <w:vMerge/>
            <w:tcBorders/>
          </w:tcPr>
          <w:p/>
        </w:tc>
        <w:tc>
          <w:tcPr>
            <w:tcW w:type="dxa" w:w="1112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92" w:after="0"/>
              <w:ind w:left="29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 xml:space="preserve">Capital à assurer : </w:t>
            </w:r>
          </w:p>
        </w:tc>
      </w:tr>
      <w:tr>
        <w:trPr>
          <w:trHeight w:hRule="exact" w:val="520"/>
        </w:trPr>
        <w:tc>
          <w:tcPr>
            <w:tcW w:type="dxa" w:w="1010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2" w:after="0"/>
              <w:ind w:left="0" w:right="134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Age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4" w:after="0"/>
              <w:ind w:left="288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0€ à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200 000€</w:t>
            </w:r>
          </w:p>
        </w:tc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4" w:after="0"/>
              <w:ind w:left="144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200 001 €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300 000€</w:t>
            </w:r>
          </w:p>
        </w:tc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300 001 €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350 000€</w:t>
            </w:r>
          </w:p>
        </w:tc>
        <w:tc>
          <w:tcPr>
            <w:tcW w:type="dxa" w:w="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350 001 €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500 000€</w:t>
            </w:r>
          </w:p>
        </w:tc>
        <w:tc>
          <w:tcPr>
            <w:tcW w:type="dxa" w:w="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500 001 €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600 000€</w:t>
            </w:r>
          </w:p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600 001 €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700 000€</w:t>
            </w:r>
          </w:p>
        </w:tc>
        <w:tc>
          <w:tcPr>
            <w:tcW w:type="dxa" w:w="9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700 001 €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800 000€</w:t>
            </w:r>
          </w:p>
        </w:tc>
        <w:tc>
          <w:tcPr>
            <w:tcW w:type="dxa" w:w="8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800 001 €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1 000 000€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1 000 001 €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1 500 000€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1 500 001 €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2 000 000€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0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 xml:space="preserve">De 2 000 001 € </w:t>
            </w: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à 3 000 000€</w:t>
            </w:r>
          </w:p>
        </w:tc>
      </w:tr>
      <w:tr>
        <w:trPr>
          <w:trHeight w:hRule="exact" w:val="420"/>
        </w:trPr>
        <w:tc>
          <w:tcPr>
            <w:tcW w:type="dxa" w:w="1010"/>
            <w:vMerge/>
            <w:tcBorders/>
          </w:tcPr>
          <w:p/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2" w:after="0"/>
              <w:ind w:left="360" w:right="0" w:firstLine="0"/>
              <w:jc w:val="lef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E3E"/>
                <w:sz w:val="14"/>
              </w:rPr>
              <w:t>De 18 à 45 ans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2" w:after="0"/>
              <w:ind w:left="0" w:right="794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E3E"/>
                <w:sz w:val="14"/>
              </w:rPr>
              <w:t>QSS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2" w:after="0"/>
              <w:ind w:left="0" w:right="382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E3E"/>
                <w:sz w:val="14"/>
              </w:rPr>
              <w:t>QS</w:t>
            </w:r>
          </w:p>
        </w:tc>
        <w:tc>
          <w:tcPr>
            <w:tcW w:type="dxa" w:w="17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2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QS + Labo 1</w:t>
            </w:r>
          </w:p>
        </w:tc>
        <w:tc>
          <w:tcPr>
            <w:tcW w:type="dxa" w:w="9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2" w:after="0"/>
              <w:ind w:left="0" w:right="392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1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2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2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0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3</w:t>
            </w:r>
          </w:p>
        </w:tc>
      </w:tr>
      <w:tr>
        <w:trPr>
          <w:trHeight w:hRule="exact" w:val="460"/>
        </w:trPr>
        <w:tc>
          <w:tcPr>
            <w:tcW w:type="dxa" w:w="1010"/>
            <w:vMerge/>
            <w:tcBorders/>
          </w:tcPr>
          <w:p/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2" w:after="0"/>
              <w:ind w:left="360" w:right="0" w:firstLine="0"/>
              <w:jc w:val="lef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E3E"/>
                <w:sz w:val="14"/>
              </w:rPr>
              <w:t>De 46 à 55 ans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0" w:after="0"/>
              <w:ind w:left="488" w:right="0" w:firstLine="0"/>
              <w:jc w:val="lef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E3E"/>
                <w:sz w:val="14"/>
              </w:rPr>
              <w:t>QSS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0" w:after="0"/>
              <w:ind w:left="0" w:right="140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QS + Labo 1</w:t>
            </w:r>
          </w:p>
        </w:tc>
        <w:tc>
          <w:tcPr>
            <w:tcW w:type="dxa" w:w="2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0" w:after="0"/>
              <w:ind w:left="0" w:right="842" w:firstLine="0"/>
              <w:jc w:val="right"/>
            </w:pPr>
            <w:r>
              <w:rPr>
                <w:w w:val="96.4464255741664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1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0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2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4" w:after="0"/>
              <w:ind w:left="0" w:right="294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3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0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4</w:t>
            </w:r>
          </w:p>
        </w:tc>
      </w:tr>
      <w:tr>
        <w:trPr>
          <w:trHeight w:hRule="exact" w:val="480"/>
        </w:trPr>
        <w:tc>
          <w:tcPr>
            <w:tcW w:type="dxa" w:w="1010"/>
            <w:vMerge/>
            <w:tcBorders/>
          </w:tcPr>
          <w:p/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6" w:after="0"/>
              <w:ind w:left="360" w:right="0" w:firstLine="0"/>
              <w:jc w:val="lef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E3E"/>
                <w:sz w:val="14"/>
              </w:rPr>
              <w:t>De 56 à 64 ans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6" w:after="0"/>
              <w:ind w:left="72" w:right="0" w:firstLine="0"/>
              <w:jc w:val="lef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E3E"/>
                <w:sz w:val="14"/>
              </w:rPr>
              <w:t>QS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2" w:after="0"/>
              <w:ind w:left="120" w:right="0" w:firstLine="0"/>
              <w:jc w:val="lef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QS + Labo 1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4" w:after="0"/>
              <w:ind w:left="0" w:right="640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1</w:t>
            </w:r>
          </w:p>
        </w:tc>
        <w:tc>
          <w:tcPr>
            <w:tcW w:type="dxa" w:w="1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4" w:after="0"/>
              <w:ind w:left="0" w:right="392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2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3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4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4</w:t>
            </w:r>
          </w:p>
        </w:tc>
      </w:tr>
      <w:tr>
        <w:trPr>
          <w:trHeight w:hRule="exact" w:val="400"/>
        </w:trPr>
        <w:tc>
          <w:tcPr>
            <w:tcW w:type="dxa" w:w="1010"/>
            <w:vMerge/>
            <w:tcBorders/>
          </w:tcPr>
          <w:p/>
        </w:tc>
        <w:tc>
          <w:tcPr>
            <w:tcW w:type="dxa" w:w="13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8" w:after="0"/>
              <w:ind w:left="0" w:right="218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E3E"/>
                <w:sz w:val="14"/>
              </w:rPr>
              <w:t>De 65 à 85 ans</w:t>
            </w:r>
          </w:p>
        </w:tc>
        <w:tc>
          <w:tcPr>
            <w:tcW w:type="dxa" w:w="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6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3E3E3E"/>
                <w:sz w:val="14"/>
              </w:rPr>
              <w:t>QS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8" w:after="0"/>
              <w:ind w:left="0" w:right="140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QS + Labo 1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8" w:after="0"/>
              <w:ind w:left="0" w:right="428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1</w:t>
            </w:r>
          </w:p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8" w:after="0"/>
              <w:ind w:left="0" w:right="0" w:firstLine="0"/>
              <w:jc w:val="center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2</w:t>
            </w:r>
          </w:p>
        </w:tc>
        <w:tc>
          <w:tcPr>
            <w:tcW w:type="dxa" w:w="176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8" w:after="0"/>
              <w:ind w:left="410" w:right="0" w:firstLine="0"/>
              <w:jc w:val="lef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3</w:t>
            </w:r>
          </w:p>
        </w:tc>
        <w:tc>
          <w:tcPr>
            <w:tcW w:type="dxa" w:w="2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8" w:after="0"/>
              <w:ind w:left="0" w:right="1804" w:firstLine="0"/>
              <w:jc w:val="right"/>
            </w:pPr>
            <w:r>
              <w:rPr>
                <w:w w:val="96.46285602024624"/>
                <w:rFonts w:ascii="SourceSansPro" w:hAnsi="SourceSansPro" w:eastAsia="SourceSansPro"/>
                <w:b w:val="0"/>
                <w:i w:val="0"/>
                <w:color w:val="FFFFFF"/>
                <w:sz w:val="14"/>
              </w:rPr>
              <w:t>4</w:t>
            </w:r>
          </w:p>
        </w:tc>
      </w:tr>
      <w:tr>
        <w:trPr>
          <w:trHeight w:hRule="exact" w:val="580"/>
        </w:trPr>
        <w:tc>
          <w:tcPr>
            <w:tcW w:type="dxa" w:w="1010"/>
            <w:vMerge/>
            <w:tcBorders/>
          </w:tcPr>
          <w:p/>
        </w:tc>
        <w:tc>
          <w:tcPr>
            <w:tcW w:type="dxa" w:w="1112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06" w:after="0"/>
              <w:ind w:left="296" w:right="432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 xml:space="preserve">*Ce tableau ne concerne pas les encours cumulés en-dessous de 200 000 € par assuré ou dont l’échéance arrive avant le 60ème anniversaire de l’assuré. Pour ces encours, aucune formalité médicale n’est demandée,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 xml:space="preserve">en application de l’article L. 113-2-1 du code des assurances. </w:t>
            </w:r>
          </w:p>
        </w:tc>
      </w:tr>
      <w:tr>
        <w:trPr>
          <w:trHeight w:hRule="exact" w:val="660"/>
        </w:trPr>
        <w:tc>
          <w:tcPr>
            <w:tcW w:type="dxa" w:w="1010"/>
            <w:vMerge/>
            <w:tcBorders/>
          </w:tcPr>
          <w:p/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24" w:after="0"/>
              <w:ind w:left="0" w:right="596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2"/>
              </w:rPr>
              <w:t>Labo 1</w:t>
            </w:r>
          </w:p>
        </w:tc>
        <w:tc>
          <w:tcPr>
            <w:tcW w:type="dxa" w:w="91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10" w:after="0"/>
              <w:ind w:left="242" w:right="38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2"/>
              </w:rPr>
              <w:t xml:space="preserve">Numération et Formule Sanguine, Plaquettes, dosage de la protéine C réactive, Cholestérol Total / HDL,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2"/>
              </w:rPr>
              <w:t xml:space="preserve">glycémie à jeun, triglycérides, créatinine, ASAT, ALAT, GGT et sérologie H.I.V. 1 et 2. Pour les hommes de +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2"/>
              </w:rPr>
              <w:t>de 50 ans, dosage de l'Antigène Spécifique de la Prostate.</w:t>
            </w:r>
          </w:p>
        </w:tc>
      </w:tr>
      <w:tr>
        <w:trPr>
          <w:trHeight w:hRule="exact" w:val="380"/>
        </w:trPr>
        <w:tc>
          <w:tcPr>
            <w:tcW w:type="dxa" w:w="1010"/>
            <w:vMerge/>
            <w:tcBorders/>
          </w:tcPr>
          <w:p/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6" w:after="0"/>
              <w:ind w:left="0" w:right="596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2"/>
              </w:rPr>
              <w:t>Labo 2</w:t>
            </w:r>
          </w:p>
        </w:tc>
        <w:tc>
          <w:tcPr>
            <w:tcW w:type="dxa" w:w="91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4" w:after="0"/>
              <w:ind w:left="240" w:right="37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2"/>
              </w:rPr>
              <w:t xml:space="preserve">LABO 1 + Vitesse de sédimentation, acide urique, Marqueurs de l’hépatite B (Ag Hbs) et de l’hépatite C (AC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2"/>
              </w:rPr>
              <w:t xml:space="preserve">anti-VHC). </w:t>
            </w:r>
          </w:p>
        </w:tc>
      </w:tr>
      <w:tr>
        <w:trPr>
          <w:trHeight w:hRule="exact" w:val="300"/>
        </w:trPr>
        <w:tc>
          <w:tcPr>
            <w:tcW w:type="dxa" w:w="1010"/>
            <w:vMerge/>
            <w:tcBorders/>
          </w:tcPr>
          <w:p/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2" w:after="0"/>
              <w:ind w:left="0" w:right="548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2"/>
              </w:rPr>
              <w:t>Cotinine</w:t>
            </w:r>
          </w:p>
        </w:tc>
        <w:tc>
          <w:tcPr>
            <w:tcW w:type="dxa" w:w="91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24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2"/>
              </w:rPr>
              <w:t>Test de cotinine urinaire pour les Non-Fumeurs.</w:t>
            </w:r>
          </w:p>
        </w:tc>
      </w:tr>
      <w:tr>
        <w:trPr>
          <w:trHeight w:hRule="exact" w:val="340"/>
        </w:trPr>
        <w:tc>
          <w:tcPr>
            <w:tcW w:type="dxa" w:w="1010"/>
            <w:vMerge/>
            <w:tcBorders/>
          </w:tcPr>
          <w:p/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8" w:after="0"/>
              <w:ind w:left="0" w:right="494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2"/>
              </w:rPr>
              <w:t>ECG Repos</w:t>
            </w:r>
          </w:p>
        </w:tc>
        <w:tc>
          <w:tcPr>
            <w:tcW w:type="dxa" w:w="91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2" w:after="0"/>
              <w:ind w:left="24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2"/>
              </w:rPr>
              <w:t xml:space="preserve">Electrocardiogramme de repos avec compte rendu du cardiologue. </w:t>
            </w:r>
          </w:p>
        </w:tc>
      </w:tr>
      <w:tr>
        <w:trPr>
          <w:trHeight w:hRule="exact" w:val="500"/>
        </w:trPr>
        <w:tc>
          <w:tcPr>
            <w:tcW w:type="dxa" w:w="1010"/>
            <w:vMerge/>
            <w:tcBorders/>
          </w:tcPr>
          <w:p/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4" w:after="0"/>
              <w:ind w:left="0" w:right="28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2"/>
              </w:rPr>
              <w:t>Echocardiographie</w:t>
            </w:r>
          </w:p>
        </w:tc>
        <w:tc>
          <w:tcPr>
            <w:tcW w:type="dxa" w:w="91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4" w:after="0"/>
              <w:ind w:left="24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2"/>
              </w:rPr>
              <w:t>Avec son compte rendu</w:t>
            </w:r>
          </w:p>
        </w:tc>
      </w:tr>
      <w:tr>
        <w:trPr>
          <w:trHeight w:hRule="exact" w:val="3178"/>
        </w:trPr>
        <w:tc>
          <w:tcPr>
            <w:tcW w:type="dxa" w:w="1010"/>
            <w:vMerge/>
            <w:tcBorders/>
          </w:tcPr>
          <w:p/>
        </w:tc>
        <w:tc>
          <w:tcPr>
            <w:tcW w:type="dxa" w:w="1112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82" w:after="0"/>
              <w:ind w:left="286" w:right="1872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>Formalités financières :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déclaratif à partir de 1 700 000€ , justificatifs indiqués au Questionnaire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>Financier à compter de 2 200 000€.</w:t>
            </w:r>
          </w:p>
          <w:p>
            <w:pPr>
              <w:autoSpaceDN w:val="0"/>
              <w:autoSpaceDE w:val="0"/>
              <w:widowControl/>
              <w:spacing w:line="268" w:lineRule="exact" w:before="364" w:after="0"/>
              <w:ind w:left="286" w:right="244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>Concernant les prêts relais :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pas de cumul des capitaux entre le prêt principal et le </w:t>
            </w: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prêt relais, dès lors que le prêt relais n’excède pas 500.000€ et une durée maximum de 24 mois. Seul </w:t>
            </w:r>
          </w:p>
          <w:p>
            <w:pPr>
              <w:autoSpaceDN w:val="0"/>
              <w:autoSpaceDE w:val="0"/>
              <w:widowControl/>
              <w:spacing w:line="280" w:lineRule="exact" w:before="20" w:after="0"/>
              <w:ind w:left="28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 xml:space="preserve">le prêt principal entre en compte pour déterminer les formalités médicales. Dans le cas d’un prêt </w:t>
            </w:r>
          </w:p>
          <w:p>
            <w:pPr>
              <w:autoSpaceDN w:val="0"/>
              <w:autoSpaceDE w:val="0"/>
              <w:widowControl/>
              <w:spacing w:line="280" w:lineRule="exact" w:before="20" w:after="0"/>
              <w:ind w:left="28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2B2425"/>
                <w:sz w:val="20"/>
              </w:rPr>
              <w:t>relais seul, les formalités médicales correspondant au capital devront être appliquées.</w:t>
            </w:r>
          </w:p>
          <w:p>
            <w:pPr>
              <w:autoSpaceDN w:val="0"/>
              <w:tabs>
                <w:tab w:pos="9584" w:val="left"/>
              </w:tabs>
              <w:autoSpaceDE w:val="0"/>
              <w:widowControl/>
              <w:spacing w:line="300" w:lineRule="exact" w:before="100" w:after="0"/>
              <w:ind w:left="9448" w:right="0" w:firstLine="0"/>
              <w:jc w:val="left"/>
            </w:pPr>
            <w:r>
              <w:tab/>
            </w: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 xml:space="preserve">Des questions ?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>Contactez-nous !</w:t>
            </w:r>
          </w:p>
        </w:tc>
      </w:tr>
    </w:tbl>
    <w:p>
      <w:pPr>
        <w:autoSpaceDN w:val="0"/>
        <w:autoSpaceDE w:val="0"/>
        <w:widowControl/>
        <w:spacing w:line="300" w:lineRule="exact" w:before="52" w:after="10"/>
        <w:ind w:left="13872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FFFFFF"/>
          <w:sz w:val="20"/>
        </w:rPr>
        <w:t xml:space="preserve">commercial@ugip.org </w:t>
      </w:r>
      <w:r>
        <w:br/>
      </w:r>
      <w:r>
        <w:rPr>
          <w:rFonts w:ascii="SourceSansPro" w:hAnsi="SourceSansPro" w:eastAsia="SourceSansPro"/>
          <w:b w:val="0"/>
          <w:i w:val="0"/>
          <w:color w:val="FFFFFF"/>
          <w:sz w:val="20"/>
        </w:rPr>
        <w:t>01.44.53.49.99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3594100</wp:posOffset>
            </wp:positionH>
            <wp:positionV relativeFrom="page">
              <wp:posOffset>1524000</wp:posOffset>
            </wp:positionV>
            <wp:extent cx="7099300" cy="603885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60388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6451600</wp:posOffset>
            </wp:positionV>
            <wp:extent cx="1612900" cy="11049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104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0.0" w:type="dxa"/>
      </w:tblPr>
      <w:tblGrid>
        <w:gridCol w:w="8078"/>
        <w:gridCol w:w="8078"/>
      </w:tblGrid>
      <w:tr>
        <w:trPr>
          <w:trHeight w:hRule="exact" w:val="342"/>
        </w:trPr>
        <w:tc>
          <w:tcPr>
            <w:tcW w:type="dxa" w:w="10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74" w:after="0"/>
              <w:ind w:left="1674" w:right="1584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3E3E3E"/>
                <w:sz w:val="8"/>
              </w:rPr>
              <w:t xml:space="preserve">UGIP Assurances - 30/32 Boulevard de Vaugirard 75015 Paris - SAS au capital de 130 944 € - RCS Paris N°398 784 645 - Intermédiaire en assurances - Immatriculée à l'ORIAS N°07 005 590 (www.orias.fr). Société soumise au </w:t>
            </w:r>
            <w:r>
              <w:rPr>
                <w:rFonts w:ascii="SourceSansPro" w:hAnsi="SourceSansPro" w:eastAsia="SourceSansPro"/>
                <w:b w:val="0"/>
                <w:i/>
                <w:color w:val="3E3E3E"/>
                <w:sz w:val="8"/>
              </w:rPr>
              <w:t xml:space="preserve">contrôle de l'ACPR 4 place de Budapest 75436 Paris CEDEX 09. Toute réclamation devra être transmise à UGIP Assurances - Service Réclamations - 143 Boulevard René Cassin - Immeuble Nouvel’R - Bat C - CS 63278 - 06205 </w:t>
            </w:r>
            <w:r>
              <w:rPr>
                <w:rFonts w:ascii="SourceSansPro" w:hAnsi="SourceSansPro" w:eastAsia="SourceSansPro"/>
                <w:b w:val="0"/>
                <w:i/>
                <w:color w:val="3E3E3E"/>
                <w:sz w:val="8"/>
              </w:rPr>
              <w:t>Nice CEDEX 3.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0" w:right="26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>www.ugipassurances.com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0" w:right="292" w:bottom="132" w:left="3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