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6398260</wp:posOffset>
            </wp:positionH>
            <wp:positionV relativeFrom="page">
              <wp:posOffset>629920</wp:posOffset>
            </wp:positionV>
            <wp:extent cx="401319" cy="180003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319" cy="1800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444500</wp:posOffset>
            </wp:positionV>
            <wp:extent cx="6616700" cy="18669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86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1" w:lineRule="auto" w:before="0" w:after="0"/>
        <w:ind w:left="202" w:right="144" w:firstLine="0"/>
        <w:jc w:val="left"/>
      </w:pPr>
      <w:r>
        <w:rPr>
          <w:rFonts w:ascii="SourceSansPro" w:hAnsi="SourceSansPro" w:eastAsia="SourceSansPro"/>
          <w:b/>
          <w:i w:val="0"/>
          <w:color w:val="FFFFFF"/>
          <w:sz w:val="26"/>
        </w:rPr>
        <w:t xml:space="preserve">ASSURANCE EMPRUNTEUR </w:t>
      </w:r>
      <w:r>
        <w:br/>
      </w:r>
      <w:r>
        <w:rPr>
          <w:rFonts w:ascii="SourceSansPro" w:hAnsi="SourceSansPro" w:eastAsia="SourceSansPro"/>
          <w:b w:val="0"/>
          <w:i w:val="0"/>
          <w:color w:val="FFFFFF"/>
          <w:sz w:val="16"/>
        </w:rPr>
        <w:t xml:space="preserve">Document d’information sur le produit d’assurance </w:t>
      </w:r>
      <w:r>
        <w:br/>
      </w:r>
      <w:r>
        <w:rPr>
          <w:rFonts w:ascii="SourceSansPro" w:hAnsi="SourceSansPro" w:eastAsia="SourceSansPro"/>
          <w:b/>
          <w:i w:val="0"/>
          <w:color w:val="FFFFFF"/>
          <w:sz w:val="15"/>
        </w:rPr>
        <w:t>Produit assuré par MUTLOG</w:t>
      </w:r>
      <w:r>
        <w:rPr>
          <w:rFonts w:ascii="SourceSansPro" w:hAnsi="SourceSansPro" w:eastAsia="SourceSansPro"/>
          <w:b/>
          <w:i w:val="0"/>
          <w:color w:val="FFFFFF"/>
          <w:sz w:val="15"/>
        </w:rPr>
        <w:t xml:space="preserve"> - 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75 Quai de la Seine 75940 Paris Cedex 19 - Mutuelle régie par le Code de la Mutualité – SIREN n° 325 942 969 (LEI : 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969500N48BV9MPSP5182) et </w:t>
      </w:r>
      <w:r>
        <w:rPr>
          <w:rFonts w:ascii="SourceSansPro" w:hAnsi="SourceSansPro" w:eastAsia="SourceSansPro"/>
          <w:b/>
          <w:i w:val="0"/>
          <w:color w:val="FFFFFF"/>
          <w:sz w:val="15"/>
        </w:rPr>
        <w:t>MUTLOG Garanties  -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 75 Quai de la Seine 75940 Paris Cedex 19 - Mutuelle régie par le Code de la Mutualité - SIREN n° 384 253 605 (LEI 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>: 969500SOV6U08S8A1F91).</w:t>
      </w:r>
    </w:p>
    <w:p>
      <w:pPr>
        <w:autoSpaceDN w:val="0"/>
        <w:autoSpaceDE w:val="0"/>
        <w:widowControl/>
        <w:spacing w:line="245" w:lineRule="auto" w:before="148" w:after="0"/>
        <w:ind w:left="202" w:right="144" w:firstLine="0"/>
        <w:jc w:val="left"/>
      </w:pPr>
      <w:r>
        <w:rPr>
          <w:rFonts w:ascii="SourceSansPro" w:hAnsi="SourceSansPro" w:eastAsia="SourceSansPro"/>
          <w:b/>
          <w:i w:val="0"/>
          <w:color w:val="FFFFFF"/>
          <w:sz w:val="15"/>
        </w:rPr>
        <w:t>Produit distribué par l’intermédiaire</w:t>
      </w:r>
      <w:r>
        <w:rPr>
          <w:rFonts w:ascii="SourceSansPro" w:hAnsi="SourceSansPro" w:eastAsia="SourceSansPro"/>
          <w:b/>
          <w:i w:val="0"/>
          <w:color w:val="FFFFFF"/>
          <w:sz w:val="15"/>
        </w:rPr>
        <w:t>UGIP Assurances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 - 30/32 Boulevard de Vaugirard 75015 Paris - SAS au capital de 130 944 € - RCS Paris N°398 784 645 - 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Intermédiaire en assurances - Immatriculée à l’ORIAS N°07 005 590 (www.orias.fr). </w:t>
      </w:r>
      <w:r>
        <w:rPr>
          <w:rFonts w:ascii="SourceSansPro" w:hAnsi="SourceSansPro" w:eastAsia="SourceSansPro"/>
          <w:b/>
          <w:i w:val="0"/>
          <w:color w:val="FFFFFF"/>
          <w:sz w:val="15"/>
        </w:rPr>
        <w:t xml:space="preserve">Le co-distributeur du Contrat Groupe est GROUPE SANTIANE HOLDING </w:t>
      </w:r>
      <w:r>
        <w:rPr>
          <w:rFonts w:ascii="SourceSansPro" w:hAnsi="SourceSansPro" w:eastAsia="SourceSansPro"/>
          <w:b/>
          <w:i w:val="0"/>
          <w:color w:val="FFFFFF"/>
          <w:sz w:val="15"/>
        </w:rPr>
        <w:t>(GSH)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 - 30/32 Boulevard de Vaugirard 75015 Paris - SAS au capital de 511 539 € - RCS Paris N° 812 962 330 - Immatriculée à l’Orias sous le N° 19 004 119 (www.orias. </w:t>
      </w:r>
      <w:r>
        <w:rPr>
          <w:rFonts w:ascii="SourceSansPro" w:hAnsi="SourceSansPro" w:eastAsia="SourceSansPro"/>
          <w:b w:val="0"/>
          <w:i w:val="0"/>
          <w:color w:val="FFFFFF"/>
          <w:sz w:val="15"/>
        </w:rPr>
        <w:t xml:space="preserve">fr) - Intervient en qualité de </w:t>
      </w:r>
      <w:r>
        <w:rPr>
          <w:rFonts w:ascii="SourceSansPro" w:hAnsi="SourceSansPro" w:eastAsia="SourceSansPro"/>
          <w:b/>
          <w:i w:val="0"/>
          <w:color w:val="FFFFFF"/>
          <w:sz w:val="15"/>
        </w:rPr>
        <w:t>co-courtier d’UGIP Assurances.</w:t>
      </w:r>
    </w:p>
    <w:p>
      <w:pPr>
        <w:autoSpaceDN w:val="0"/>
        <w:autoSpaceDE w:val="0"/>
        <w:widowControl/>
        <w:spacing w:line="269" w:lineRule="auto" w:before="148" w:after="0"/>
        <w:ind w:left="202" w:right="0" w:firstLine="0"/>
        <w:jc w:val="left"/>
      </w:pPr>
      <w:r>
        <w:rPr>
          <w:rFonts w:ascii="SourceSansPro" w:hAnsi="SourceSansPro" w:eastAsia="SourceSansPro"/>
          <w:b/>
          <w:i w:val="0"/>
          <w:color w:val="FFFFFF"/>
          <w:sz w:val="15"/>
        </w:rPr>
        <w:t>Nom du produit : UGIP START N°2501</w:t>
      </w:r>
    </w:p>
    <w:p>
      <w:pPr>
        <w:autoSpaceDN w:val="0"/>
        <w:autoSpaceDE w:val="0"/>
        <w:widowControl/>
        <w:spacing w:line="274" w:lineRule="auto" w:before="330" w:after="0"/>
        <w:ind w:left="0" w:right="0" w:firstLine="0"/>
        <w:jc w:val="left"/>
      </w:pPr>
      <w:r>
        <w:rPr>
          <w:w w:val="98.99494383070204"/>
          <w:rFonts w:ascii="SourceSansPro" w:hAnsi="SourceSansPro" w:eastAsia="SourceSansPro"/>
          <w:b w:val="0"/>
          <w:i w:val="0"/>
          <w:color w:val="58595B"/>
          <w:sz w:val="18"/>
        </w:rPr>
        <w:t xml:space="preserve">Ce document d’information présente un résumé des principales garanties et exclusions du contrat. Il ne prend pas en compte vos besoins et </w:t>
      </w:r>
      <w:r>
        <w:rPr>
          <w:w w:val="98.99494383070204"/>
          <w:rFonts w:ascii="SourceSansPro" w:hAnsi="SourceSansPro" w:eastAsia="SourceSansPro"/>
          <w:b w:val="0"/>
          <w:i w:val="0"/>
          <w:color w:val="58595B"/>
          <w:sz w:val="18"/>
        </w:rPr>
        <w:t xml:space="preserve">demandes spécifiques. Vous trouverez l’information complète sur ce produit dans la documentation précontractuelle et contractuelle. </w:t>
      </w:r>
      <w:r>
        <w:rPr>
          <w:rFonts w:ascii="SourceSansPro" w:hAnsi="SourceSansPro" w:eastAsia="SourceSansPro"/>
          <w:b/>
          <w:i w:val="0"/>
          <w:color w:val="0A6AA6"/>
          <w:sz w:val="18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148" w:after="148"/>
        <w:ind w:left="0" w:right="20" w:firstLine="0"/>
        <w:jc w:val="both"/>
      </w:pPr>
      <w:r>
        <w:rPr>
          <w:w w:val="98.99494383070204"/>
          <w:rFonts w:ascii="SourceSansPro" w:hAnsi="SourceSansPro" w:eastAsia="SourceSansPro"/>
          <w:b w:val="0"/>
          <w:i w:val="0"/>
          <w:color w:val="58595B"/>
          <w:sz w:val="18"/>
        </w:rPr>
        <w:t xml:space="preserve">Ce produit est destiné à rembourser à votre place tout ou partie des échéances de prêts ou des loyers dus en cas de survenance de certains </w:t>
      </w:r>
      <w:r>
        <w:rPr>
          <w:w w:val="98.99494383070204"/>
          <w:rFonts w:ascii="SourceSansPro" w:hAnsi="SourceSansPro" w:eastAsia="SourceSansPro"/>
          <w:b w:val="0"/>
          <w:i w:val="0"/>
          <w:color w:val="58595B"/>
          <w:sz w:val="18"/>
        </w:rPr>
        <w:t xml:space="preserve">évènements vous en empêchant. Cette assurance peut notamment être souscrite en garantie de prêt personnel à la consommation, prêt </w:t>
      </w:r>
      <w:r>
        <w:rPr>
          <w:w w:val="98.99494383070204"/>
          <w:rFonts w:ascii="SourceSansPro" w:hAnsi="SourceSansPro" w:eastAsia="SourceSansPro"/>
          <w:b w:val="0"/>
          <w:i w:val="0"/>
          <w:color w:val="58595B"/>
          <w:sz w:val="18"/>
        </w:rPr>
        <w:t>professionnel, opération de crédit-bail.</w:t>
      </w:r>
    </w:p>
    <w:p>
      <w:pPr>
        <w:sectPr>
          <w:pgSz w:w="11906" w:h="16838"/>
          <w:pgMar w:top="448" w:right="708" w:bottom="184" w:left="76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10438"/>
      </w:tblGrid>
      <w:tr>
        <w:trPr>
          <w:trHeight w:hRule="exact" w:val="10788"/>
        </w:trPr>
        <w:tc>
          <w:tcPr>
            <w:tcW w:type="dxa" w:w="5154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/>
                <w:i w:val="0"/>
                <w:color w:val="0A6AA6"/>
                <w:sz w:val="22"/>
              </w:rPr>
              <w:t>QU’EST-CE QUI EST ASSURÉ ?</w:t>
            </w:r>
          </w:p>
          <w:p>
            <w:pPr>
              <w:autoSpaceDN w:val="0"/>
              <w:autoSpaceDE w:val="0"/>
              <w:widowControl/>
              <w:spacing w:line="257" w:lineRule="auto" w:before="86" w:after="50"/>
              <w:ind w:left="160" w:right="0" w:firstLine="0"/>
              <w:jc w:val="left"/>
            </w:pP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LES GARANTIES SYSTÉMATIQUEMENT PRÉVUES 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.99999999999997" w:type="dxa"/>
            </w:tblPr>
            <w:tblGrid>
              <w:gridCol w:w="2577"/>
              <w:gridCol w:w="2577"/>
            </w:tblGrid>
            <w:tr>
              <w:trPr>
                <w:trHeight w:hRule="exact" w:val="68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6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2" w:after="0"/>
                    <w:ind w:left="30" w:right="144" w:firstLine="0"/>
                    <w:jc w:val="left"/>
                  </w:pPr>
                  <w:r>
                    <w:rPr>
                      <w:rFonts w:ascii="SourceSansPro" w:hAnsi="SourceSansPro" w:eastAsia="SourceSansPro"/>
                      <w:b/>
                      <w:i w:val="0"/>
                      <w:color w:val="58595B"/>
                      <w:sz w:val="17"/>
                    </w:rPr>
                    <w:t xml:space="preserve">La garantie préalable du décès accidentel : 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58595B"/>
                      <w:sz w:val="17"/>
                    </w:rPr>
                    <w:t xml:space="preserve">garantie </w:t>
                  </w:r>
                  <w:r>
                    <w:br/>
                  </w:r>
                  <w:r>
                    <w:rPr>
                      <w:rFonts w:ascii="SourceSansPro" w:hAnsi="SourceSansPro" w:eastAsia="SourceSansPro"/>
                      <w:b/>
                      <w:i w:val="0"/>
                      <w:color w:val="58595B"/>
                      <w:sz w:val="17"/>
                    </w:rPr>
                    <w:t>temporaire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58595B"/>
                      <w:sz w:val="17"/>
                    </w:rPr>
                    <w:t xml:space="preserve"> en cas de décès accidentel entre la signature de la 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58595B"/>
                      <w:sz w:val="17"/>
                    </w:rPr>
                    <w:t>demande d’adhésion et l’acceptation du dossier par l’assureur.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86" w:after="142"/>
              <w:ind w:left="160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Les garanties ci-après sont soumises à l’acceptation du dossier par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l’assureur notamment sur la partie médicale.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7.99999999999997" w:type="dxa"/>
            </w:tblPr>
            <w:tblGrid>
              <w:gridCol w:w="2577"/>
              <w:gridCol w:w="2577"/>
            </w:tblGrid>
            <w:tr>
              <w:trPr>
                <w:trHeight w:hRule="exact" w:val="1002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6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30" w:right="0" w:firstLine="0"/>
                    <w:jc w:val="left"/>
                  </w:pPr>
                  <w:r>
                    <w:rPr>
                      <w:rFonts w:ascii="SourceSansPro" w:hAnsi="SourceSansPro" w:eastAsia="SourceSansPro"/>
                      <w:b/>
                      <w:i w:val="0"/>
                      <w:color w:val="58595B"/>
                      <w:sz w:val="17"/>
                    </w:rPr>
                    <w:t xml:space="preserve">Le Décès (DC) </w:t>
                  </w:r>
                  <w:r>
                    <w:br/>
                  </w:r>
                  <w:r>
                    <w:rPr>
                      <w:rFonts w:ascii="SourceSansPro" w:hAnsi="SourceSansPro" w:eastAsia="SourceSansPro"/>
                      <w:b/>
                      <w:i w:val="0"/>
                      <w:color w:val="58595B"/>
                      <w:sz w:val="17"/>
                    </w:rPr>
                    <w:t xml:space="preserve">La Perte Totale et Irréversible d’Autonomie (P.T.I.A.) </w:t>
                  </w:r>
                  <w:r>
                    <w:br/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58595B"/>
                      <w:sz w:val="17"/>
                    </w:rPr>
                    <w:t xml:space="preserve">Inaptitude totale et irréversible à travailler entraînant le recours 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58595B"/>
                      <w:sz w:val="17"/>
                    </w:rPr>
                    <w:t xml:space="preserve">à l’assistance permanente d’une tierce personne pour se laver, </w:t>
                  </w:r>
                  <w:r>
                    <w:rPr>
                      <w:rFonts w:ascii="SourceSansPro" w:hAnsi="SourceSansPro" w:eastAsia="SourceSansPro"/>
                      <w:b w:val="0"/>
                      <w:i w:val="0"/>
                      <w:color w:val="58595B"/>
                      <w:sz w:val="17"/>
                    </w:rPr>
                    <w:t>s’habiller, se nourrir et se déplacer.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auto" w:before="44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Pour ces deux évènements et dans la limite de la quotité assurée :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Crédit-bail :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versement des loyers restant dus et de la valeur de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rachat,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Pour tous les autres prêts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: versement du capital assuré restant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dû.</w:t>
              <w:br/>
            </w:r>
          </w:p>
          <w:p>
            <w:pPr>
              <w:autoSpaceDN w:val="0"/>
              <w:autoSpaceDE w:val="0"/>
              <w:widowControl/>
              <w:spacing w:line="257" w:lineRule="auto" w:before="144" w:after="0"/>
              <w:ind w:left="160" w:right="0" w:firstLine="0"/>
              <w:jc w:val="left"/>
            </w:pP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LES GARANTIES OPTIONNELLES :</w:t>
            </w:r>
          </w:p>
          <w:p>
            <w:pPr>
              <w:autoSpaceDN w:val="0"/>
              <w:autoSpaceDE w:val="0"/>
              <w:widowControl/>
              <w:spacing w:line="245" w:lineRule="auto" w:before="102" w:after="0"/>
              <w:ind w:left="246" w:right="126" w:hanging="86"/>
              <w:jc w:val="both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L’Incapacité Totale de Travail (I.T.T.) :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Inaptitude totale et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temporaire à travailler pour raison de santé (ou d’effectuer vos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occupations quotidiennes usuelles si vous êtes sans activité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professionnelle au moment du sinistre).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L’Incapacité Temporaire Partielle (I.T.P.), consécutive à une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I.T.T: 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Reprise effective du travail à mi-temps pour raison médicale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sur prescription de votre médecin traitant, consécutive à une I.T.T.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L’Invalidité Permanente Totale (I.P.T.)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,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indemnisée en rente ou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en capital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:  Inaptitude totale et définitive à travailler pour raison de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santé (ou d’effectuer vos occupations quotidiennes usuelles si vous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êtes sans activité professionnelle au moment du sinistre). Le taux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d’invalidité doit être supérieur à 66% et l’état de santé consolidé.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• L’Invalidité Permanente Partielle (I.P.P.) :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Inaptitude partielle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et définitive à travailler pour raison de santé (ou d’effectuer vos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occupations quotidiennes usuelles si vous êtes sans activité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professionnelle au moment du sinistre). Le taux d’invalidité doit être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compris entre 33% et 66% et l’état de santé consolidé.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126" w:firstLine="0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Dans les situations précédentes, passé le délai de franchise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mentionné dans votre certificat d’adhésion :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Versement d’une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indemnité forfaitaire calculée sur la base des échéances de prêt ou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des loyers dus, dans la limite de la quotité assurée. </w:t>
            </w:r>
          </w:p>
          <w:p>
            <w:pPr>
              <w:autoSpaceDN w:val="0"/>
              <w:autoSpaceDE w:val="0"/>
              <w:widowControl/>
              <w:spacing w:line="245" w:lineRule="auto" w:before="88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• L’exonération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des cotisations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, indemnisée en remboursement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des primes durant le versement de la prestation I.T.T./I.P.T./I.P.P.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• La possibilité de faire bénéficier l’assuré d’allègement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des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exclusions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pour les garanties I.T.T./I.T.P./I.P.T./I.P.P.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(option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MNO).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126" w:firstLine="0"/>
              <w:jc w:val="both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• Une extension de garantie en cas de poursuite d’activité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professionnelle pour les garanties I.T.T./I.T.P./I.P.T./I.P.P.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(option UGIP Plus).</w:t>
            </w:r>
          </w:p>
          <w:p>
            <w:pPr>
              <w:autoSpaceDN w:val="0"/>
              <w:autoSpaceDE w:val="0"/>
              <w:widowControl/>
              <w:spacing w:line="240" w:lineRule="auto" w:before="84" w:after="0"/>
              <w:ind w:left="864" w:right="72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 Les garanties précédées d’une coche 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 sont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systématiquement prévues au contrat.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448" w:right="708" w:bottom="184" w:left="760" w:header="720" w:footer="720" w:gutter="0"/>
          <w:cols w:num="2" w:equalWidth="0">
            <w:col w:w="5250" w:space="0"/>
            <w:col w:w="5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23" w:type="dxa"/>
      </w:tblPr>
      <w:tblGrid>
        <w:gridCol w:w="10438"/>
      </w:tblGrid>
      <w:tr>
        <w:trPr>
          <w:trHeight w:hRule="exact" w:val="2604"/>
        </w:trPr>
        <w:tc>
          <w:tcPr>
            <w:tcW w:type="dxa" w:w="5070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68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/>
                <w:i w:val="0"/>
                <w:color w:val="0A6AA6"/>
                <w:sz w:val="22"/>
              </w:rPr>
              <w:t>QU’EST-CE QUI N’EST PAS ASSURÉ ?</w:t>
            </w:r>
          </w:p>
          <w:p>
            <w:pPr>
              <w:autoSpaceDN w:val="0"/>
              <w:autoSpaceDE w:val="0"/>
              <w:widowControl/>
              <w:spacing w:line="240" w:lineRule="auto" w:before="122" w:after="0"/>
              <w:ind w:left="1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La perte d’emploi  ;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Les garanties optionnelles non souscrites ;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Les garanties refusées, les exclusions notifiées par l’assureur ;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La quotité non assurée ;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Les frais de soins.</w:t>
            </w:r>
          </w:p>
          <w:p>
            <w:pPr>
              <w:autoSpaceDN w:val="0"/>
              <w:autoSpaceDE w:val="0"/>
              <w:widowControl/>
              <w:spacing w:line="214" w:lineRule="exact" w:before="140" w:after="0"/>
              <w:ind w:left="0" w:right="0" w:firstLine="0"/>
              <w:jc w:val="center"/>
            </w:pPr>
            <w:r>
              <w:rPr>
                <w:w w:val="98.7500011920929"/>
                <w:rFonts w:ascii="Montserrat" w:hAnsi="Montserrat" w:eastAsia="Montserrat"/>
                <w:b/>
                <w:i w:val="0"/>
                <w:color w:val="58595B"/>
                <w:sz w:val="16"/>
              </w:rPr>
              <w:t>Cette liste n’est pas exhaustive.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455" w:type="dxa"/>
      </w:tblPr>
      <w:tblGrid>
        <w:gridCol w:w="10438"/>
      </w:tblGrid>
      <w:tr>
        <w:trPr>
          <w:trHeight w:hRule="exact" w:val="8058"/>
        </w:trPr>
        <w:tc>
          <w:tcPr>
            <w:tcW w:type="dxa" w:w="5070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1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ourceSansPro" w:hAnsi="SourceSansPro" w:eastAsia="SourceSansPro"/>
                <w:b/>
                <w:i w:val="0"/>
                <w:color w:val="0A6AA6"/>
                <w:sz w:val="22"/>
              </w:rPr>
              <w:t xml:space="preserve">Y A-T-IL DES EXCLUSIONS À LA </w:t>
            </w:r>
            <w:r>
              <w:rPr>
                <w:rFonts w:ascii="SourceSansPro" w:hAnsi="SourceSansPro" w:eastAsia="SourceSansPro"/>
                <w:b/>
                <w:i w:val="0"/>
                <w:color w:val="0A6AA6"/>
                <w:sz w:val="22"/>
              </w:rPr>
              <w:t>COUVERTURE ?</w:t>
            </w:r>
          </w:p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245" w:lineRule="auto" w:before="224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PRINCIPALES EXCLUSIONS COMMUNES À TOUTES LES </w:t>
            </w: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GARANTIES : </w:t>
            </w:r>
            <w:r>
              <w:br/>
            </w: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 Les acciden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ts dus à la pratique de sports ou activités extrêmes,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ou de sports ou activités sportives à titre professionnel ou à titre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amateur sous contrat rémunéré, nécessitant le recours à un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engin à moteur aérien, terrestre ou maritime.</w:t>
            </w:r>
          </w:p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 Les accidents ou maladies résultant de la consommation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d’alcool, de drogues ou de médicaments non prescrits.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54" w:right="296" w:hanging="94"/>
              <w:jc w:val="both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Le suicide au cours de la 1ère année (sauf si le prêt a été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contracté pour financer l’acquisition du logement principal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de l’assuré. Dans ce cas toutefois, seul le montant du prêt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dans la limite du plafond défini à l’article R 132-5 du code des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Assurances est garanti).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Les accidents de navigation aérienne tels que définis au contrat. </w:t>
            </w: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 xml:space="preserve">!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Les suites et conséquences d’une Incapacité ou d’une Invalidité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en cours à la date d’effet des garanties ne peuvent mettre en jeu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les garanties prévues au contrat.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160" w:right="288" w:firstLine="0"/>
              <w:jc w:val="left"/>
            </w:pP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PRINCIPALES RESTRICTIONS : </w:t>
            </w:r>
            <w:r>
              <w:br/>
            </w: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u w:val="single" w:color="57585a"/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L’existence d’âges limites à l’a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dhésion (67 ou 85 ans selon les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garanties).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54" w:right="296" w:hanging="94"/>
              <w:jc w:val="both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Le montant total des capitaux assurés, tous contrats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d’assurance de financement auprès de l’assureur et tous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réseaux distributeurs confondus,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par assuré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, est de :</w:t>
            </w:r>
          </w:p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245" w:lineRule="auto" w:before="0" w:after="0"/>
              <w:ind w:left="50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3 000 000 euros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pour les garanties DC et P.T.I.A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.,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• 3 000 000 euros jusqu’au 31/12 de l’année du 55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0"/>
              </w:rPr>
              <w:t xml:space="preserve">ème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anniversaire de l’assuré à l’adhésion. Au-delà de cet âge,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1 000 000 € maximum assuré,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 xml:space="preserve">pour la garantie I.P.T. en </w:t>
            </w: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capital.</w:t>
            </w:r>
          </w:p>
          <w:p>
            <w:pPr>
              <w:autoSpaceDN w:val="0"/>
              <w:tabs>
                <w:tab w:pos="254" w:val="left"/>
              </w:tabs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Le montant total de l’I.T.T., de l’I.T.P., de l’I.P.T. ou de l’I.P.P.,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toutes adhésions confondues, au titre du présent contrat, par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assuré, est de 10 500 euros par mois selon la quotité assurée. </w:t>
            </w: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Les prêts d’un montant inférieur à 20 000 euros ne sont pas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couverts par le présent contrat.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L’existence d’une franchise appliquée en cas d’I.T.T., d’I.P.T. ou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d’I.P.P.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06538"/>
                <w:sz w:val="17"/>
              </w:rPr>
              <w:t>!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Certaines franchises et certaines options ne sont pas ouvertes à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tous les assurés. </w:t>
            </w:r>
          </w:p>
          <w:p>
            <w:pPr>
              <w:autoSpaceDN w:val="0"/>
              <w:autoSpaceDE w:val="0"/>
              <w:widowControl/>
              <w:spacing w:line="247" w:lineRule="auto" w:before="84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Cette liste n’est pas exhaustive.</w:t>
            </w:r>
          </w:p>
        </w:tc>
      </w:tr>
    </w:tbl>
    <w:p>
      <w:pPr>
        <w:autoSpaceDN w:val="0"/>
        <w:autoSpaceDE w:val="0"/>
        <w:widowControl/>
        <w:spacing w:line="233" w:lineRule="auto" w:before="42" w:after="0"/>
        <w:ind w:left="0" w:right="102" w:firstLine="0"/>
        <w:jc w:val="right"/>
      </w:pPr>
      <w:r>
        <w:rPr>
          <w:rFonts w:ascii="SourceSansPro" w:hAnsi="SourceSansPro" w:eastAsia="SourceSansPro"/>
          <w:b w:val="0"/>
          <w:i/>
          <w:color w:val="3E3E3E"/>
          <w:sz w:val="12"/>
        </w:rPr>
        <w:t>UGIP_Start_IPID_V012025 - Page 1 sur 2</w:t>
      </w:r>
    </w:p>
    <w:p>
      <w:pPr>
        <w:sectPr>
          <w:type w:val="nextColumn"/>
          <w:pgSz w:w="11906" w:h="16838"/>
          <w:pgMar w:top="448" w:right="708" w:bottom="184" w:left="760" w:header="720" w:footer="720" w:gutter="0"/>
          <w:cols w:num="2" w:equalWidth="0">
            <w:col w:w="5250" w:space="0"/>
            <w:col w:w="51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7874000</wp:posOffset>
            </wp:positionV>
            <wp:extent cx="6959600" cy="25527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2552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24"/>
      </w:tblGrid>
      <w:tr>
        <w:trPr>
          <w:trHeight w:hRule="exact" w:val="1630"/>
        </w:trPr>
        <w:tc>
          <w:tcPr>
            <w:tcW w:type="dxa" w:w="10354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A6AA6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784" w:right="0" w:firstLine="56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✓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Dans le monde entier,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 ✓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L’état de santé de l’assuré doit être médicalement constaté en France (France continentale, Corse, DROM-COM). Les frais de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déplacement engagés par l’assuré restent à sa charge s’il réside fiscalement hors du territoire français (sauf si l’incapacité totale de se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déplacer est constatée et validée par expert français).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24"/>
      </w:tblGrid>
      <w:tr>
        <w:trPr>
          <w:trHeight w:hRule="exact" w:val="4796"/>
        </w:trPr>
        <w:tc>
          <w:tcPr>
            <w:tcW w:type="dxa" w:w="10354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8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A6AA6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66" w:lineRule="auto" w:before="208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Sous peine de nullité du contrat d’assurance ou de non garantie, vous devez :</w:t>
            </w:r>
          </w:p>
          <w:p>
            <w:pPr>
              <w:autoSpaceDN w:val="0"/>
              <w:autoSpaceDE w:val="0"/>
              <w:widowControl/>
              <w:spacing w:line="247" w:lineRule="auto" w:before="182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À l’adhésion du contrat :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Remplir avec exactitude le formulaire d’adhésion fourni par l’assureur 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Avoir satisfait aux formalités médicales et financières le cas échéant fournir tous documents justificatifs demandés par l’assureur 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Payer la première cotisation dès acceptation du contrat de prêt (ou de location) par le prêteur.</w:t>
            </w:r>
          </w:p>
          <w:p>
            <w:pPr>
              <w:autoSpaceDN w:val="0"/>
              <w:autoSpaceDE w:val="0"/>
              <w:widowControl/>
              <w:spacing w:line="247" w:lineRule="auto" w:before="182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En cours d’adhésion :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Payer les cotisations d’assurance 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Déclarer tout changement de coordonnées et toute modification du contrat de financement.</w:t>
            </w:r>
          </w:p>
          <w:p>
            <w:pPr>
              <w:autoSpaceDN w:val="0"/>
              <w:autoSpaceDE w:val="0"/>
              <w:widowControl/>
              <w:spacing w:line="247" w:lineRule="auto" w:before="18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58595B"/>
                <w:sz w:val="17"/>
              </w:rPr>
              <w:t>En cas de sinistre :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Déclarer le sinistre le plus tôt possible et au plus tard dans les douze mois à compter de la date de l’événement pour la garantie décès 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52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et au plus tard dans les six mois à compter de la date de l’évènement pour les garanties PTIA/GIS/ITT/ITP/IPT/IPP 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Fournir tous documents justificatifs nécessaires au paiement des prestations prévues au contrat 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Vous soumettre au contrôle médical et/ou expertises médicales éventuellement demandé(es) 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Fournir tous documents justificatifs demandés par l’assureur.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24"/>
      </w:tblGrid>
      <w:tr>
        <w:trPr>
          <w:trHeight w:hRule="exact" w:val="1384"/>
        </w:trPr>
        <w:tc>
          <w:tcPr>
            <w:tcW w:type="dxa" w:w="10354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A6AA6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66" w:lineRule="auto" w:before="36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Les cotisations sont prélevées sur le compte bancaire, support du contrat de financement (prêt ou location). La périodicité de paiement peut </w:t>
            </w:r>
          </w:p>
          <w:p>
            <w:pPr>
              <w:autoSpaceDN w:val="0"/>
              <w:autoSpaceDE w:val="0"/>
              <w:widowControl/>
              <w:spacing w:line="266" w:lineRule="auto" w:before="0" w:after="0"/>
              <w:ind w:left="16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24"/>
      </w:tblGrid>
      <w:tr>
        <w:trPr>
          <w:trHeight w:hRule="exact" w:val="2868"/>
        </w:trPr>
        <w:tc>
          <w:tcPr>
            <w:tcW w:type="dxa" w:w="10354"/>
            <w:tcBorders>
              <w:start w:sz="16.0" w:val="single" w:color="#0860A4"/>
              <w:top w:sz="16.0" w:val="single" w:color="#0860A4"/>
              <w:end w:sz="16.0" w:val="single" w:color="#0860A4"/>
              <w:bottom w:sz="16.0" w:val="single" w:color="#0860A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A6AA6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120" w:after="0"/>
              <w:ind w:left="160" w:right="124" w:firstLine="0"/>
              <w:jc w:val="both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Le contrat prend effet à la date indiquée sur le certificat d’adhésion, sous réserve notamment du paiement de la cotisation d’assurance (le cas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échéant après expiration du délai de renonciation de 30 jours calendaires révolus qui court à compter du jour où l’intéressé est informé que le 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contrat à distance a été conclu en cas de vente à distance).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5" w:lineRule="auto" w:before="0" w:after="0"/>
              <w:ind w:left="160" w:right="1296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Il prend fin notamment dans les cas suivants :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en cas de remboursement intégral du financement, d’expiration ou de résiliation du crédit-bail ;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en cas de non-paiement des cotisations d’assurance ;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en cas de résiliation par l’assuré ;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br/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en cas de paiement de la prestation due par l’assureur suite à la mise en jeu de la garantie PTIA ou de la garantie décès ;</w:t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à l’arrivée de l’âge limite fixé pour chaque garantie et prévu dans la notice d’information ;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 xml:space="preserve">• </w:t>
            </w:r>
            <w:r>
              <w:tab/>
            </w:r>
            <w:r>
              <w:rPr>
                <w:rFonts w:ascii="SourceSansPro" w:hAnsi="SourceSansPro" w:eastAsia="SourceSansPro"/>
                <w:b w:val="0"/>
                <w:i w:val="0"/>
                <w:color w:val="58595B"/>
                <w:sz w:val="17"/>
              </w:rPr>
              <w:t>et en tout état de cause, à la date limite de couverture fixée pour chaque garantie.</w:t>
            </w:r>
          </w:p>
        </w:tc>
      </w:tr>
    </w:tbl>
    <w:p>
      <w:pPr>
        <w:autoSpaceDN w:val="0"/>
        <w:autoSpaceDE w:val="0"/>
        <w:widowControl/>
        <w:spacing w:line="252" w:lineRule="exact" w:before="632" w:after="0"/>
        <w:ind w:left="866" w:right="0" w:firstLine="0"/>
        <w:jc w:val="left"/>
      </w:pPr>
      <w:r>
        <w:rPr>
          <w:rFonts w:ascii="BrandingSF" w:hAnsi="BrandingSF" w:eastAsia="BrandingSF"/>
          <w:b/>
          <w:i w:val="0"/>
          <w:color w:val="0A6AA6"/>
          <w:sz w:val="22"/>
        </w:rPr>
        <w:t xml:space="preserve">COMMENT PUIS-JE RÉSILIER LE CONTRAT ? </w:t>
      </w:r>
    </w:p>
    <w:p>
      <w:pPr>
        <w:autoSpaceDN w:val="0"/>
        <w:tabs>
          <w:tab w:pos="560" w:val="left"/>
        </w:tabs>
        <w:autoSpaceDE w:val="0"/>
        <w:widowControl/>
        <w:spacing w:line="247" w:lineRule="auto" w:before="294" w:after="0"/>
        <w:ind w:left="200" w:right="0" w:firstLine="0"/>
        <w:jc w:val="left"/>
      </w:pPr>
      <w:r>
        <w:rPr>
          <w:rFonts w:ascii="SourceSansPro" w:hAnsi="SourceSansPro" w:eastAsia="SourceSansPro"/>
          <w:b/>
          <w:i w:val="0"/>
          <w:color w:val="58595B"/>
          <w:sz w:val="17"/>
        </w:rPr>
        <w:t xml:space="preserve">• </w:t>
      </w:r>
      <w:r>
        <w:tab/>
      </w:r>
      <w:r>
        <w:rPr>
          <w:rFonts w:ascii="SourceSansPro" w:hAnsi="SourceSansPro" w:eastAsia="SourceSansPro"/>
          <w:b/>
          <w:i w:val="0"/>
          <w:color w:val="58595B"/>
          <w:sz w:val="17"/>
        </w:rPr>
        <w:t>Pour les crédits immobiliers mentionnés au 1° de l’article L.313-1 du code de la consommation :</w:t>
      </w:r>
    </w:p>
    <w:p>
      <w:pPr>
        <w:autoSpaceDN w:val="0"/>
        <w:autoSpaceDE w:val="0"/>
        <w:widowControl/>
        <w:spacing w:line="245" w:lineRule="auto" w:before="16" w:after="0"/>
        <w:ind w:left="200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Conformément aux dispositions de l’article L.121-10 du Code de la Mutualité, l’Adhérent peut résilier son Adhésion à tout moment à compter de 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>la signature de l’of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>f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re de prêt, par courrier à l’adresse UGIP Assurances - 143 Boulevard René Cassin - Immeuble Nouvel’R - Bat C - CS 63278 - 06205 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NICE CEDEX 3, ou par courriel adressé à </w:t>
      </w:r>
      <w:r>
        <w:rPr>
          <w:rFonts w:ascii="SourceSansPro" w:hAnsi="SourceSansPro" w:eastAsia="SourceSansPro"/>
          <w:b w:val="0"/>
          <w:i/>
          <w:color w:val="58595B"/>
          <w:sz w:val="17"/>
        </w:rPr>
        <w:t>production@ugip.org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>, ou par tout autre moyen listé à l’article L.221-10 du Code de la Mutualité.</w:t>
      </w:r>
    </w:p>
    <w:p>
      <w:pPr>
        <w:autoSpaceDN w:val="0"/>
        <w:tabs>
          <w:tab w:pos="560" w:val="left"/>
        </w:tabs>
        <w:autoSpaceDE w:val="0"/>
        <w:widowControl/>
        <w:spacing w:line="247" w:lineRule="auto" w:before="0" w:after="0"/>
        <w:ind w:left="200" w:right="0" w:firstLine="0"/>
        <w:jc w:val="left"/>
      </w:pPr>
      <w:r>
        <w:rPr>
          <w:rFonts w:ascii="SourceSansPro" w:hAnsi="SourceSansPro" w:eastAsia="SourceSansPro"/>
          <w:b/>
          <w:i w:val="0"/>
          <w:color w:val="58595B"/>
          <w:sz w:val="17"/>
        </w:rPr>
        <w:t xml:space="preserve">• </w:t>
      </w:r>
      <w:r>
        <w:tab/>
      </w:r>
      <w:r>
        <w:rPr>
          <w:rFonts w:ascii="SourceSansPro" w:hAnsi="SourceSansPro" w:eastAsia="SourceSansPro"/>
          <w:b/>
          <w:i w:val="0"/>
          <w:color w:val="58595B"/>
          <w:sz w:val="17"/>
        </w:rPr>
        <w:t>Pour les opérations de crédits autres que celles mentionnées au 1° de l’article L.313-1 du code de la consommation :</w:t>
      </w:r>
    </w:p>
    <w:p>
      <w:pPr>
        <w:autoSpaceDN w:val="0"/>
        <w:autoSpaceDE w:val="0"/>
        <w:widowControl/>
        <w:spacing w:line="245" w:lineRule="auto" w:before="14" w:after="0"/>
        <w:ind w:left="200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L’Adhérent peut résilier son contrat à tout moment à l’issue de la première année, par courrier à l’adresse UGIP Assurances - 143 Boulevard René 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Cassin - Immeuble Nouvel’R - Bat C - CS 63278 - 06205 NICE CEDEX 3, ou par courriel adressé à </w:t>
      </w:r>
      <w:r>
        <w:rPr>
          <w:rFonts w:ascii="SourceSansPro" w:hAnsi="SourceSansPro" w:eastAsia="SourceSansPro"/>
          <w:b w:val="0"/>
          <w:i/>
          <w:color w:val="58595B"/>
          <w:sz w:val="17"/>
        </w:rPr>
        <w:t>production@ugip.org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, ou par tout autre moyen listé </w:t>
      </w:r>
      <w:r>
        <w:rPr>
          <w:rFonts w:ascii="SourceSansPro" w:hAnsi="SourceSansPro" w:eastAsia="SourceSansPro"/>
          <w:b w:val="0"/>
          <w:i w:val="0"/>
          <w:color w:val="58595B"/>
          <w:sz w:val="17"/>
        </w:rPr>
        <w:t xml:space="preserve">à l’article L.113-14 du Code des assurances. </w:t>
      </w:r>
    </w:p>
    <w:p>
      <w:pPr>
        <w:autoSpaceDN w:val="0"/>
        <w:autoSpaceDE w:val="0"/>
        <w:widowControl/>
        <w:spacing w:line="271" w:lineRule="auto" w:before="696" w:after="0"/>
        <w:ind w:left="0" w:right="0" w:firstLine="0"/>
        <w:jc w:val="center"/>
      </w:pPr>
      <w:r>
        <w:rPr>
          <w:rFonts w:ascii="SourceSansPro" w:hAnsi="SourceSansPro" w:eastAsia="SourceSansPro"/>
          <w:b/>
          <w:i w:val="0"/>
          <w:color w:val="58595B"/>
          <w:sz w:val="10"/>
        </w:rPr>
        <w:t xml:space="preserve">Produit distribué par UGIP Assurances </w:t>
      </w:r>
      <w:r>
        <w:rPr>
          <w:rFonts w:ascii="SourceSansPro" w:hAnsi="SourceSansPro" w:eastAsia="SourceSansPro"/>
          <w:b w:val="0"/>
          <w:i w:val="0"/>
          <w:color w:val="58595B"/>
          <w:sz w:val="10"/>
        </w:rPr>
        <w:t xml:space="preserve">- 30/32 Boulevard de Vaugirard 75015 Paris – </w:t>
      </w:r>
      <w:r>
        <w:rPr>
          <w:rFonts w:ascii="SourceSansPro" w:hAnsi="SourceSansPro" w:eastAsia="SourceSansPro"/>
          <w:b w:val="0"/>
          <w:i w:val="0"/>
          <w:color w:val="464646"/>
          <w:sz w:val="10"/>
        </w:rPr>
        <w:t xml:space="preserve">SAS au capital de 130 944 € - RCS Paris N°398 784 645 - Intermédiaire en assurances - Immatriculée à l’ORIAS N°07 005 590 (www.orias.fr).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SourceSansPro" w:hAnsi="SourceSansPro" w:eastAsia="SourceSansPro"/>
          <w:b/>
          <w:i w:val="0"/>
          <w:color w:val="58595B"/>
          <w:sz w:val="10"/>
        </w:rPr>
        <w:t xml:space="preserve">Assuré par MUTLOG </w:t>
      </w:r>
      <w:r>
        <w:rPr>
          <w:rFonts w:ascii="SourceSansPro" w:hAnsi="SourceSansPro" w:eastAsia="SourceSansPro"/>
          <w:b w:val="0"/>
          <w:i w:val="0"/>
          <w:color w:val="58595B"/>
          <w:sz w:val="10"/>
        </w:rPr>
        <w:t xml:space="preserve">- 5 Quai de la Seine 75940 Paris Cedex 19 - Mutuelle régie par le Code de la Mutualité - SIREN n° 325 942 969(LEI : 969500N48BV9MPSP5182) et </w:t>
      </w:r>
      <w:r>
        <w:rPr>
          <w:rFonts w:ascii="SourceSansPro" w:hAnsi="SourceSansPro" w:eastAsia="SourceSansPro"/>
          <w:b/>
          <w:i w:val="0"/>
          <w:color w:val="58595B"/>
          <w:sz w:val="10"/>
        </w:rPr>
        <w:t>MUTLOG Garanties</w:t>
      </w:r>
      <w:r>
        <w:rPr>
          <w:rFonts w:ascii="SourceSansPro" w:hAnsi="SourceSansPro" w:eastAsia="SourceSansPro"/>
          <w:b w:val="0"/>
          <w:i w:val="0"/>
          <w:color w:val="58595B"/>
          <w:sz w:val="10"/>
        </w:rPr>
        <w:t xml:space="preserve">  - 75 Quai de la Seine 75940 Paris Cedex 19 - Mutuelle régie par le Code de </w:t>
      </w:r>
      <w:r>
        <w:rPr>
          <w:rFonts w:ascii="SourceSansPro" w:hAnsi="SourceSansPro" w:eastAsia="SourceSansPro"/>
          <w:b w:val="0"/>
          <w:i w:val="0"/>
          <w:color w:val="58595B"/>
          <w:sz w:val="10"/>
        </w:rPr>
        <w:t xml:space="preserve">la Mutualité – SIREN n° 384 253 605 (LEI : 969500SOV6U08S8A1F91) </w:t>
      </w:r>
      <w:r>
        <w:rPr>
          <w:w w:val="98.66666793823242"/>
          <w:rFonts w:ascii="SourceSansPro" w:hAnsi="SourceSansPro" w:eastAsia="SourceSansPro"/>
          <w:b w:val="0"/>
          <w:i w:val="0"/>
          <w:color w:val="FFFFFF"/>
          <w:sz w:val="15"/>
        </w:rPr>
        <w:t xml:space="preserve">- </w:t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SourceSansPro" w:hAnsi="SourceSansPro" w:eastAsia="SourceSansPro"/>
          <w:b w:val="0"/>
          <w:i w:val="0"/>
          <w:color w:val="58595B"/>
          <w:sz w:val="10"/>
        </w:rPr>
        <w:t>Sociétés soumises au contrôle de l’ACPR 4 place de Budapest - 75436 Paris cedex 09.</w:t>
      </w:r>
    </w:p>
    <w:p>
      <w:pPr>
        <w:autoSpaceDN w:val="0"/>
        <w:autoSpaceDE w:val="0"/>
        <w:widowControl/>
        <w:spacing w:line="233" w:lineRule="auto" w:before="142" w:after="0"/>
        <w:ind w:left="0" w:right="86" w:firstLine="0"/>
        <w:jc w:val="right"/>
      </w:pPr>
      <w:r>
        <w:rPr>
          <w:rFonts w:ascii="SourceSansPro" w:hAnsi="SourceSansPro" w:eastAsia="SourceSansPro"/>
          <w:b w:val="0"/>
          <w:i/>
          <w:color w:val="3E3E3E"/>
          <w:sz w:val="12"/>
        </w:rPr>
        <w:t>UGIP_Start_IPID_V012025 - Page</w:t>
      </w:r>
      <w:r>
        <w:rPr>
          <w:rFonts w:ascii="SourceSansPro" w:hAnsi="SourceSansPro" w:eastAsia="SourceSansPro"/>
          <w:b w:val="0"/>
          <w:i/>
          <w:color w:val="404040"/>
          <w:sz w:val="12"/>
        </w:rPr>
        <w:t xml:space="preserve"> 2</w:t>
      </w:r>
      <w:r>
        <w:rPr>
          <w:rFonts w:ascii="SourceSansPro" w:hAnsi="SourceSansPro" w:eastAsia="SourceSansPro"/>
          <w:b w:val="0"/>
          <w:i/>
          <w:color w:val="3E3E3E"/>
          <w:sz w:val="12"/>
        </w:rPr>
        <w:t xml:space="preserve"> sur 2</w:t>
      </w:r>
    </w:p>
    <w:sectPr w:rsidR="00FC693F" w:rsidRPr="0006063C" w:rsidSect="00034616">
      <w:pgSz w:w="11906" w:h="16838"/>
      <w:pgMar w:top="356" w:right="726" w:bottom="184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