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2567940</wp:posOffset>
            </wp:positionH>
            <wp:positionV relativeFrom="page">
              <wp:posOffset>7293609</wp:posOffset>
            </wp:positionV>
            <wp:extent cx="91440" cy="97536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75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128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16000" cy="30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1402"/>
      </w:tblGrid>
      <w:tr>
        <w:trPr>
          <w:trHeight w:hRule="exact" w:val="1122"/>
        </w:trPr>
        <w:tc>
          <w:tcPr>
            <w:tcW w:type="dxa" w:w="11338"/>
            <w:tcBorders/>
            <w:shd w:fill="0062a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226" w:right="4608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FFFFFF"/>
                <w:sz w:val="64"/>
              </w:rPr>
              <w:t xml:space="preserve">Assurance Emprunteur </w:t>
            </w: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18"/>
              </w:rPr>
              <w:t>Document d’information sur le produit d’assurance</w:t>
            </w:r>
          </w:p>
        </w:tc>
      </w:tr>
    </w:tbl>
    <w:p>
      <w:pPr>
        <w:autoSpaceDN w:val="0"/>
        <w:autoSpaceDE w:val="0"/>
        <w:widowControl/>
        <w:spacing w:line="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1402"/>
      </w:tblGrid>
      <w:tr>
        <w:trPr>
          <w:trHeight w:hRule="exact" w:val="780"/>
        </w:trPr>
        <w:tc>
          <w:tcPr>
            <w:tcW w:type="dxa" w:w="11120"/>
            <w:tcBorders/>
            <w:shd w:fill="0062a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0" w:right="144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18"/>
              </w:rPr>
              <w:t xml:space="preserve">Compagnie: AXA France Vie, S.A. au capital de 487 725 073,50 € immatriculée sous le numéro 310 499 959 RCS Nanterre - Siège social : 313 </w:t>
            </w: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18"/>
              </w:rPr>
              <w:t xml:space="preserve">Terrasses de l’Arche – 92727 Nanterre Cedex - Entreprise régies par le Code des assurances et sous le contrôle de l’Autorité de Contrôle Prudentiel </w:t>
            </w: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18"/>
              </w:rPr>
              <w:t xml:space="preserve">et de Résolution, 4 Place de Budapest - CS 92459.75436 PARIS CEDEX 09. </w:t>
            </w:r>
          </w:p>
        </w:tc>
      </w:tr>
    </w:tbl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1402"/>
      </w:tblGrid>
      <w:tr>
        <w:trPr>
          <w:trHeight w:hRule="exact" w:val="348"/>
        </w:trPr>
        <w:tc>
          <w:tcPr>
            <w:tcW w:type="dxa" w:w="6960"/>
            <w:tcBorders/>
            <w:shd w:fill="0062a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130" w:right="0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FFFFFF"/>
                <w:sz w:val="18"/>
              </w:rPr>
              <w:t xml:space="preserve">Produit: UGIP GLOBAL+CI N°4057 </w:t>
            </w:r>
          </w:p>
        </w:tc>
      </w:tr>
    </w:tbl>
    <w:p>
      <w:pPr>
        <w:autoSpaceDN w:val="0"/>
        <w:autoSpaceDE w:val="0"/>
        <w:widowControl/>
        <w:spacing w:line="247" w:lineRule="auto" w:before="308" w:after="0"/>
        <w:ind w:left="4" w:right="0" w:firstLine="0"/>
        <w:jc w:val="left"/>
      </w:pPr>
      <w:r>
        <w:rPr>
          <w:w w:val="98.99495124816895"/>
          <w:rFonts w:ascii="SourceSansPro" w:hAnsi="SourceSansPro" w:eastAsia="SourceSansPro"/>
          <w:b w:val="0"/>
          <w:i w:val="0"/>
          <w:color w:val="000000"/>
          <w:sz w:val="20"/>
        </w:rPr>
        <w:t xml:space="preserve">Ce document d’information présente un résumé des principales garanties et exclusions du produit. Il ne prend pas en compte vos besoins et </w:t>
      </w:r>
      <w:r>
        <w:rPr>
          <w:w w:val="98.99495124816895"/>
          <w:rFonts w:ascii="SourceSansPro" w:hAnsi="SourceSansPro" w:eastAsia="SourceSansPro"/>
          <w:b w:val="0"/>
          <w:i w:val="0"/>
          <w:color w:val="000000"/>
          <w:sz w:val="20"/>
        </w:rPr>
        <w:t>demandes spécifiques. Vous trouverez l’information complète sur ce produit dans la documentation précontractuelle et contractuelle.</w:t>
      </w:r>
    </w:p>
    <w:p>
      <w:pPr>
        <w:autoSpaceDN w:val="0"/>
        <w:autoSpaceDE w:val="0"/>
        <w:widowControl/>
        <w:spacing w:line="252" w:lineRule="auto" w:before="246" w:after="0"/>
        <w:ind w:left="4" w:right="0" w:firstLine="0"/>
        <w:jc w:val="left"/>
      </w:pPr>
      <w:r>
        <w:rPr>
          <w:rFonts w:ascii="SourceSansPro" w:hAnsi="SourceSansPro" w:eastAsia="SourceSansPro"/>
          <w:b/>
          <w:i w:val="0"/>
          <w:color w:val="000000"/>
          <w:sz w:val="26"/>
        </w:rPr>
        <w:t>De quel type d’assurance s’agit-il ?</w:t>
      </w:r>
    </w:p>
    <w:p>
      <w:pPr>
        <w:autoSpaceDN w:val="0"/>
        <w:autoSpaceDE w:val="0"/>
        <w:widowControl/>
        <w:spacing w:line="250" w:lineRule="auto" w:before="98" w:after="292"/>
        <w:ind w:left="4" w:right="20" w:firstLine="0"/>
        <w:jc w:val="both"/>
      </w:pPr>
      <w:r>
        <w:rPr>
          <w:w w:val="98.99495124816895"/>
          <w:rFonts w:ascii="SourceSansPro" w:hAnsi="SourceSansPro" w:eastAsia="SourceSansPro"/>
          <w:b w:val="0"/>
          <w:i w:val="0"/>
          <w:color w:val="000000"/>
          <w:sz w:val="20"/>
        </w:rPr>
        <w:t xml:space="preserve">Le contrat GLOBAL+ CI N° 4057 est un contrat d’assurance groupe à adhésion facultative souscrit par L’UNION GÉNÉRALE INTERPROFESSIONNELLE </w:t>
      </w:r>
      <w:r>
        <w:rPr>
          <w:w w:val="98.99495124816895"/>
          <w:rFonts w:ascii="SourceSansPro" w:hAnsi="SourceSansPro" w:eastAsia="SourceSansPro"/>
          <w:b w:val="0"/>
          <w:i w:val="0"/>
          <w:color w:val="000000"/>
          <w:sz w:val="20"/>
        </w:rPr>
        <w:t xml:space="preserve">(UGIP) et destiné à ses membres qui souhaitent se couvrir contre les risques : Décès, Perte Totale et Irréversible d’Autonomie, Incapacité </w:t>
      </w:r>
      <w:r>
        <w:rPr>
          <w:w w:val="98.99495124816895"/>
          <w:rFonts w:ascii="SourceSansPro" w:hAnsi="SourceSansPro" w:eastAsia="SourceSansPro"/>
          <w:b w:val="0"/>
          <w:i w:val="0"/>
          <w:color w:val="000000"/>
          <w:sz w:val="20"/>
        </w:rPr>
        <w:t xml:space="preserve">Temporaire Total e, Invalidité Permanente Totale, Invalidité Permanente Partielle et Incapacité Temporaire Partielle. Ces garanties peuvent être </w:t>
      </w:r>
      <w:r>
        <w:rPr>
          <w:w w:val="98.99495124816895"/>
          <w:rFonts w:ascii="SourceSansPro" w:hAnsi="SourceSansPro" w:eastAsia="SourceSansPro"/>
          <w:b w:val="0"/>
          <w:i w:val="0"/>
          <w:color w:val="000000"/>
          <w:sz w:val="20"/>
        </w:rPr>
        <w:t xml:space="preserve">souscrites jusqu’à 84 ans pour la garantie Décès et jusqu’à 64 ans pour les autres garanties mentionnées ci -dessus.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2280"/>
        <w:gridCol w:w="2280"/>
        <w:gridCol w:w="2280"/>
        <w:gridCol w:w="2280"/>
        <w:gridCol w:w="2280"/>
      </w:tblGrid>
      <w:tr>
        <w:trPr>
          <w:trHeight w:hRule="exact" w:val="44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6710" cy="36067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606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6"/>
              </w:rPr>
              <w:t>Qu’est-ce qui est assuré?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6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46710" cy="36067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606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6"/>
              </w:rPr>
              <w:t>Qu’est-ce qui n’est pas assuré?</w:t>
            </w:r>
          </w:p>
        </w:tc>
      </w:tr>
      <w:tr>
        <w:trPr>
          <w:trHeight w:hRule="exact" w:val="304"/>
        </w:trPr>
        <w:tc>
          <w:tcPr>
            <w:tcW w:type="dxa" w:w="2280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4" w:after="0"/>
              <w:ind w:left="90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Les garanties sont accessibles sous réserve d’acceptation </w:t>
            </w:r>
          </w:p>
        </w:tc>
        <w:tc>
          <w:tcPr>
            <w:tcW w:type="dxa" w:w="2280"/>
            <w:vMerge/>
            <w:tcBorders/>
          </w:tcPr>
          <w:p/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0169" cy="9143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69" cy="914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8" w:after="0"/>
              <w:ind w:left="8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La perte d’emploi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2280"/>
        <w:gridCol w:w="2280"/>
        <w:gridCol w:w="2280"/>
        <w:gridCol w:w="2280"/>
        <w:gridCol w:w="2280"/>
      </w:tblGrid>
      <w:tr>
        <w:trPr>
          <w:trHeight w:hRule="exact" w:val="270"/>
        </w:trPr>
        <w:tc>
          <w:tcPr>
            <w:tcW w:type="dxa" w:w="5620"/>
            <w:gridSpan w:val="2"/>
            <w:tcBorders>
              <w:bottom w:sz="32.0" w:val="single" w:color="#FFFFFF"/>
            </w:tcBorders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du dossier par l’assureur. Selon le type de prêts assuré </w:t>
            </w:r>
          </w:p>
        </w:tc>
        <w:tc>
          <w:tcPr>
            <w:tcW w:type="dxa" w:w="870"/>
            <w:tcBorders>
              <w:bottom w:sz="32.0" w:val="single" w:color="#FFFFFF"/>
            </w:tcBorders>
            <w:shd w:fill="ececec"/>
            <w:tcMar>
              <w:start w:w="0" w:type="dxa"/>
              <w:end w:w="0" w:type="dxa"/>
            </w:tcMar>
          </w:tcPr>
          <w:p/>
        </w:tc>
        <w:tc>
          <w:tcPr>
            <w:tcW w:type="dxa" w:w="4848"/>
            <w:gridSpan w:val="2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30" w:after="0"/>
              <w:ind w:left="18" w:right="0" w:firstLine="0"/>
              <w:jc w:val="left"/>
            </w:pPr>
            <w:r>
              <w:rPr>
                <w:rFonts w:ascii="MyriadPro" w:hAnsi="MyriadPro" w:eastAsia="MyriadPro"/>
                <w:b/>
                <w:i w:val="0"/>
                <w:color w:val="000000"/>
                <w:sz w:val="26"/>
              </w:rPr>
              <w:t>Y a-t-il des exclusions à la couverture?</w:t>
            </w:r>
          </w:p>
        </w:tc>
      </w:tr>
      <w:tr>
        <w:trPr>
          <w:trHeight w:hRule="exact" w:val="262"/>
        </w:trPr>
        <w:tc>
          <w:tcPr>
            <w:tcW w:type="dxa" w:w="5620"/>
            <w:gridSpan w:val="2"/>
            <w:tcBorders>
              <w:top w:sz="32.0" w:val="single" w:color="#FFFFFF"/>
            </w:tcBorders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4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(amortissable ou non, crédit-bail, etc), les plafonds et </w:t>
            </w:r>
          </w:p>
        </w:tc>
        <w:tc>
          <w:tcPr>
            <w:tcW w:type="dxa" w:w="870"/>
            <w:vMerge w:val="restart"/>
            <w:tcBorders>
              <w:top w:sz="32.0" w:val="single" w:color="#FFFFFF"/>
            </w:tcBorders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6710" cy="36068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60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60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5620"/>
            <w:gridSpan w:val="2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4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modalités d’indemnisation varient. </w:t>
            </w:r>
          </w:p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560"/>
            <w:gridSpan w:val="2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4560"/>
            <w:gridSpan w:val="2"/>
            <w:vMerge/>
            <w:tcBorders/>
          </w:tcPr>
          <w:p/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848"/>
            <w:gridSpan w:val="2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8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PRINCIPALES EXCLUSIONS :</w:t>
            </w:r>
          </w:p>
        </w:tc>
      </w:tr>
      <w:tr>
        <w:trPr>
          <w:trHeight w:hRule="exact" w:val="176"/>
        </w:trPr>
        <w:tc>
          <w:tcPr>
            <w:tcW w:type="dxa" w:w="5620"/>
            <w:gridSpan w:val="2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176" w:after="0"/>
              <w:ind w:left="84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LES GARANTIES SYSTEMATIQUEMENT PREVUES :</w:t>
            </w:r>
          </w:p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560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4560"/>
            <w:gridSpan w:val="2"/>
            <w:vMerge/>
            <w:tcBorders/>
          </w:tcPr>
          <w:p/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848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" w:after="0"/>
              <w:ind w:left="18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>Pour le Décès, PTIA, ITT, IPT, IPP et ITP :</w:t>
            </w:r>
          </w:p>
        </w:tc>
      </w:tr>
      <w:tr>
        <w:trPr>
          <w:trHeight w:hRule="exact" w:val="316"/>
        </w:trPr>
        <w:tc>
          <w:tcPr>
            <w:tcW w:type="dxa" w:w="996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" cy="10032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00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24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 La garantie Décès</w:t>
            </w:r>
          </w:p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146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79" cy="11303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1130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02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0" w:after="0"/>
              <w:ind w:left="78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Le suicide de l’assuré survenant pendant la première </w:t>
            </w:r>
          </w:p>
        </w:tc>
      </w:tr>
      <w:tr>
        <w:trPr>
          <w:trHeight w:hRule="exact" w:val="284"/>
        </w:trPr>
        <w:tc>
          <w:tcPr>
            <w:tcW w:type="dxa" w:w="996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24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 La garantie Perte Totale et Irréversible d’Autonomie </w:t>
            </w:r>
          </w:p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848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300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année qui suit la date d’effet de l’adhésion (sauf si le prêt </w:t>
            </w:r>
          </w:p>
        </w:tc>
      </w:tr>
      <w:tr>
        <w:trPr>
          <w:trHeight w:hRule="exact" w:val="240"/>
        </w:trPr>
        <w:tc>
          <w:tcPr>
            <w:tcW w:type="dxa" w:w="5620"/>
            <w:gridSpan w:val="2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130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(PTIA)</w:t>
            </w:r>
          </w:p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848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300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a été contracté pour financer l’acquisition du logement </w:t>
            </w:r>
          </w:p>
        </w:tc>
      </w:tr>
      <w:tr>
        <w:trPr>
          <w:trHeight w:hRule="exact" w:val="227"/>
        </w:trPr>
        <w:tc>
          <w:tcPr>
            <w:tcW w:type="dxa" w:w="4560"/>
            <w:gridSpan w:val="2"/>
            <w:vMerge/>
            <w:tcBorders/>
          </w:tcPr>
          <w:p/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848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300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principal de L’Assuré. Dans ce cas toutefois, seul le </w:t>
            </w:r>
          </w:p>
        </w:tc>
      </w:tr>
      <w:tr>
        <w:trPr>
          <w:trHeight w:hRule="exact" w:val="253"/>
        </w:trPr>
        <w:tc>
          <w:tcPr>
            <w:tcW w:type="dxa" w:w="5620"/>
            <w:gridSpan w:val="2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84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LES GARANTIES COMPLEMENTAIRES :</w:t>
            </w:r>
          </w:p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848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6" w:after="0"/>
              <w:ind w:left="300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montant du prêt dans la limite du plafond défini à l’article </w:t>
            </w:r>
          </w:p>
        </w:tc>
      </w:tr>
      <w:tr>
        <w:trPr>
          <w:trHeight w:hRule="exact" w:val="220"/>
        </w:trPr>
        <w:tc>
          <w:tcPr>
            <w:tcW w:type="dxa" w:w="4560"/>
            <w:gridSpan w:val="2"/>
            <w:vMerge/>
            <w:tcBorders/>
          </w:tcPr>
          <w:p/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848"/>
            <w:gridSpan w:val="2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0" w:after="0"/>
              <w:ind w:left="300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>R 132-5 du code des assurances est garanti)</w:t>
            </w:r>
          </w:p>
        </w:tc>
      </w:tr>
      <w:tr>
        <w:trPr>
          <w:trHeight w:hRule="exact" w:val="72"/>
        </w:trPr>
        <w:tc>
          <w:tcPr>
            <w:tcW w:type="dxa" w:w="996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" cy="10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24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 La garantie Incapacité Temporaire Totale (ITT)</w:t>
            </w:r>
          </w:p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560"/>
            <w:gridSpan w:val="2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2280"/>
            <w:vMerge/>
            <w:tcBorders/>
          </w:tcPr>
          <w:p/>
        </w:tc>
        <w:tc>
          <w:tcPr>
            <w:tcW w:type="dxa" w:w="2280"/>
            <w:vMerge/>
            <w:tcBorders/>
          </w:tcPr>
          <w:p/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146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79" cy="11176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111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02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8" w:after="0"/>
              <w:ind w:left="78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L’assurance n’est pas accordée au profit du bénéficiaire </w:t>
            </w:r>
          </w:p>
        </w:tc>
      </w:tr>
      <w:tr>
        <w:trPr>
          <w:trHeight w:hRule="exact" w:val="245"/>
        </w:trPr>
        <w:tc>
          <w:tcPr>
            <w:tcW w:type="dxa" w:w="996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" cy="10032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00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24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 La garantie Invalidité Permanente Totale (IPT)</w:t>
            </w:r>
          </w:p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848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" w:after="0"/>
              <w:ind w:left="300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condamné pour avoir causé volontairement le décès de </w:t>
            </w:r>
          </w:p>
        </w:tc>
      </w:tr>
      <w:tr>
        <w:trPr>
          <w:trHeight w:hRule="exact" w:val="300"/>
        </w:trPr>
        <w:tc>
          <w:tcPr>
            <w:tcW w:type="dxa" w:w="996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" cy="10033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00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24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 La garantie Invalidité PermanentePartielle (IPP)</w:t>
            </w:r>
          </w:p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848"/>
            <w:gridSpan w:val="2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300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>l’assuré</w:t>
            </w:r>
          </w:p>
        </w:tc>
      </w:tr>
      <w:tr>
        <w:trPr>
          <w:trHeight w:hRule="exact" w:val="316"/>
        </w:trPr>
        <w:tc>
          <w:tcPr>
            <w:tcW w:type="dxa" w:w="996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" cy="10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24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 La garantie Incapacité Temporaire Partielle (ITP) </w:t>
            </w:r>
          </w:p>
        </w:tc>
        <w:tc>
          <w:tcPr>
            <w:tcW w:type="dxa" w:w="2280"/>
            <w:vMerge/>
            <w:tcBorders>
              <w:top w:sz="32.0" w:val="single" w:color="#FFFFFF"/>
            </w:tcBorders>
          </w:tcPr>
          <w:p/>
        </w:tc>
        <w:tc>
          <w:tcPr>
            <w:tcW w:type="dxa" w:w="456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801"/>
        <w:gridCol w:w="3801"/>
        <w:gridCol w:w="3801"/>
      </w:tblGrid>
      <w:tr>
        <w:trPr>
          <w:trHeight w:hRule="exact" w:val="314"/>
        </w:trPr>
        <w:tc>
          <w:tcPr>
            <w:tcW w:type="dxa" w:w="5000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70" w:after="0"/>
              <w:ind w:left="430" w:right="1008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Les garanties précédées d’une coche  sont </w:t>
            </w: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systématiquement prévues au contrat.</w:t>
            </w:r>
          </w:p>
        </w:tc>
        <w:tc>
          <w:tcPr>
            <w:tcW w:type="dxa" w:w="5820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4" w:after="0"/>
              <w:ind w:left="1092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>Pour la PTIA suite à accident :</w:t>
            </w:r>
          </w:p>
        </w:tc>
      </w:tr>
      <w:tr>
        <w:trPr>
          <w:trHeight w:hRule="exact" w:val="280"/>
        </w:trPr>
        <w:tc>
          <w:tcPr>
            <w:tcW w:type="dxa" w:w="3801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4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0479" cy="11176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111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4" w:after="0"/>
              <w:ind w:left="78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Les accidents et maladies résultant du fait volontaire </w:t>
            </w:r>
          </w:p>
        </w:tc>
      </w:tr>
      <w:tr>
        <w:trPr>
          <w:trHeight w:hRule="exact" w:val="520"/>
        </w:trPr>
        <w:tc>
          <w:tcPr>
            <w:tcW w:type="dxa" w:w="3801"/>
            <w:vMerge/>
            <w:tcBorders/>
          </w:tcPr>
          <w:p/>
        </w:tc>
        <w:tc>
          <w:tcPr>
            <w:tcW w:type="dxa" w:w="5820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" w:after="0"/>
              <w:ind w:left="1374" w:right="288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de l’assuré y compris les tentatives de suicide ou de </w:t>
            </w: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>mutilation</w:t>
            </w:r>
          </w:p>
        </w:tc>
      </w:tr>
      <w:tr>
        <w:trPr>
          <w:trHeight w:hRule="exact" w:val="296"/>
        </w:trPr>
        <w:tc>
          <w:tcPr>
            <w:tcW w:type="dxa" w:w="3801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4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0479" cy="11302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1130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0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54" w:after="0"/>
              <w:ind w:left="0" w:right="0" w:firstLine="0"/>
              <w:jc w:val="center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Les accidents ou maladies pour lesquels l’assuré refuse </w:t>
            </w:r>
          </w:p>
        </w:tc>
      </w:tr>
    </w:tbl>
    <w:p>
      <w:pPr>
        <w:autoSpaceDN w:val="0"/>
        <w:autoSpaceDE w:val="0"/>
        <w:widowControl/>
        <w:spacing w:line="246" w:lineRule="exact" w:before="0" w:after="0"/>
        <w:ind w:left="6794" w:right="288" w:firstLine="0"/>
        <w:jc w:val="left"/>
      </w:pPr>
      <w:r>
        <w:rPr>
          <w:w w:val="98.00000190734863"/>
          <w:rFonts w:ascii="MyriadPro" w:hAnsi="MyriadPro" w:eastAsia="MyriadPro"/>
          <w:b w:val="0"/>
          <w:i w:val="0"/>
          <w:color w:val="000000"/>
          <w:sz w:val="20"/>
        </w:rPr>
        <w:t xml:space="preserve">de se soumettre à un traitemen tmédical rationnel et </w:t>
      </w:r>
      <w:r>
        <w:br/>
      </w:r>
      <w:r>
        <w:rPr>
          <w:w w:val="98.00000190734863"/>
          <w:rFonts w:ascii="MyriadPro" w:hAnsi="MyriadPro" w:eastAsia="MyriadPro"/>
          <w:b w:val="0"/>
          <w:i w:val="0"/>
          <w:color w:val="000000"/>
          <w:sz w:val="20"/>
        </w:rPr>
        <w:t>adéquat</w:t>
      </w:r>
    </w:p>
    <w:p>
      <w:pPr>
        <w:autoSpaceDN w:val="0"/>
        <w:tabs>
          <w:tab w:pos="6718" w:val="left"/>
        </w:tabs>
        <w:autoSpaceDE w:val="0"/>
        <w:widowControl/>
        <w:spacing w:line="240" w:lineRule="auto" w:before="14" w:after="0"/>
        <w:ind w:left="65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479" cy="11302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9" cy="1130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00000190734863"/>
          <w:rFonts w:ascii="MyriadPro" w:hAnsi="MyriadPro" w:eastAsia="MyriadPro"/>
          <w:b w:val="0"/>
          <w:i w:val="0"/>
          <w:color w:val="000000"/>
          <w:sz w:val="20"/>
        </w:rPr>
        <w:t xml:space="preserve"> Les accidents liés à un taux d’alcoolémie illicite</w:t>
      </w:r>
    </w:p>
    <w:p>
      <w:pPr>
        <w:autoSpaceDN w:val="0"/>
        <w:tabs>
          <w:tab w:pos="6718" w:val="left"/>
          <w:tab w:pos="6794" w:val="left"/>
        </w:tabs>
        <w:autoSpaceDE w:val="0"/>
        <w:widowControl/>
        <w:spacing w:line="240" w:lineRule="auto" w:before="0" w:after="0"/>
        <w:ind w:left="65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479" cy="11176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9" cy="1117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00000190734863"/>
          <w:rFonts w:ascii="MyriadPro" w:hAnsi="MyriadPro" w:eastAsia="MyriadPro"/>
          <w:b w:val="0"/>
          <w:i w:val="0"/>
          <w:color w:val="000000"/>
          <w:sz w:val="20"/>
        </w:rPr>
        <w:t xml:space="preserve"> Interventions chirurgicales esthétiques autres que la </w:t>
      </w:r>
      <w:r>
        <w:br/>
      </w:r>
      <w:r>
        <w:tab/>
      </w:r>
      <w:r>
        <w:rPr>
          <w:w w:val="98.00000190734863"/>
          <w:rFonts w:ascii="MyriadPro" w:hAnsi="MyriadPro" w:eastAsia="MyriadPro"/>
          <w:b w:val="0"/>
          <w:i w:val="0"/>
          <w:color w:val="000000"/>
          <w:sz w:val="20"/>
        </w:rPr>
        <w:t xml:space="preserve">chirurgie réparatrice consécutive à une maladie ou un </w:t>
      </w:r>
      <w:r>
        <w:br/>
      </w:r>
      <w:r>
        <w:tab/>
      </w:r>
      <w:r>
        <w:rPr>
          <w:w w:val="98.00000190734863"/>
          <w:rFonts w:ascii="MyriadPro" w:hAnsi="MyriadPro" w:eastAsia="MyriadPro"/>
          <w:b w:val="0"/>
          <w:i w:val="0"/>
          <w:color w:val="000000"/>
          <w:sz w:val="20"/>
        </w:rPr>
        <w:t>accident garanti au contrat</w:t>
      </w:r>
    </w:p>
    <w:p>
      <w:pPr>
        <w:autoSpaceDN w:val="0"/>
        <w:tabs>
          <w:tab w:pos="6718" w:val="left"/>
          <w:tab w:pos="6794" w:val="left"/>
        </w:tabs>
        <w:autoSpaceDE w:val="0"/>
        <w:widowControl/>
        <w:spacing w:line="240" w:lineRule="auto" w:before="0" w:after="318"/>
        <w:ind w:left="6550" w:right="288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479" cy="11302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9" cy="1130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98.00000190734863"/>
          <w:rFonts w:ascii="MyriadPro" w:hAnsi="MyriadPro" w:eastAsia="MyriadPro"/>
          <w:b w:val="0"/>
          <w:i w:val="0"/>
          <w:color w:val="000000"/>
          <w:sz w:val="20"/>
        </w:rPr>
        <w:t xml:space="preserve"> Les suites et conséquences de la pratique de sports à </w:t>
      </w:r>
      <w:r>
        <w:br/>
      </w:r>
      <w:r>
        <w:tab/>
      </w:r>
      <w:r>
        <w:rPr>
          <w:w w:val="98.00000190734863"/>
          <w:rFonts w:ascii="MyriadPro" w:hAnsi="MyriadPro" w:eastAsia="MyriadPro"/>
          <w:b w:val="0"/>
          <w:i w:val="0"/>
          <w:color w:val="000000"/>
          <w:sz w:val="20"/>
        </w:rPr>
        <w:t>risques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40.0" w:type="dxa"/>
      </w:tblPr>
      <w:tblGrid>
        <w:gridCol w:w="5701"/>
        <w:gridCol w:w="5701"/>
      </w:tblGrid>
      <w:tr>
        <w:trPr>
          <w:trHeight w:hRule="exact" w:val="324"/>
        </w:trPr>
        <w:tc>
          <w:tcPr>
            <w:tcW w:type="dxa" w:w="7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0" w:after="0"/>
              <w:ind w:left="0" w:right="2502" w:firstLine="0"/>
              <w:jc w:val="righ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>PRINCIPALES RESTRICTIONS</w:t>
            </w:r>
          </w:p>
        </w:tc>
      </w:tr>
      <w:tr>
        <w:trPr>
          <w:trHeight w:hRule="exact" w:val="286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4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0479" cy="113029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" cy="1130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6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4" w:after="0"/>
              <w:ind w:left="78" w:right="0" w:firstLine="0"/>
              <w:jc w:val="left"/>
            </w:pPr>
            <w:r>
              <w:rPr>
                <w:w w:val="98.00000190734863"/>
                <w:rFonts w:ascii="MyriadPro" w:hAnsi="MyriadPro" w:eastAsia="MyriadPro"/>
                <w:b w:val="0"/>
                <w:i w:val="0"/>
                <w:color w:val="000000"/>
                <w:sz w:val="20"/>
              </w:rPr>
              <w:t xml:space="preserve"> Délai de franchise : 30, 60, 90, 180 jours (selon l’option </w:t>
            </w:r>
          </w:p>
        </w:tc>
      </w:tr>
    </w:tbl>
    <w:p>
      <w:pPr>
        <w:autoSpaceDN w:val="0"/>
        <w:autoSpaceDE w:val="0"/>
        <w:widowControl/>
        <w:spacing w:line="236" w:lineRule="exact" w:before="8" w:after="0"/>
        <w:ind w:left="0" w:right="4000" w:firstLine="0"/>
        <w:jc w:val="right"/>
      </w:pPr>
      <w:r>
        <w:rPr>
          <w:w w:val="98.00000190734863"/>
          <w:rFonts w:ascii="MyriadPro" w:hAnsi="MyriadPro" w:eastAsia="MyriadPro"/>
          <w:b w:val="0"/>
          <w:i w:val="0"/>
          <w:color w:val="000000"/>
          <w:sz w:val="20"/>
        </w:rPr>
        <w:t>choisie)</w:t>
      </w:r>
    </w:p>
    <w:p>
      <w:pPr>
        <w:autoSpaceDN w:val="0"/>
        <w:autoSpaceDE w:val="0"/>
        <w:widowControl/>
        <w:spacing w:line="235" w:lineRule="auto" w:before="488" w:after="0"/>
        <w:ind w:left="0" w:right="106" w:firstLine="0"/>
        <w:jc w:val="right"/>
      </w:pPr>
      <w:r>
        <w:rPr>
          <w:rFonts w:ascii="SourceSansPro" w:hAnsi="SourceSansPro" w:eastAsia="SourceSansPro"/>
          <w:b w:val="0"/>
          <w:i/>
          <w:color w:val="3E3E3E"/>
          <w:sz w:val="12"/>
        </w:rPr>
        <w:t>UGIP_Global+CI_IPID_V05072023 - Page 1 sur 2</w:t>
      </w:r>
    </w:p>
    <w:p>
      <w:pPr>
        <w:sectPr>
          <w:pgSz w:w="11906" w:h="16838"/>
          <w:pgMar w:top="220" w:right="224" w:bottom="186" w:left="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495300</wp:posOffset>
            </wp:positionH>
            <wp:positionV relativeFrom="page">
              <wp:posOffset>8928100</wp:posOffset>
            </wp:positionV>
            <wp:extent cx="38100" cy="508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</wp:posOffset>
            </wp:positionH>
            <wp:positionV relativeFrom="page">
              <wp:posOffset>8740140</wp:posOffset>
            </wp:positionV>
            <wp:extent cx="346710" cy="364265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642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158"/>
        <w:ind w:left="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16000" cy="304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813"/>
        <w:gridCol w:w="3813"/>
        <w:gridCol w:w="3813"/>
      </w:tblGrid>
      <w:tr>
        <w:trPr>
          <w:trHeight w:hRule="exact" w:val="482"/>
        </w:trPr>
        <w:tc>
          <w:tcPr>
            <w:tcW w:type="dxa" w:w="756"/>
            <w:vMerge w:val="restart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6710" cy="36068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60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582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2" w:after="0"/>
              <w:ind w:left="9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6"/>
              </w:rPr>
              <w:t>Où suis-je couvert(e)?</w:t>
            </w:r>
          </w:p>
        </w:tc>
      </w:tr>
      <w:tr>
        <w:trPr>
          <w:trHeight w:hRule="exact" w:val="320"/>
        </w:trPr>
        <w:tc>
          <w:tcPr>
            <w:tcW w:type="dxa" w:w="3813"/>
            <w:vMerge/>
            <w:tcBorders/>
          </w:tcPr>
          <w:p/>
        </w:tc>
        <w:tc>
          <w:tcPr>
            <w:tcW w:type="dxa" w:w="24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" cy="1016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342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56" w:after="0"/>
              <w:ind w:left="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 Les garanties sont accordées dans le monde entier, sans limitation de durée de séjour.</w:t>
            </w:r>
          </w:p>
        </w:tc>
      </w:tr>
      <w:tr>
        <w:trPr>
          <w:trHeight w:hRule="exact" w:val="320"/>
        </w:trPr>
        <w:tc>
          <w:tcPr>
            <w:tcW w:type="dxa" w:w="3813"/>
            <w:vMerge/>
            <w:tcBorders/>
          </w:tcPr>
          <w:p/>
        </w:tc>
        <w:tc>
          <w:tcPr>
            <w:tcW w:type="dxa" w:w="24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" cy="10032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003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342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2" w:after="0"/>
              <w:ind w:left="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 Les sinistres PTIA, ITT, IPT , ITP ou IPP, devra être constaté sur le territoire Français.</w:t>
            </w:r>
          </w:p>
        </w:tc>
      </w:tr>
      <w:tr>
        <w:trPr>
          <w:trHeight w:hRule="exact" w:val="278"/>
        </w:trPr>
        <w:tc>
          <w:tcPr>
            <w:tcW w:type="dxa" w:w="3813"/>
            <w:vMerge/>
            <w:tcBorders/>
          </w:tcPr>
          <w:p/>
        </w:tc>
        <w:tc>
          <w:tcPr>
            <w:tcW w:type="dxa" w:w="24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" cy="101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342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6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 En cas de décès survenant hors de France Métropolitaine, des DOM/COM ou de Monaco, si le certificat médical ne peut être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719"/>
        <w:gridCol w:w="5719"/>
      </w:tblGrid>
      <w:tr>
        <w:trPr>
          <w:trHeight w:hRule="exact" w:val="530"/>
        </w:trPr>
        <w:tc>
          <w:tcPr>
            <w:tcW w:type="dxa" w:w="75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5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74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établi sur le territoire français, ce certificat devra être établi par un médecin agréé par un Consulat de France local.</w:t>
            </w:r>
          </w:p>
        </w:tc>
      </w:tr>
      <w:tr>
        <w:trPr>
          <w:trHeight w:hRule="exact" w:val="846"/>
        </w:trPr>
        <w:tc>
          <w:tcPr>
            <w:tcW w:type="dxa" w:w="756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6710" cy="36068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60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582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04" w:after="0"/>
              <w:ind w:left="9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6"/>
              </w:rPr>
              <w:t>Quelles sont mes obligations ?</w:t>
            </w:r>
          </w:p>
          <w:p>
            <w:pPr>
              <w:autoSpaceDN w:val="0"/>
              <w:autoSpaceDE w:val="0"/>
              <w:widowControl/>
              <w:spacing w:line="242" w:lineRule="auto" w:before="92" w:after="0"/>
              <w:ind w:left="90" w:right="0" w:firstLine="0"/>
              <w:jc w:val="lef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>Sous peine de nullité du contrat d’assurance ou de non garantie, vous devez :</w:t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6.0" w:type="dxa"/>
      </w:tblPr>
      <w:tblGrid>
        <w:gridCol w:w="5719"/>
        <w:gridCol w:w="5719"/>
      </w:tblGrid>
      <w:tr>
        <w:trPr>
          <w:trHeight w:hRule="exact" w:val="304"/>
        </w:trPr>
        <w:tc>
          <w:tcPr>
            <w:tcW w:type="dxa" w:w="10780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450" w:right="0" w:firstLine="0"/>
              <w:jc w:val="lef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>A l’adhésion du contrat :</w:t>
            </w:r>
          </w:p>
        </w:tc>
      </w:tr>
      <w:tr>
        <w:trPr>
          <w:trHeight w:hRule="exact" w:val="280"/>
        </w:trPr>
        <w:tc>
          <w:tcPr>
            <w:tcW w:type="dxa" w:w="66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116" w:firstLine="0"/>
              <w:jc w:val="righ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• </w:t>
            </w:r>
          </w:p>
        </w:tc>
        <w:tc>
          <w:tcPr>
            <w:tcW w:type="dxa" w:w="1012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152" w:right="0" w:firstLine="0"/>
              <w:jc w:val="lef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>Fournir tous les documents justificatifs demandés par l’assureur</w:t>
            </w:r>
          </w:p>
        </w:tc>
      </w:tr>
      <w:tr>
        <w:trPr>
          <w:trHeight w:hRule="exact" w:val="282"/>
        </w:trPr>
        <w:tc>
          <w:tcPr>
            <w:tcW w:type="dxa" w:w="66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116" w:firstLine="0"/>
              <w:jc w:val="righ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• </w:t>
            </w:r>
          </w:p>
        </w:tc>
        <w:tc>
          <w:tcPr>
            <w:tcW w:type="dxa" w:w="1012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0" w:firstLine="0"/>
              <w:jc w:val="center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Satisfaire aux formalités médicales demandées et répondre exactement aux questions posées par l’assureur notamment dans la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6.0" w:type="dxa"/>
      </w:tblPr>
      <w:tblGrid>
        <w:gridCol w:w="5719"/>
        <w:gridCol w:w="5719"/>
      </w:tblGrid>
      <w:tr>
        <w:trPr>
          <w:trHeight w:hRule="exact" w:val="586"/>
        </w:trPr>
        <w:tc>
          <w:tcPr>
            <w:tcW w:type="dxa" w:w="66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80" w:after="0"/>
              <w:ind w:left="0" w:right="116" w:firstLine="0"/>
              <w:jc w:val="righ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• </w:t>
            </w:r>
          </w:p>
        </w:tc>
        <w:tc>
          <w:tcPr>
            <w:tcW w:type="dxa" w:w="950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52" w:right="720" w:firstLine="0"/>
              <w:jc w:val="lef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déclaration et le questionnaire de santé ainsi que les autres documents que vous pourriez être amenés à remplir </w:t>
            </w: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>Avoir rempli, daté, signé une demande d’adhésion</w:t>
            </w:r>
          </w:p>
        </w:tc>
      </w:tr>
    </w:tbl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6.0" w:type="dxa"/>
      </w:tblPr>
      <w:tblGrid>
        <w:gridCol w:w="5719"/>
        <w:gridCol w:w="5719"/>
      </w:tblGrid>
      <w:tr>
        <w:trPr>
          <w:trHeight w:hRule="exact" w:val="322"/>
        </w:trPr>
        <w:tc>
          <w:tcPr>
            <w:tcW w:type="dxa" w:w="6680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50" w:right="0" w:firstLine="0"/>
              <w:jc w:val="lef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>En cours d’adhésion :</w:t>
            </w:r>
          </w:p>
        </w:tc>
      </w:tr>
      <w:tr>
        <w:trPr>
          <w:trHeight w:hRule="exact" w:val="324"/>
        </w:trPr>
        <w:tc>
          <w:tcPr>
            <w:tcW w:type="dxa" w:w="66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0" w:right="116" w:firstLine="0"/>
              <w:jc w:val="righ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• </w:t>
            </w:r>
          </w:p>
        </w:tc>
        <w:tc>
          <w:tcPr>
            <w:tcW w:type="dxa" w:w="602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52" w:right="0" w:firstLine="0"/>
              <w:jc w:val="lef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 Payer les cotisations</w:t>
            </w:r>
          </w:p>
        </w:tc>
      </w:tr>
    </w:tbl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6.0" w:type="dxa"/>
      </w:tblPr>
      <w:tblGrid>
        <w:gridCol w:w="5719"/>
        <w:gridCol w:w="5719"/>
      </w:tblGrid>
      <w:tr>
        <w:trPr>
          <w:trHeight w:hRule="exact" w:val="308"/>
        </w:trPr>
        <w:tc>
          <w:tcPr>
            <w:tcW w:type="dxa" w:w="10360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50" w:right="0" w:firstLine="0"/>
              <w:jc w:val="lef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>En cas de sinistre :</w:t>
            </w:r>
          </w:p>
        </w:tc>
      </w:tr>
      <w:tr>
        <w:trPr>
          <w:trHeight w:hRule="exact" w:val="280"/>
        </w:trPr>
        <w:tc>
          <w:tcPr>
            <w:tcW w:type="dxa" w:w="66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0" w:right="116" w:firstLine="0"/>
              <w:jc w:val="righ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• </w:t>
            </w:r>
          </w:p>
        </w:tc>
        <w:tc>
          <w:tcPr>
            <w:tcW w:type="dxa" w:w="970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2" w:after="0"/>
              <w:ind w:left="152" w:right="0" w:firstLine="0"/>
              <w:jc w:val="lef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Adresser une déclaration accompagnée des pièces mentionnées à l’article 22 pour chacune des garanties de la notice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13"/>
        <w:gridCol w:w="3813"/>
        <w:gridCol w:w="3813"/>
      </w:tblGrid>
      <w:tr>
        <w:trPr>
          <w:trHeight w:hRule="exact" w:val="260"/>
        </w:trPr>
        <w:tc>
          <w:tcPr>
            <w:tcW w:type="dxa" w:w="796"/>
            <w:vMerge w:val="restart"/>
            <w:tcBorders>
              <w:bottom w:sz="32.0" w:val="single" w:color="#FFFFFF"/>
            </w:tcBorders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0622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" w:after="0"/>
              <w:ind w:left="452" w:right="0" w:firstLine="0"/>
              <w:jc w:val="lef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>d’information</w:t>
            </w:r>
          </w:p>
        </w:tc>
      </w:tr>
      <w:tr>
        <w:trPr>
          <w:trHeight w:hRule="exact" w:val="536"/>
        </w:trPr>
        <w:tc>
          <w:tcPr>
            <w:tcW w:type="dxa" w:w="3813"/>
            <w:vMerge/>
            <w:tcBorders>
              <w:bottom w:sz="32.0" w:val="single" w:color="#FFFFFF"/>
            </w:tcBorders>
          </w:tcPr>
          <w:p/>
        </w:tc>
        <w:tc>
          <w:tcPr>
            <w:tcW w:type="dxa" w:w="300"/>
            <w:tcBorders>
              <w:bottom w:sz="32.0" w:val="single" w:color="#FFFFFF"/>
            </w:tcBorders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• </w:t>
            </w:r>
          </w:p>
        </w:tc>
        <w:tc>
          <w:tcPr>
            <w:tcW w:type="dxa" w:w="10322"/>
            <w:tcBorders>
              <w:bottom w:sz="32.0" w:val="single" w:color="#FFFFFF"/>
            </w:tcBorders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152" w:right="0" w:firstLine="0"/>
              <w:jc w:val="left"/>
            </w:pPr>
            <w:r>
              <w:rPr>
                <w:w w:val="101.59873962402344"/>
                <w:rFonts w:ascii="SourceSansPro" w:hAnsi="SourceSansPro" w:eastAsia="SourceSansPro"/>
                <w:b w:val="0"/>
                <w:i w:val="0"/>
                <w:color w:val="000000"/>
                <w:sz w:val="19"/>
              </w:rPr>
              <w:t xml:space="preserve">Communiquer toute pièce demandée par l’assureur permettant de constituer le dossier </w:t>
            </w:r>
          </w:p>
        </w:tc>
      </w:tr>
      <w:tr>
        <w:trPr>
          <w:trHeight w:hRule="exact" w:val="914"/>
        </w:trPr>
        <w:tc>
          <w:tcPr>
            <w:tcW w:type="dxa" w:w="796"/>
            <w:tcBorders>
              <w:top w:sz="32.0" w:val="single" w:color="#FFFFFF"/>
            </w:tcBorders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1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6710" cy="36068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60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22"/>
            <w:gridSpan w:val="2"/>
            <w:tcBorders>
              <w:top w:sz="32.0" w:val="single" w:color="#FFFFFF"/>
            </w:tcBorders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2" w:after="0"/>
              <w:ind w:left="9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6"/>
              </w:rPr>
              <w:t>Quand et comment effectuer les paiements ?</w:t>
            </w:r>
          </w:p>
          <w:p>
            <w:pPr>
              <w:autoSpaceDN w:val="0"/>
              <w:autoSpaceDE w:val="0"/>
              <w:widowControl/>
              <w:spacing w:line="240" w:lineRule="auto" w:before="92" w:after="0"/>
              <w:ind w:left="90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La cotisation annuelle peut être payée mensuellement, trimestriellement et semestriellement.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19"/>
        <w:gridCol w:w="5719"/>
      </w:tblGrid>
      <w:tr>
        <w:trPr>
          <w:trHeight w:hRule="exact" w:val="490"/>
        </w:trPr>
        <w:tc>
          <w:tcPr>
            <w:tcW w:type="dxa" w:w="796"/>
            <w:tcBorders>
              <w:bottom w:sz="32.0" w:val="single" w:color="#FFFFFF"/>
            </w:tcBorders>
            <w:shd w:fill="ececec"/>
            <w:tcMar>
              <w:start w:w="0" w:type="dxa"/>
              <w:end w:w="0" w:type="dxa"/>
            </w:tcMar>
          </w:tcPr>
          <w:p/>
        </w:tc>
        <w:tc>
          <w:tcPr>
            <w:tcW w:type="dxa" w:w="10622"/>
            <w:tcBorders>
              <w:bottom w:sz="32.0" w:val="single" w:color="#FFFFFF"/>
            </w:tcBorders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90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Le règlement de la cotisation peut être effectué par prélèvement bancaire ou par chèque (sauf pour les paiements mensuels)</w:t>
            </w:r>
          </w:p>
        </w:tc>
      </w:tr>
      <w:tr>
        <w:trPr>
          <w:trHeight w:hRule="exact" w:val="914"/>
        </w:trPr>
        <w:tc>
          <w:tcPr>
            <w:tcW w:type="dxa" w:w="796"/>
            <w:tcBorders>
              <w:top w:sz="32.0" w:val="single" w:color="#FFFFFF"/>
            </w:tcBorders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8" w:after="0"/>
              <w:ind w:left="18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46710" cy="36068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" cy="360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22"/>
            <w:tcBorders>
              <w:top w:sz="32.0" w:val="single" w:color="#FFFFFF"/>
            </w:tcBorders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2" w:after="0"/>
              <w:ind w:left="9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6"/>
              </w:rPr>
              <w:t xml:space="preserve">Quand commence la couverture et quand prend-elle fin ? </w:t>
            </w:r>
          </w:p>
          <w:p>
            <w:pPr>
              <w:autoSpaceDN w:val="0"/>
              <w:autoSpaceDE w:val="0"/>
              <w:widowControl/>
              <w:spacing w:line="240" w:lineRule="auto" w:before="92" w:after="0"/>
              <w:ind w:left="90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L’assurance prend effet à la date mentionnée sur le certificat d’adhésion et sous réserve de l’encaissement de la première cotisation.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6.0" w:type="dxa"/>
      </w:tblPr>
      <w:tblGrid>
        <w:gridCol w:w="5719"/>
        <w:gridCol w:w="5719"/>
      </w:tblGrid>
      <w:tr>
        <w:trPr>
          <w:trHeight w:hRule="exact" w:val="306"/>
        </w:trPr>
        <w:tc>
          <w:tcPr>
            <w:tcW w:type="dxa" w:w="10860"/>
            <w:gridSpan w:val="2"/>
            <w:tcBorders/>
            <w:shd w:fill="ececec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450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Les garanties cessent :</w:t>
            </w:r>
          </w:p>
        </w:tc>
      </w:tr>
      <w:tr>
        <w:trPr>
          <w:trHeight w:hRule="exact" w:val="300"/>
        </w:trPr>
        <w:tc>
          <w:tcPr>
            <w:tcW w:type="dxa" w:w="66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114" w:firstLine="0"/>
              <w:jc w:val="righ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1020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152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À la fin de leur terme contractuel (sauf prorogation acceptée par l’Assureur)</w:t>
            </w:r>
          </w:p>
        </w:tc>
      </w:tr>
      <w:tr>
        <w:trPr>
          <w:trHeight w:hRule="exact" w:val="286"/>
        </w:trPr>
        <w:tc>
          <w:tcPr>
            <w:tcW w:type="dxa" w:w="66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114" w:firstLine="0"/>
              <w:jc w:val="righ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1020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À la date de notification à l’emprunteur par l’organisme prêteur de la déchéance du terme entraînant l’exigibilité immédiate du </w:t>
            </w:r>
          </w:p>
        </w:tc>
      </w:tr>
    </w:tbl>
    <w:p>
      <w:pPr>
        <w:autoSpaceDN w:val="0"/>
        <w:autoSpaceDE w:val="0"/>
        <w:widowControl/>
        <w:spacing w:line="240" w:lineRule="auto" w:before="2" w:after="0"/>
        <w:ind w:left="1248" w:right="0" w:firstLine="0"/>
        <w:jc w:val="left"/>
      </w:pPr>
      <w:r>
        <w:rPr>
          <w:w w:val="98.00000190734863"/>
          <w:rFonts w:ascii="SourceSansPro" w:hAnsi="SourceSansPro" w:eastAsia="SourceSansPro"/>
          <w:b w:val="0"/>
          <w:i w:val="0"/>
          <w:color w:val="000000"/>
          <w:sz w:val="20"/>
        </w:rPr>
        <w:t>prêt</w:t>
      </w:r>
    </w:p>
    <w:p>
      <w:pPr>
        <w:autoSpaceDN w:val="0"/>
        <w:tabs>
          <w:tab w:pos="1248" w:val="left"/>
        </w:tabs>
        <w:autoSpaceDE w:val="0"/>
        <w:widowControl/>
        <w:spacing w:line="245" w:lineRule="auto" w:before="60" w:after="2"/>
        <w:ind w:left="886" w:right="288" w:firstLine="0"/>
        <w:jc w:val="left"/>
      </w:pPr>
      <w:r>
        <w:rPr>
          <w:w w:val="98.00000190734863"/>
          <w:rFonts w:ascii="SourceSansPro" w:hAnsi="SourceSansPro" w:eastAsia="SourceSansPro"/>
          <w:b w:val="0"/>
          <w:i w:val="0"/>
          <w:color w:val="000000"/>
          <w:sz w:val="20"/>
        </w:rPr>
        <w:t xml:space="preserve">• </w:t>
      </w:r>
      <w:r>
        <w:rPr>
          <w:w w:val="98.00000190734863"/>
          <w:rFonts w:ascii="SourceSansPro" w:hAnsi="SourceSansPro" w:eastAsia="SourceSansPro"/>
          <w:b w:val="0"/>
          <w:i w:val="0"/>
          <w:color w:val="000000"/>
          <w:sz w:val="20"/>
        </w:rPr>
        <w:t xml:space="preserve">En cas de mise en place d’un plan conventionnel ou de mesures imposées ou recommandées dans le cadre d’une procédure </w:t>
      </w:r>
      <w:r>
        <w:rPr>
          <w:w w:val="98.00000190734863"/>
          <w:rFonts w:ascii="SourceSansPro" w:hAnsi="SourceSansPro" w:eastAsia="SourceSansPro"/>
          <w:b w:val="0"/>
          <w:i w:val="0"/>
          <w:color w:val="000000"/>
          <w:sz w:val="20"/>
        </w:rPr>
        <w:t xml:space="preserve">de traitement des situations de surendettement des particuliers et ne prévoyant pas le maintien du paiement de la cotisation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19"/>
        <w:gridCol w:w="5719"/>
      </w:tblGrid>
      <w:tr>
        <w:trPr>
          <w:trHeight w:hRule="exact" w:val="1644"/>
        </w:trPr>
        <w:tc>
          <w:tcPr>
            <w:tcW w:type="dxa" w:w="1096"/>
            <w:tcBorders>
              <w:bottom w:sz="32.0" w:val="single" w:color="#FFFFFF"/>
            </w:tcBorders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308" w:after="0"/>
              <w:ind w:left="886" w:right="114" w:firstLine="0"/>
              <w:jc w:val="both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• </w:t>
            </w:r>
            <w:r>
              <w:br/>
            </w: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• </w:t>
            </w:r>
            <w:r>
              <w:br/>
            </w: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• </w:t>
            </w:r>
            <w:r>
              <w:br/>
            </w: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10322"/>
            <w:tcBorders>
              <w:bottom w:sz="32.0" w:val="single" w:color="#FFFFFF"/>
            </w:tcBorders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52" w:right="3888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d’assurance </w:t>
            </w:r>
            <w:r>
              <w:br/>
            </w: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Lors du remboursement anticipé total du prêt</w:t>
            </w:r>
            <w:r>
              <w:br/>
            </w: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À la date prévue de cessation du prêt sauf prorogation acceptée par l’Assureur </w:t>
            </w: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En cas de non-paiement de la cotisation, dans les termes prévus à l’article 22.3 </w:t>
            </w: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Lorsque l’Assuré atteint la limite d’âge prévue au titre des garanties concernées.</w:t>
            </w:r>
          </w:p>
        </w:tc>
      </w:tr>
    </w:tbl>
    <w:p>
      <w:pPr>
        <w:autoSpaceDN w:val="0"/>
        <w:autoSpaceDE w:val="0"/>
        <w:widowControl/>
        <w:spacing w:line="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6.0" w:type="dxa"/>
      </w:tblPr>
      <w:tblGrid>
        <w:gridCol w:w="11438"/>
      </w:tblGrid>
      <w:tr>
        <w:trPr>
          <w:trHeight w:hRule="exact" w:val="452"/>
        </w:trPr>
        <w:tc>
          <w:tcPr>
            <w:tcW w:type="dxa" w:w="7720"/>
            <w:tcBorders/>
            <w:shd w:fill="ecece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450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000000"/>
                <w:sz w:val="26"/>
              </w:rPr>
              <w:t>Comment puis-je résilier le contrat ?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6.0" w:type="dxa"/>
      </w:tblPr>
      <w:tblGrid>
        <w:gridCol w:w="11438"/>
      </w:tblGrid>
      <w:tr>
        <w:trPr>
          <w:trHeight w:hRule="exact" w:val="292"/>
        </w:trPr>
        <w:tc>
          <w:tcPr>
            <w:tcW w:type="dxa" w:w="10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4" w:after="0"/>
              <w:ind w:left="0" w:right="0" w:firstLine="0"/>
              <w:jc w:val="center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Conformément aux dispositions de l’article L.113-12-2 du Code des assurances, l’Adhérent peut résilier son Adhésion à tout </w:t>
            </w:r>
          </w:p>
        </w:tc>
      </w:tr>
    </w:tbl>
    <w:p>
      <w:pPr>
        <w:autoSpaceDN w:val="0"/>
        <w:autoSpaceDE w:val="0"/>
        <w:widowControl/>
        <w:spacing w:line="242" w:lineRule="auto" w:before="2" w:after="0"/>
        <w:ind w:left="0" w:right="0" w:firstLine="0"/>
        <w:jc w:val="center"/>
      </w:pPr>
      <w:r>
        <w:rPr>
          <w:w w:val="98.00000190734863"/>
          <w:rFonts w:ascii="SourceSansPro" w:hAnsi="SourceSansPro" w:eastAsia="SourceSansPro"/>
          <w:b w:val="0"/>
          <w:i w:val="0"/>
          <w:color w:val="000000"/>
          <w:sz w:val="20"/>
        </w:rPr>
        <w:t xml:space="preserve">moment à compter de la signature de l’offre de prêt, par courrier à l’adresse UGIP Assurances - 143 Boulevard René Cassin 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14" w:type="dxa"/>
      </w:tblPr>
      <w:tblGrid>
        <w:gridCol w:w="5719"/>
        <w:gridCol w:w="5719"/>
      </w:tblGrid>
      <w:tr>
        <w:trPr>
          <w:trHeight w:hRule="exact" w:val="1676"/>
        </w:trPr>
        <w:tc>
          <w:tcPr>
            <w:tcW w:type="dxa" w:w="10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70" w:right="0" w:firstLine="0"/>
              <w:jc w:val="left"/>
            </w:pP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 xml:space="preserve">Immeuble Nouvel’R - Bat C - CS 63278 - 06205 NICE CEDEX 3, ou par courriel adressé à production@ugip.org, ou par tout autre </w:t>
            </w:r>
            <w:r>
              <w:rPr>
                <w:w w:val="98.00000190734863"/>
                <w:rFonts w:ascii="SourceSansPro" w:hAnsi="SourceSansPro" w:eastAsia="SourceSansPro"/>
                <w:b w:val="0"/>
                <w:i w:val="0"/>
                <w:color w:val="000000"/>
                <w:sz w:val="20"/>
              </w:rPr>
              <w:t>moyen listé à l’article L.113-14 du Code des assurances.</w:t>
            </w:r>
          </w:p>
          <w:p>
            <w:pPr>
              <w:autoSpaceDN w:val="0"/>
              <w:autoSpaceDE w:val="0"/>
              <w:widowControl/>
              <w:spacing w:line="245" w:lineRule="auto" w:before="718" w:after="0"/>
              <w:ind w:left="24" w:right="166" w:firstLine="0"/>
              <w:jc w:val="both"/>
            </w:pPr>
            <w:r>
              <w:rPr>
                <w:rFonts w:ascii="SourceSansPro" w:hAnsi="SourceSansPro" w:eastAsia="SourceSansPro"/>
                <w:b w:val="0"/>
                <w:i/>
                <w:color w:val="464646"/>
                <w:sz w:val="12"/>
              </w:rPr>
              <w:t xml:space="preserve">UGIP Assurances - 30/32 Boulevard de Vaugirard 75015 Paris - SAS au capital de 130 944 € - RCS Paris N°398 784 645 - Intermédiaire en assurances - Immatriculée à l’ORIAS N°07 005 590 (www.orias.fr). Société soumise au </w:t>
            </w:r>
            <w:r>
              <w:rPr>
                <w:rFonts w:ascii="SourceSansPro" w:hAnsi="SourceSansPro" w:eastAsia="SourceSansPro"/>
                <w:b w:val="0"/>
                <w:i/>
                <w:color w:val="464646"/>
                <w:sz w:val="12"/>
              </w:rPr>
              <w:t xml:space="preserve">contrôle de l’ACPR 4 place de Budapest 75436 Paris CEDEX 09. Toute réclamation devra être transmise à UGIP Assurances - Service Réclamations - 143 Boulevard René Cassin - Immeuble Nouvel’R - Bat C - CS 63278 - 06205 </w:t>
            </w:r>
            <w:r>
              <w:rPr>
                <w:rFonts w:ascii="SourceSansPro" w:hAnsi="SourceSansPro" w:eastAsia="SourceSansPro"/>
                <w:b w:val="0"/>
                <w:i/>
                <w:color w:val="464646"/>
                <w:sz w:val="12"/>
              </w:rPr>
              <w:t>Nice CEDEX 3.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2100" cy="77851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7785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106" w:firstLine="0"/>
        <w:jc w:val="right"/>
      </w:pPr>
      <w:r>
        <w:rPr>
          <w:rFonts w:ascii="SourceSansPro" w:hAnsi="SourceSansPro" w:eastAsia="SourceSansPro"/>
          <w:b w:val="0"/>
          <w:i/>
          <w:color w:val="3E3E3E"/>
          <w:sz w:val="12"/>
        </w:rPr>
        <w:t>UGIP_Global+CI_IPID_V05072023 - Page</w:t>
      </w:r>
      <w:r>
        <w:rPr>
          <w:rFonts w:ascii="SourceSansPro" w:hAnsi="SourceSansPro" w:eastAsia="SourceSansPro"/>
          <w:b w:val="0"/>
          <w:i/>
          <w:color w:val="404040"/>
          <w:sz w:val="12"/>
        </w:rPr>
        <w:t xml:space="preserve"> 2</w:t>
      </w:r>
      <w:r>
        <w:rPr>
          <w:rFonts w:ascii="SourceSansPro" w:hAnsi="SourceSansPro" w:eastAsia="SourceSansPro"/>
          <w:b w:val="0"/>
          <w:i/>
          <w:color w:val="3E3E3E"/>
          <w:sz w:val="12"/>
        </w:rPr>
        <w:t xml:space="preserve"> sur 2</w:t>
      </w:r>
    </w:p>
    <w:sectPr w:rsidR="00FC693F" w:rsidRPr="0006063C" w:rsidSect="00034616">
      <w:pgSz w:w="11906" w:h="16838"/>
      <w:pgMar w:top="220" w:right="224" w:bottom="186" w:left="24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