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-946150</wp:posOffset>
            </wp:positionH>
            <wp:positionV relativeFrom="page">
              <wp:posOffset>-789940</wp:posOffset>
            </wp:positionV>
            <wp:extent cx="2874010" cy="285260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526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382270</wp:posOffset>
            </wp:positionH>
            <wp:positionV relativeFrom="page">
              <wp:posOffset>3666490</wp:posOffset>
            </wp:positionV>
            <wp:extent cx="2214880" cy="1629127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62912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2788920</wp:posOffset>
            </wp:positionH>
            <wp:positionV relativeFrom="page">
              <wp:posOffset>3681729</wp:posOffset>
            </wp:positionV>
            <wp:extent cx="2118360" cy="1610503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61050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5097780</wp:posOffset>
            </wp:positionH>
            <wp:positionV relativeFrom="page">
              <wp:posOffset>3703320</wp:posOffset>
            </wp:positionV>
            <wp:extent cx="2047240" cy="1593824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5938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60"/>
        <w:ind w:left="0" w:right="2676" w:firstLine="0"/>
        <w:jc w:val="right"/>
      </w:pPr>
      <w:r>
        <w:rPr>
          <w:rFonts w:ascii="Open Sans" w:hAnsi="Open Sans" w:eastAsia="Open Sans"/>
          <w:b/>
          <w:i w:val="0"/>
          <w:color w:val="759AAB"/>
          <w:sz w:val="20"/>
        </w:rPr>
        <w:t xml:space="preserve">FICHE PRODUIT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3.99999999999999" w:type="dxa"/>
      </w:tblPr>
      <w:tblGrid>
        <w:gridCol w:w="11374"/>
      </w:tblGrid>
      <w:tr>
        <w:trPr>
          <w:trHeight w:hRule="exact" w:val="1200"/>
        </w:trPr>
        <w:tc>
          <w:tcPr>
            <w:tcW w:type="dxa" w:w="8562"/>
            <w:tcBorders>
              <w:start w:sz="12.0" w:val="single" w:color="#E42D45"/>
              <w:top w:sz="12.0" w:val="single" w:color="#E42D4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28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40"/>
              </w:rPr>
              <w:t xml:space="preserve">ADE SWL 1056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by </w:t>
            </w:r>
            <w:r>
              <w:drawing>
                <wp:inline xmlns:a="http://schemas.openxmlformats.org/drawingml/2006/main" xmlns:pic="http://schemas.openxmlformats.org/drawingml/2006/picture">
                  <wp:extent cx="665480" cy="2527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252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2"/>
              </w:rPr>
              <w:t xml:space="preserve">L’Alternative + économique et + sécurisante face aux Contrats Bancaires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L’alternative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32"/>
              </w:rPr>
              <w:t>+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 économique et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32"/>
              </w:rPr>
              <w:t>+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 sécurisante face aux contrats bancaires </w:t>
            </w:r>
          </w:p>
        </w:tc>
      </w:tr>
    </w:tbl>
    <w:p>
      <w:pPr>
        <w:autoSpaceDN w:val="0"/>
        <w:autoSpaceDE w:val="0"/>
        <w:widowControl/>
        <w:spacing w:line="230" w:lineRule="auto" w:before="500" w:after="0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Pourquoi choisir ADE SWL1056 ? </w:t>
      </w:r>
    </w:p>
    <w:p>
      <w:pPr>
        <w:autoSpaceDN w:val="0"/>
        <w:tabs>
          <w:tab w:pos="1156" w:val="left"/>
        </w:tabs>
        <w:autoSpaceDE w:val="0"/>
        <w:widowControl/>
        <w:spacing w:line="230" w:lineRule="auto" w:before="44" w:after="0"/>
        <w:ind w:left="796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Les prêts relais d’un montant assuré inférieur ou égal à 300 000 € n’entrent pas dans le calcul des </w:t>
      </w:r>
    </w:p>
    <w:p>
      <w:pPr>
        <w:autoSpaceDN w:val="0"/>
        <w:autoSpaceDE w:val="0"/>
        <w:widowControl/>
        <w:spacing w:line="233" w:lineRule="auto" w:before="32" w:after="0"/>
        <w:ind w:left="1156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formalités médicales dès lors qu’ils sont accompagnés d’un prêt amortissable </w:t>
      </w:r>
    </w:p>
    <w:p>
      <w:pPr>
        <w:autoSpaceDN w:val="0"/>
        <w:tabs>
          <w:tab w:pos="1156" w:val="left"/>
        </w:tabs>
        <w:autoSpaceDE w:val="0"/>
        <w:widowControl/>
        <w:spacing w:line="230" w:lineRule="auto" w:before="34" w:after="0"/>
        <w:ind w:left="796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Maintien du tarif pendant toute la durée du prêt </w:t>
      </w:r>
    </w:p>
    <w:p>
      <w:pPr>
        <w:autoSpaceDN w:val="0"/>
        <w:tabs>
          <w:tab w:pos="1156" w:val="left"/>
        </w:tabs>
        <w:autoSpaceDE w:val="0"/>
        <w:widowControl/>
        <w:spacing w:line="233" w:lineRule="auto" w:before="32" w:after="0"/>
        <w:ind w:left="796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Irrévocabilité des garanties </w:t>
      </w:r>
    </w:p>
    <w:p>
      <w:pPr>
        <w:autoSpaceDN w:val="0"/>
        <w:tabs>
          <w:tab w:pos="1150" w:val="left"/>
        </w:tabs>
        <w:autoSpaceDE w:val="0"/>
        <w:widowControl/>
        <w:spacing w:line="230" w:lineRule="auto" w:before="34" w:after="0"/>
        <w:ind w:left="794" w:right="0" w:firstLine="0"/>
        <w:jc w:val="left"/>
      </w:pPr>
      <w:r>
        <w:rPr>
          <w:rFonts w:ascii="Symbol" w:hAnsi="Symbol" w:eastAsia="Symbol"/>
          <w:b w:val="0"/>
          <w:i w:val="0"/>
          <w:color w:val="002337"/>
          <w:sz w:val="20"/>
        </w:rPr>
        <w:t>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Mi-temps thérapeutique : prise en charge jusqu’à 6 mois </w:t>
      </w:r>
    </w:p>
    <w:p>
      <w:pPr>
        <w:autoSpaceDN w:val="0"/>
        <w:autoSpaceDE w:val="0"/>
        <w:widowControl/>
        <w:spacing w:line="230" w:lineRule="auto" w:before="514" w:after="0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>En un clin d’œil</w:t>
      </w:r>
    </w:p>
    <w:p>
      <w:pPr>
        <w:autoSpaceDN w:val="0"/>
        <w:autoSpaceDE w:val="0"/>
        <w:widowControl/>
        <w:spacing w:line="230" w:lineRule="auto" w:before="204" w:after="188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20"/>
        </w:rPr>
        <w:t>Produit géré par Multi-Impact et assuré par SwissLife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8.00000000000006" w:type="dxa"/>
      </w:tblPr>
      <w:tblGrid>
        <w:gridCol w:w="1896"/>
        <w:gridCol w:w="1896"/>
        <w:gridCol w:w="1896"/>
        <w:gridCol w:w="1896"/>
        <w:gridCol w:w="1896"/>
        <w:gridCol w:w="1896"/>
      </w:tblGrid>
      <w:tr>
        <w:trPr>
          <w:trHeight w:hRule="exact" w:val="386"/>
        </w:trPr>
        <w:tc>
          <w:tcPr>
            <w:tcW w:type="dxa" w:w="3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2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322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1"/>
              </w:rPr>
              <w:t xml:space="preserve">Pour vous </w:t>
            </w:r>
          </w:p>
        </w:tc>
        <w:tc>
          <w:tcPr>
            <w:tcW w:type="dxa" w:w="516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38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Pour votre client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2" w:after="0"/>
              <w:ind w:left="0" w:right="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1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Formalités médicales </w:t>
            </w:r>
          </w:p>
        </w:tc>
      </w:tr>
      <w:tr>
        <w:trPr>
          <w:trHeight w:hRule="exact" w:val="320"/>
        </w:trPr>
        <w:tc>
          <w:tcPr>
            <w:tcW w:type="dxa" w:w="1896"/>
            <w:vMerge/>
            <w:tcBorders/>
          </w:tcPr>
          <w:p/>
        </w:tc>
        <w:tc>
          <w:tcPr>
            <w:tcW w:type="dxa" w:w="32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Différents modes de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Parcours de souscription en </w:t>
            </w:r>
          </w:p>
        </w:tc>
        <w:tc>
          <w:tcPr>
            <w:tcW w:type="dxa" w:w="1896"/>
            <w:vMerge/>
            <w:tcBorders/>
          </w:tcPr>
          <w:p/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17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Questionnaire de santé </w:t>
            </w:r>
          </w:p>
        </w:tc>
      </w:tr>
      <w:tr>
        <w:trPr>
          <w:trHeight w:hRule="exact" w:val="50"/>
        </w:trPr>
        <w:tc>
          <w:tcPr>
            <w:tcW w:type="dxa" w:w="1896"/>
            <w:vMerge/>
            <w:tcBorders/>
          </w:tcPr>
          <w:p/>
        </w:tc>
        <w:tc>
          <w:tcPr>
            <w:tcW w:type="dxa" w:w="32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commissions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ligne y compris la sélection </w:t>
            </w:r>
          </w:p>
        </w:tc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7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jusqu’à 45 ans et 500 000 € </w:t>
            </w:r>
          </w:p>
        </w:tc>
      </w:tr>
      <w:tr>
        <w:trPr>
          <w:trHeight w:hRule="exact" w:val="260"/>
        </w:trPr>
        <w:tc>
          <w:tcPr>
            <w:tcW w:type="dxa" w:w="398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2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Frais de courtage </w:t>
            </w:r>
          </w:p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médicale </w:t>
            </w:r>
          </w:p>
        </w:tc>
        <w:tc>
          <w:tcPr>
            <w:tcW w:type="dxa" w:w="480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040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7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Partenariats avec les </w:t>
            </w:r>
          </w:p>
        </w:tc>
      </w:tr>
      <w:tr>
        <w:trPr>
          <w:trHeight w:hRule="exact" w:val="98"/>
        </w:trPr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264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3120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  <w:tc>
          <w:tcPr>
            <w:tcW w:type="dxa" w:w="1896"/>
            <w:vMerge/>
            <w:tcBorders>
              <w:bottom w:sz="8.0" w:val="single" w:color="#EEF4F5"/>
            </w:tcBorders>
          </w:tcPr>
          <w:p/>
        </w:tc>
      </w:tr>
      <w:tr>
        <w:trPr>
          <w:trHeight w:hRule="exact" w:val="218"/>
        </w:trPr>
        <w:tc>
          <w:tcPr>
            <w:tcW w:type="dxa" w:w="398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264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intégralement reversés </w:t>
            </w:r>
          </w:p>
        </w:tc>
        <w:tc>
          <w:tcPr>
            <w:tcW w:type="dxa" w:w="516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120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Prise en charge des </w:t>
            </w:r>
          </w:p>
        </w:tc>
        <w:tc>
          <w:tcPr>
            <w:tcW w:type="dxa" w:w="480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7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centres de santé ARM, BSV </w:t>
            </w:r>
          </w:p>
        </w:tc>
      </w:tr>
      <w:tr>
        <w:trPr>
          <w:trHeight w:hRule="exact" w:val="44"/>
        </w:trPr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2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jusqu’à 500 € par assuré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démarches administratives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</w:tr>
      <w:tr>
        <w:trPr>
          <w:trHeight w:hRule="exact" w:val="220"/>
        </w:trPr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7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et ABCOS-CIVEM </w:t>
            </w:r>
          </w:p>
        </w:tc>
      </w:tr>
      <w:tr>
        <w:trPr>
          <w:trHeight w:hRule="exact" w:val="280"/>
        </w:trPr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2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Gestion VIP automatique pour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en cas de reprise Hamon /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Bourquin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32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les dossiers dès 600 000 € </w:t>
            </w:r>
          </w:p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  <w:tc>
          <w:tcPr>
            <w:tcW w:type="dxa" w:w="1896"/>
            <w:vMerge/>
            <w:tcBorders>
              <w:top w:sz="8.0" w:val="single" w:color="#EEF4F5"/>
            </w:tcBorders>
          </w:tcPr>
          <w:p/>
        </w:tc>
        <w:tc>
          <w:tcPr>
            <w:tcW w:type="dxa" w:w="18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682" w:after="0"/>
        <w:ind w:left="436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Garanties </w:t>
      </w:r>
    </w:p>
    <w:p>
      <w:pPr>
        <w:autoSpaceDN w:val="0"/>
        <w:autoSpaceDE w:val="0"/>
        <w:widowControl/>
        <w:spacing w:line="230" w:lineRule="auto" w:before="202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vous devez proposer des produits qui sont cohérents avec les exigences et </w:t>
      </w:r>
    </w:p>
    <w:p>
      <w:pPr>
        <w:autoSpaceDN w:val="0"/>
        <w:autoSpaceDE w:val="0"/>
        <w:widowControl/>
        <w:spacing w:line="230" w:lineRule="auto" w:before="8" w:after="288"/>
        <w:ind w:left="436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besoins du souscripteur éventuel ou de l’adhérent éventuel.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21" w:type="dxa"/>
      </w:tblPr>
      <w:tblGrid>
        <w:gridCol w:w="2843"/>
        <w:gridCol w:w="2843"/>
        <w:gridCol w:w="2843"/>
        <w:gridCol w:w="2843"/>
      </w:tblGrid>
      <w:tr>
        <w:trPr>
          <w:trHeight w:hRule="exact" w:val="502"/>
        </w:trPr>
        <w:tc>
          <w:tcPr>
            <w:tcW w:type="dxa" w:w="2270"/>
            <w:tcBorders>
              <w:end w:sz="3.9999999999998863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66"/>
            <w:tcBorders>
              <w:start w:sz="3.9999999999998863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Description </w:t>
            </w:r>
          </w:p>
        </w:tc>
        <w:tc>
          <w:tcPr>
            <w:tcW w:type="dxa" w:w="219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à l’adhésion </w:t>
            </w:r>
          </w:p>
        </w:tc>
        <w:tc>
          <w:tcPr>
            <w:tcW w:type="dxa" w:w="191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à l’indemnisation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Décès Perte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et Irréversible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d’Autonomie (PTIA)</w:t>
            </w:r>
          </w:p>
        </w:tc>
        <w:tc>
          <w:tcPr>
            <w:tcW w:type="dxa" w:w="4966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du capital restant dû au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 du décès ou de la PTIA dans la limite de la quotité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souscrite </w:t>
            </w:r>
          </w:p>
        </w:tc>
        <w:tc>
          <w:tcPr>
            <w:tcW w:type="dxa" w:w="219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 Décès seul : 84 ans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/ PTIA : 64 ans </w:t>
            </w:r>
          </w:p>
        </w:tc>
        <w:tc>
          <w:tcPr>
            <w:tcW w:type="dxa" w:w="191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: jusqu’au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90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PTIA : 70 ans </w:t>
            </w:r>
          </w:p>
        </w:tc>
      </w:tr>
      <w:tr>
        <w:trPr>
          <w:trHeight w:hRule="exact" w:val="748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Incapacité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Temporaire Totale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(ITT)</w:t>
            </w:r>
          </w:p>
        </w:tc>
        <w:tc>
          <w:tcPr>
            <w:tcW w:type="dxa" w:w="4966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dans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la limite de la quotité souscrite </w:t>
            </w:r>
          </w:p>
        </w:tc>
        <w:tc>
          <w:tcPr>
            <w:tcW w:type="dxa" w:w="219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64 ans </w:t>
            </w:r>
          </w:p>
        </w:tc>
        <w:tc>
          <w:tcPr>
            <w:tcW w:type="dxa" w:w="191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67 ans </w:t>
            </w:r>
          </w:p>
        </w:tc>
      </w:tr>
      <w:tr>
        <w:trPr>
          <w:trHeight w:hRule="exact" w:val="742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Permanente Totale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(IP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) </w:t>
            </w:r>
          </w:p>
        </w:tc>
        <w:tc>
          <w:tcPr>
            <w:tcW w:type="dxa" w:w="4966"/>
            <w:tcBorders>
              <w:start w:sz="3.9999999999998863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dans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la limite de la quotité souscrite </w:t>
            </w:r>
          </w:p>
        </w:tc>
        <w:tc>
          <w:tcPr>
            <w:tcW w:type="dxa" w:w="219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64 ans </w:t>
            </w:r>
          </w:p>
        </w:tc>
        <w:tc>
          <w:tcPr>
            <w:tcW w:type="dxa" w:w="191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67 ans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Permanente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Pa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r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tielle (IPP) </w:t>
            </w:r>
          </w:p>
        </w:tc>
        <w:tc>
          <w:tcPr>
            <w:tcW w:type="dxa" w:w="4966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 (T-33)/33 des échéances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dues dans la limite de la quotité souscrite </w:t>
            </w:r>
            <w:r>
              <w:br/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8"/>
              </w:rPr>
              <w:t xml:space="preserve">T étant le taux d’invalidité de l’assuré </w:t>
            </w:r>
          </w:p>
        </w:tc>
        <w:tc>
          <w:tcPr>
            <w:tcW w:type="dxa" w:w="219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64 ans </w:t>
            </w:r>
          </w:p>
        </w:tc>
        <w:tc>
          <w:tcPr>
            <w:tcW w:type="dxa" w:w="191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67 ans </w:t>
            </w:r>
          </w:p>
        </w:tc>
      </w:tr>
    </w:tbl>
    <w:p>
      <w:pPr>
        <w:autoSpaceDN w:val="0"/>
        <w:autoSpaceDE w:val="0"/>
        <w:widowControl/>
        <w:spacing w:line="230" w:lineRule="auto" w:before="270" w:after="0"/>
        <w:ind w:left="436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Pour plus de détails sur le produit vous pouvez vous référer au Document d’Information normalisé sur le Produit (DIP) ou à </w:t>
      </w:r>
    </w:p>
    <w:p>
      <w:pPr>
        <w:autoSpaceDN w:val="0"/>
        <w:autoSpaceDE w:val="0"/>
        <w:widowControl/>
        <w:spacing w:line="230" w:lineRule="auto" w:before="28" w:after="0"/>
        <w:ind w:left="436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la notice d’informations. </w:t>
      </w:r>
    </w:p>
    <w:p>
      <w:pPr>
        <w:autoSpaceDN w:val="0"/>
        <w:autoSpaceDE w:val="0"/>
        <w:widowControl/>
        <w:spacing w:line="228" w:lineRule="auto" w:before="1502" w:after="0"/>
        <w:ind w:left="0" w:right="422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1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6.0" w:type="dxa"/>
      </w:tblPr>
      <w:tblGrid>
        <w:gridCol w:w="5687"/>
        <w:gridCol w:w="5687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Philip,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1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60" w:right="248" w:bottom="88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Marché cible </w:t>
      </w:r>
    </w:p>
    <w:p>
      <w:pPr>
        <w:autoSpaceDN w:val="0"/>
        <w:autoSpaceDE w:val="0"/>
        <w:widowControl/>
        <w:spacing w:line="250" w:lineRule="auto" w:before="202" w:after="0"/>
        <w:ind w:left="432" w:right="438" w:firstLine="0"/>
        <w:jc w:val="both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Toute personne physique ou morale en cours de souscription d’un prêt ou ayant déjà souscrit un prêt, le besoin d’assurance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pour couvrir le nouveau prêt ou celui déjà existant (reprise Hamon / Bourquin) devant répondre aux limites fixées dans la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notice d’information du produit. </w:t>
      </w:r>
    </w:p>
    <w:p>
      <w:pPr>
        <w:autoSpaceDN w:val="0"/>
        <w:autoSpaceDE w:val="0"/>
        <w:widowControl/>
        <w:spacing w:line="228" w:lineRule="auto" w:before="190" w:after="506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759AAB"/>
          <w:sz w:val="18"/>
        </w:rPr>
        <w:t xml:space="preserve">Cœur de cible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CSP + jusqu’à 1 million €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93" w:type="dxa"/>
      </w:tblPr>
      <w:tblGrid>
        <w:gridCol w:w="11382"/>
      </w:tblGrid>
      <w:tr>
        <w:trPr>
          <w:trHeight w:hRule="exact" w:val="1200"/>
        </w:trPr>
        <w:tc>
          <w:tcPr>
            <w:tcW w:type="dxa" w:w="11340"/>
            <w:tcBorders>
              <w:start w:sz="8.0" w:val="single" w:color="#F9D4DA"/>
              <w:bottom w:sz="8.0" w:val="single" w:color="#F9D4DA"/>
            </w:tcBorders>
            <w:shd w:fill="fd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4" w:after="0"/>
              <w:ind w:left="410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E52E45"/>
                <w:sz w:val="26"/>
              </w:rPr>
              <w:t xml:space="preserve">Offre non éligible à la Loi Lemoine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L’offre n’est pas éligible pour les assurés dont le montant assuré est inférieur à 200 000 € et dont l’échéance du prêt arrive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avant le 60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de l'assuré. 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204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Conditions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79" w:type="dxa"/>
      </w:tblPr>
      <w:tblGrid>
        <w:gridCol w:w="5691"/>
        <w:gridCol w:w="5691"/>
      </w:tblGrid>
      <w:tr>
        <w:trPr>
          <w:trHeight w:hRule="exact" w:val="25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Délai d’attente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Aucun </w:t>
            </w:r>
          </w:p>
        </w:tc>
      </w:tr>
      <w:tr>
        <w:trPr>
          <w:trHeight w:hRule="exact" w:val="25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Franchises (ITT / IPT)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 choix : 30, 60, 90, 120, 180 jours </w:t>
            </w:r>
          </w:p>
        </w:tc>
      </w:tr>
      <w:tr>
        <w:trPr>
          <w:trHeight w:hRule="exact" w:val="50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dos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4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inclusion, couvert à partir de 9 jours d'hospitalisation en continu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Couverture sans condition d’hospitalisation avec l’opt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o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«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é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réni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é+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»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psy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:  couvert à partir de 9 jours d'hospitalisation en continu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Couverture sans condition d’hospitalisation « Séréni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é+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361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8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des sports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montagne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(escalade, alpinisme...) : couverture de la randonnée en raquette ou à pied </w:t>
            </w:r>
          </w:p>
          <w:p>
            <w:pPr>
              <w:autoSpaceDN w:val="0"/>
              <w:autoSpaceDE w:val="0"/>
              <w:widowControl/>
              <w:spacing w:line="228" w:lineRule="auto" w:before="32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sur chemin balisé en dessous de 3 000 mètres. Exclusion au-delà et/ou si pratique avec corde </w:t>
            </w:r>
          </w:p>
          <w:p>
            <w:pPr>
              <w:autoSpaceDN w:val="0"/>
              <w:autoSpaceDE w:val="0"/>
              <w:widowControl/>
              <w:spacing w:line="228" w:lineRule="auto" w:before="3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piolet ou crampons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auto" w:before="3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neige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(ski, surf, luge sportive ...) : couverture de la pratique sur piste alpine ouverte. </w:t>
            </w:r>
          </w:p>
          <w:p>
            <w:pPr>
              <w:autoSpaceDN w:val="0"/>
              <w:autoSpaceDE w:val="0"/>
              <w:widowControl/>
              <w:spacing w:line="228" w:lineRule="auto" w:before="3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Exclusion au-delà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3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Sports aquatiques et nautiques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de la navigation si pratique à moins de 25 milles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et plongée sous-marine à moins de 20 mètres de profondeur. Exclusion au-delà et/ou la pratique 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du canyoning, rafting et spéléologie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équestres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des sports équestres à l’exclusion des compétitions et la chasse à </w:t>
            </w:r>
          </w:p>
          <w:p>
            <w:pPr>
              <w:autoSpaceDN w:val="0"/>
              <w:autoSpaceDE w:val="0"/>
              <w:widowControl/>
              <w:spacing w:line="230" w:lineRule="auto" w:before="28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courre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2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combat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exclusion de tous les sports de combat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3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517586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aériens avec ou sans moteur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exclusion de tous les sports aériens.</w:t>
            </w:r>
          </w:p>
          <w:p>
            <w:pPr>
              <w:autoSpaceDN w:val="0"/>
              <w:autoSpaceDE w:val="0"/>
              <w:widowControl/>
              <w:spacing w:line="230" w:lineRule="auto" w:before="28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 xml:space="preserve">Couverture des sports exclus dans le cadre des baptêmes ou initiations et rachat des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>exclusions possibles sous étude</w:t>
            </w:r>
          </w:p>
        </w:tc>
      </w:tr>
      <w:tr>
        <w:trPr>
          <w:trHeight w:hRule="exact" w:val="50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72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Mi-temps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thérapeutique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50 % du montant garanti en ITT pendant 180 jours 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Exonération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</w:t>
            </w:r>
          </w:p>
        </w:tc>
      </w:tr>
      <w:tr>
        <w:trPr>
          <w:trHeight w:hRule="exact" w:val="39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Territorialité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dans le monde entier </w:t>
            </w:r>
          </w:p>
        </w:tc>
      </w:tr>
      <w:tr>
        <w:trPr>
          <w:trHeight w:hRule="exact" w:val="50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Lieu de résidence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Résident France métropolitaine, DROM (Guyane française, Guadeloupe, Martinique, Réunion)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Allemagne, Belgique, Espagne, Portugal, Italie, Luxembourg </w:t>
            </w:r>
          </w:p>
        </w:tc>
      </w:tr>
      <w:tr>
        <w:trPr>
          <w:trHeight w:hRule="exact" w:val="254"/>
        </w:trPr>
        <w:tc>
          <w:tcPr>
            <w:tcW w:type="dxa" w:w="2270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en devise </w:t>
            </w:r>
          </w:p>
        </w:tc>
        <w:tc>
          <w:tcPr>
            <w:tcW w:type="dxa" w:w="9074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Non 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Modalités de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paiement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907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87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Prélèvement automatique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Périodicité mensuelle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trimestrielle, semestrielle ou annuelle au choix de l’assuré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 xml:space="preserve">(*)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sous réserve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d’un montant minimum de 12€ </w:t>
            </w:r>
          </w:p>
        </w:tc>
      </w:tr>
      <w:tr>
        <w:trPr>
          <w:trHeight w:hRule="exact" w:val="258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Association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7 € par an </w:t>
            </w:r>
          </w:p>
        </w:tc>
      </w:tr>
      <w:tr>
        <w:trPr>
          <w:trHeight w:hRule="exact" w:val="25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dossier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25 € par assuré </w:t>
            </w:r>
          </w:p>
        </w:tc>
      </w:tr>
      <w:tr>
        <w:trPr>
          <w:trHeight w:hRule="exact" w:val="502"/>
        </w:trPr>
        <w:tc>
          <w:tcPr>
            <w:tcW w:type="dxa" w:w="227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courtage </w:t>
            </w:r>
          </w:p>
        </w:tc>
        <w:tc>
          <w:tcPr>
            <w:tcW w:type="dxa" w:w="907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47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Jusqu’à 500 € par assuré à votre main.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Ces frais vous sont intégralement versés. </w:t>
            </w:r>
          </w:p>
        </w:tc>
      </w:tr>
    </w:tbl>
    <w:p>
      <w:pPr>
        <w:autoSpaceDN w:val="0"/>
        <w:autoSpaceDE w:val="0"/>
        <w:widowControl/>
        <w:spacing w:line="228" w:lineRule="auto" w:before="1736" w:after="0"/>
        <w:ind w:left="0" w:right="43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5691"/>
        <w:gridCol w:w="5691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Philip,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1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236" w:bottom="8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2400300</wp:posOffset>
            </wp:positionV>
            <wp:extent cx="6642100" cy="76073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607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Rémunération </w:t>
      </w:r>
    </w:p>
    <w:p>
      <w:pPr>
        <w:autoSpaceDN w:val="0"/>
        <w:autoSpaceDE w:val="0"/>
        <w:widowControl/>
        <w:spacing w:line="245" w:lineRule="auto" w:before="202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il vous appartient de vérifier que les modalités de rémunération prévues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ne sont pas de nature à créer un risque de conflit d’intérêt qui serait préjudiciable à votre client. </w:t>
      </w:r>
    </w:p>
    <w:p>
      <w:pPr>
        <w:autoSpaceDN w:val="0"/>
        <w:autoSpaceDE w:val="0"/>
        <w:widowControl/>
        <w:spacing w:line="230" w:lineRule="auto" w:before="25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Commissionnement au choix : </w:t>
      </w:r>
    </w:p>
    <w:p>
      <w:pPr>
        <w:autoSpaceDN w:val="0"/>
        <w:tabs>
          <w:tab w:pos="720" w:val="left"/>
        </w:tabs>
        <w:autoSpaceDE w:val="0"/>
        <w:widowControl/>
        <w:spacing w:line="230" w:lineRule="auto" w:before="10" w:after="0"/>
        <w:ind w:left="36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Linéaire : 8 %, 10 %, 12 %, 15 % </w:t>
      </w:r>
    </w:p>
    <w:p>
      <w:pPr>
        <w:autoSpaceDN w:val="0"/>
        <w:tabs>
          <w:tab w:pos="720" w:val="left"/>
        </w:tabs>
        <w:autoSpaceDE w:val="0"/>
        <w:widowControl/>
        <w:spacing w:line="230" w:lineRule="auto" w:before="30" w:after="0"/>
        <w:ind w:left="36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Escompte : 20/10, 30/10, 40/10, 50/10 </w:t>
      </w:r>
    </w:p>
    <w:p>
      <w:pPr>
        <w:autoSpaceDN w:val="0"/>
        <w:autoSpaceDE w:val="0"/>
        <w:widowControl/>
        <w:spacing w:line="230" w:lineRule="auto" w:before="18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tarif du produit est basé sur un taux de commissionnement de 40/10. </w:t>
      </w:r>
    </w:p>
    <w:p>
      <w:pPr>
        <w:autoSpaceDN w:val="0"/>
        <w:autoSpaceDE w:val="0"/>
        <w:widowControl/>
        <w:spacing w:line="230" w:lineRule="auto" w:before="952" w:after="0"/>
        <w:ind w:left="15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La conformité en toute simplicité ! </w:t>
      </w:r>
    </w:p>
    <w:p>
      <w:pPr>
        <w:autoSpaceDN w:val="0"/>
        <w:autoSpaceDE w:val="0"/>
        <w:widowControl/>
        <w:spacing w:line="245" w:lineRule="auto" w:before="200" w:after="0"/>
        <w:ind w:left="1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gouvernance produit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le cadre de notre démarche d’amélioration continue de la qualité de nos produits, faites-nous part de vos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retours si vous constatez que soit : </w:t>
      </w:r>
    </w:p>
    <w:p>
      <w:pPr>
        <w:autoSpaceDN w:val="0"/>
        <w:tabs>
          <w:tab w:pos="872" w:val="left"/>
        </w:tabs>
        <w:autoSpaceDE w:val="0"/>
        <w:widowControl/>
        <w:spacing w:line="245" w:lineRule="auto" w:before="10" w:after="0"/>
        <w:ind w:left="5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le produit n’est pas en adéquation avec les intérêts, objectifs et caractéristiques du marché cible précisé ci-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dessus ; </w:t>
      </w:r>
    </w:p>
    <w:p>
      <w:pPr>
        <w:autoSpaceDN w:val="0"/>
        <w:tabs>
          <w:tab w:pos="872" w:val="left"/>
        </w:tabs>
        <w:autoSpaceDE w:val="0"/>
        <w:widowControl/>
        <w:spacing w:line="245" w:lineRule="auto" w:before="10" w:after="0"/>
        <w:ind w:left="5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 circonstances relatives au produit sont susceptibles d’avoir des répercussions défavorables pour le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client ; </w:t>
      </w:r>
    </w:p>
    <w:p>
      <w:pPr>
        <w:autoSpaceDN w:val="0"/>
        <w:tabs>
          <w:tab w:pos="508" w:val="left"/>
          <w:tab w:pos="864" w:val="left"/>
        </w:tabs>
        <w:autoSpaceDE w:val="0"/>
        <w:widowControl/>
        <w:spacing w:line="245" w:lineRule="auto" w:before="10" w:after="0"/>
        <w:ind w:left="15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modalités de rémunération proposées pour le produit vous placent dans une situation de conflit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d’intérêt vis-à-vis du client ;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à partir de la messagerie instantanée mise à disposition depuis notre plateforme de vente, ou via votre délégué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régional. </w:t>
      </w:r>
    </w:p>
    <w:p>
      <w:pPr>
        <w:autoSpaceDN w:val="0"/>
        <w:autoSpaceDE w:val="0"/>
        <w:widowControl/>
        <w:spacing w:line="245" w:lineRule="auto" w:before="414" w:after="0"/>
        <w:ind w:left="1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réglementation LCBFT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Au regard du risque faible du produit, vous devez appliquer a minima un niveau de </w:t>
      </w:r>
      <w:r>
        <w:rPr>
          <w:rFonts w:ascii="Open Sans" w:hAnsi="Open Sans" w:eastAsia="Open Sans"/>
          <w:b/>
          <w:i w:val="0"/>
          <w:color w:val="002337"/>
          <w:sz w:val="18"/>
        </w:rPr>
        <w:t>vigilance simplifiée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au titre du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titre VI du livre V du code monétaire et financier. </w:t>
      </w:r>
    </w:p>
    <w:p>
      <w:pPr>
        <w:autoSpaceDN w:val="0"/>
        <w:autoSpaceDE w:val="0"/>
        <w:widowControl/>
        <w:spacing w:line="230" w:lineRule="auto" w:before="28" w:after="0"/>
        <w:ind w:left="1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Concrètement cela signifie que vous devez collecter les informations d’identification suivants : </w:t>
      </w:r>
    </w:p>
    <w:p>
      <w:pPr>
        <w:autoSpaceDN w:val="0"/>
        <w:tabs>
          <w:tab w:pos="7028" w:val="left"/>
        </w:tabs>
        <w:autoSpaceDE w:val="0"/>
        <w:widowControl/>
        <w:spacing w:line="230" w:lineRule="auto" w:before="240" w:after="0"/>
        <w:ind w:left="3482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Client personne physique 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Client personne morale </w:t>
      </w:r>
    </w:p>
    <w:p>
      <w:pPr>
        <w:autoSpaceDN w:val="0"/>
        <w:autoSpaceDE w:val="0"/>
        <w:widowControl/>
        <w:spacing w:line="230" w:lineRule="auto" w:before="104" w:after="2"/>
        <w:ind w:left="0" w:right="1072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Forme juridique, dénomination sociale,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512"/>
        <w:gridCol w:w="3512"/>
        <w:gridCol w:w="3512"/>
      </w:tblGrid>
      <w:tr>
        <w:trPr>
          <w:trHeight w:hRule="exact" w:val="24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potentiel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numéro SIREN, adresse du siège et du lieu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28"/>
        <w:ind w:left="0" w:right="132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de direction effective si différent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512"/>
        <w:gridCol w:w="3512"/>
        <w:gridCol w:w="3512"/>
      </w:tblGrid>
      <w:tr>
        <w:trPr>
          <w:trHeight w:hRule="exact" w:val="248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Bénéficiaire effectif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2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</w:tr>
      <w:tr>
        <w:trPr>
          <w:trHeight w:hRule="exact" w:val="30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Personne agissant pour le 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18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</w:tr>
      <w:tr>
        <w:trPr>
          <w:trHeight w:hRule="exact" w:val="180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compte du Client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(ex : payeur </w:t>
            </w:r>
          </w:p>
        </w:tc>
        <w:tc>
          <w:tcPr>
            <w:tcW w:type="dxa" w:w="3512"/>
            <w:vMerge/>
            <w:tcBorders/>
          </w:tcPr>
          <w:p/>
        </w:tc>
        <w:tc>
          <w:tcPr>
            <w:tcW w:type="dxa" w:w="351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512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lien avec la personne représentée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1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fonction de représentation exercée </w:t>
            </w:r>
          </w:p>
        </w:tc>
      </w:tr>
      <w:tr>
        <w:trPr>
          <w:trHeight w:hRule="exact" w:val="326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de prime, représentant légal)</w:t>
            </w:r>
          </w:p>
        </w:tc>
        <w:tc>
          <w:tcPr>
            <w:tcW w:type="dxa" w:w="3512"/>
            <w:vMerge/>
            <w:tcBorders/>
          </w:tcPr>
          <w:p/>
        </w:tc>
        <w:tc>
          <w:tcPr>
            <w:tcW w:type="dxa" w:w="351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82" w:after="0"/>
        <w:ind w:left="1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d’opération atypique au sens de l’article L561-10-2 du code monétaire et financier, vous devez, en plus de la </w:t>
      </w:r>
    </w:p>
    <w:p>
      <w:pPr>
        <w:autoSpaceDN w:val="0"/>
        <w:autoSpaceDE w:val="0"/>
        <w:widowControl/>
        <w:spacing w:line="230" w:lineRule="auto" w:before="30" w:after="0"/>
        <w:ind w:left="1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 des informations d’identification : </w:t>
      </w:r>
    </w:p>
    <w:p>
      <w:pPr>
        <w:autoSpaceDN w:val="0"/>
        <w:tabs>
          <w:tab w:pos="872" w:val="left"/>
        </w:tabs>
        <w:autoSpaceDE w:val="0"/>
        <w:widowControl/>
        <w:spacing w:line="245" w:lineRule="auto" w:before="30" w:after="0"/>
        <w:ind w:left="512" w:right="720" w:firstLine="0"/>
        <w:jc w:val="left"/>
      </w:pP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Effectuer la vérification d’identité conformément aux articles R561-5-1 et suivants du code monétaire et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financier </w:t>
      </w:r>
    </w:p>
    <w:p>
      <w:pPr>
        <w:autoSpaceDN w:val="0"/>
        <w:autoSpaceDE w:val="0"/>
        <w:widowControl/>
        <w:spacing w:line="245" w:lineRule="auto" w:before="30" w:after="0"/>
        <w:ind w:left="872" w:right="720" w:hanging="360"/>
        <w:jc w:val="left"/>
      </w:pP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Collecter et actualiser, au moins une fois par an, les informations pertinentes au titre de la relation d’affaires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et de la connaissance de la situation professionnelle, économique et financière du client et, le cas échéant </w:t>
      </w:r>
    </w:p>
    <w:p>
      <w:pPr>
        <w:autoSpaceDN w:val="0"/>
        <w:autoSpaceDE w:val="0"/>
        <w:widowControl/>
        <w:spacing w:line="228" w:lineRule="auto" w:before="30" w:after="0"/>
        <w:ind w:left="87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 son bénéficiaire effectif, afin d’éliminer ou de réduire le risque de blanchiment d’argent et de </w:t>
      </w:r>
    </w:p>
    <w:p>
      <w:pPr>
        <w:autoSpaceDN w:val="0"/>
        <w:autoSpaceDE w:val="0"/>
        <w:widowControl/>
        <w:spacing w:line="228" w:lineRule="auto" w:before="30" w:after="0"/>
        <w:ind w:left="87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financement du terrorisme </w:t>
      </w:r>
    </w:p>
    <w:p>
      <w:pPr>
        <w:autoSpaceDN w:val="0"/>
        <w:tabs>
          <w:tab w:pos="872" w:val="left"/>
        </w:tabs>
        <w:autoSpaceDE w:val="0"/>
        <w:widowControl/>
        <w:spacing w:line="250" w:lineRule="auto" w:before="32" w:after="0"/>
        <w:ind w:left="512" w:right="720" w:firstLine="0"/>
        <w:jc w:val="left"/>
      </w:pP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Recueillir une seconde pièce d’identité </w:t>
      </w:r>
      <w:r>
        <w:br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S’assurer que le premier paiement soit effectué en provenance d’un compte situé en UE et ouvert au nom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du Client ou de son représentant. </w:t>
      </w:r>
    </w:p>
    <w:p>
      <w:pPr>
        <w:autoSpaceDN w:val="0"/>
        <w:tabs>
          <w:tab w:pos="636" w:val="left"/>
        </w:tabs>
        <w:autoSpaceDE w:val="0"/>
        <w:widowControl/>
        <w:spacing w:line="245" w:lineRule="auto" w:before="482" w:after="0"/>
        <w:ind w:left="1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de question, vous pouvez vous adresser au correspondant TRACFIN de notre société à l’adresse mail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suivante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hyperlink r:id="rId16" w:history="1">
          <w:r>
            <w:rPr>
              <w:rStyle w:val="Hyperlink"/>
            </w:rPr>
            <w:t xml:space="preserve"> lcb-ft.tracfin@zenioo.com.</w:t>
          </w:r>
        </w:hyperlink>
      </w:r>
    </w:p>
    <w:p>
      <w:pPr>
        <w:autoSpaceDN w:val="0"/>
        <w:autoSpaceDE w:val="0"/>
        <w:widowControl/>
        <w:spacing w:line="228" w:lineRule="auto" w:before="512" w:after="6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3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268"/>
        <w:gridCol w:w="5268"/>
      </w:tblGrid>
      <w:tr>
        <w:trPr>
          <w:trHeight w:hRule="exact" w:val="46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Philip,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1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650" w:bottom="8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30" w:lineRule="auto" w:before="0" w:after="180"/>
        <w:ind w:left="46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>Formalités médicales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8" w:type="dxa"/>
      </w:tblPr>
      <w:tblGrid>
        <w:gridCol w:w="1629"/>
        <w:gridCol w:w="1629"/>
        <w:gridCol w:w="1629"/>
        <w:gridCol w:w="1629"/>
        <w:gridCol w:w="1629"/>
        <w:gridCol w:w="1629"/>
        <w:gridCol w:w="1629"/>
      </w:tblGrid>
      <w:tr>
        <w:trPr>
          <w:trHeight w:hRule="exact" w:val="364"/>
        </w:trPr>
        <w:tc>
          <w:tcPr>
            <w:tcW w:type="dxa" w:w="2830"/>
            <w:tcBorders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14"/>
            <w:gridSpan w:val="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assuré </w:t>
            </w:r>
          </w:p>
        </w:tc>
      </w:tr>
      <w:tr>
        <w:trPr>
          <w:trHeight w:hRule="exact" w:val="500"/>
        </w:trPr>
        <w:tc>
          <w:tcPr>
            <w:tcW w:type="dxa" w:w="28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296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Capital assuré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(dont en cours)</w:t>
            </w:r>
          </w:p>
        </w:tc>
        <w:tc>
          <w:tcPr>
            <w:tcW w:type="dxa" w:w="1708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Jusqu'à 45 ans</w:t>
            </w:r>
          </w:p>
        </w:tc>
        <w:tc>
          <w:tcPr>
            <w:tcW w:type="dxa" w:w="1696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46 -50 ans</w:t>
            </w:r>
          </w:p>
        </w:tc>
        <w:tc>
          <w:tcPr>
            <w:tcW w:type="dxa" w:w="170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51 - 55 ans</w:t>
            </w:r>
          </w:p>
        </w:tc>
        <w:tc>
          <w:tcPr>
            <w:tcW w:type="dxa" w:w="1704"/>
            <w:gridSpan w:val="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56 - 65 ans</w:t>
            </w:r>
          </w:p>
        </w:tc>
        <w:tc>
          <w:tcPr>
            <w:tcW w:type="dxa" w:w="1702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66 ans et plus</w:t>
            </w:r>
          </w:p>
        </w:tc>
      </w:tr>
      <w:tr>
        <w:trPr>
          <w:trHeight w:hRule="exact" w:val="256"/>
        </w:trPr>
        <w:tc>
          <w:tcPr>
            <w:tcW w:type="dxa" w:w="28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Jusqu'à 200 000 € </w:t>
            </w:r>
          </w:p>
        </w:tc>
        <w:tc>
          <w:tcPr>
            <w:tcW w:type="dxa" w:w="1708"/>
            <w:tcBorders>
              <w:start w:sz="4.0" w:val="single" w:color="#AEC5CF"/>
              <w:top w:sz="4.0" w:val="single" w:color="#AEC5CF"/>
            </w:tcBorders>
            <w:shd w:fill="f4efec"/>
            <w:tcMar>
              <w:start w:w="0" w:type="dxa"/>
              <w:end w:w="0" w:type="dxa"/>
            </w:tcMar>
          </w:tcPr>
          <w:p/>
        </w:tc>
        <w:tc>
          <w:tcPr>
            <w:tcW w:type="dxa" w:w="1696"/>
            <w:tcBorders>
              <w:top w:sz="4.0" w:val="single" w:color="#AEC5CF"/>
            </w:tcBorders>
            <w:shd w:fill="f4ef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QSS </w:t>
            </w:r>
          </w:p>
        </w:tc>
        <w:tc>
          <w:tcPr>
            <w:tcW w:type="dxa" w:w="1704"/>
            <w:tcBorders>
              <w:top w:sz="4.0" w:val="single" w:color="#AEC5CF"/>
              <w:end w:sz="4.0" w:val="single" w:color="#AEC5CF"/>
            </w:tcBorders>
            <w:shd w:fill="f4efec"/>
            <w:tcMar>
              <w:start w:w="0" w:type="dxa"/>
              <w:end w:w="0" w:type="dxa"/>
            </w:tcMar>
          </w:tcPr>
          <w:p/>
        </w:tc>
        <w:tc>
          <w:tcPr>
            <w:tcW w:type="dxa" w:w="3406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QS </w:t>
            </w:r>
          </w:p>
        </w:tc>
      </w:tr>
      <w:tr>
        <w:trPr>
          <w:trHeight w:hRule="exact" w:val="254"/>
        </w:trPr>
        <w:tc>
          <w:tcPr>
            <w:tcW w:type="dxa" w:w="2830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200 001 € à 300 000 € </w:t>
            </w:r>
          </w:p>
        </w:tc>
        <w:tc>
          <w:tcPr>
            <w:tcW w:type="dxa" w:w="1708"/>
            <w:tcBorders>
              <w:start w:sz="4.0" w:val="single" w:color="#AEC5CF"/>
            </w:tcBorders>
            <w:shd w:fill="f4efec"/>
            <w:tcMar>
              <w:start w:w="0" w:type="dxa"/>
              <w:end w:w="0" w:type="dxa"/>
            </w:tcMar>
          </w:tcPr>
          <w:p/>
        </w:tc>
        <w:tc>
          <w:tcPr>
            <w:tcW w:type="dxa" w:w="1696"/>
            <w:tcBorders>
              <w:bottom w:sz="3.2000000000000455" w:val="single" w:color="#AEC5CF"/>
            </w:tcBorders>
            <w:shd w:fill="f4efec"/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end w:sz="4.0" w:val="single" w:color="#AEC5CF"/>
              <w:bottom w:sz="3.2000000000000455" w:val="single" w:color="#AEC5CF"/>
            </w:tcBorders>
            <w:shd w:fill="f4efec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vMerge w:val="restart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QS + RM</w:t>
            </w:r>
          </w:p>
        </w:tc>
        <w:tc>
          <w:tcPr>
            <w:tcW w:type="dxa" w:w="2204"/>
            <w:gridSpan w:val="2"/>
            <w:vMerge w:val="restart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7e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48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QS + RM + Cardio 1</w:t>
            </w:r>
          </w:p>
        </w:tc>
      </w:tr>
      <w:tr>
        <w:trPr>
          <w:trHeight w:hRule="exact" w:val="282"/>
        </w:trPr>
        <w:tc>
          <w:tcPr>
            <w:tcW w:type="dxa" w:w="2830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300 001 € à 400 000 € </w:t>
            </w:r>
          </w:p>
        </w:tc>
        <w:tc>
          <w:tcPr>
            <w:tcW w:type="dxa" w:w="1708"/>
            <w:tcBorders>
              <w:start w:sz="4.0" w:val="single" w:color="#AEC5CF"/>
              <w:end w:sz="3.2000000000000455" w:val="single" w:color="#AEC5CF"/>
              <w:bottom w:sz="4.0" w:val="single" w:color="#AEC5CF"/>
            </w:tcBorders>
            <w:shd w:fill="f4efec"/>
            <w:tcMar>
              <w:start w:w="0" w:type="dxa"/>
              <w:end w:w="0" w:type="dxa"/>
            </w:tcMar>
          </w:tcPr>
          <w:p/>
        </w:tc>
        <w:tc>
          <w:tcPr>
            <w:tcW w:type="dxa" w:w="1696"/>
            <w:tcBorders>
              <w:start w:sz="3.2000000000000455" w:val="single" w:color="#AEC5CF"/>
              <w:top w:sz="3.2000000000000455" w:val="single" w:color="#AEC5CF"/>
              <w:bottom w:sz="4.0" w:val="single" w:color="#AEC5CF"/>
            </w:tcBorders>
            <w:shd w:fill="f4efec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96"/>
            </w:tblGrid>
            <w:tr>
              <w:trPr>
                <w:trHeight w:hRule="exact" w:val="254"/>
              </w:trPr>
              <w:tc>
                <w:tcPr>
                  <w:tcW w:type="dxa" w:w="1704"/>
                  <w:tcBorders/>
                  <w:shd w:fill="f3fac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right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18"/>
                    </w:rPr>
                    <w:t>Q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4"/>
            <w:tcBorders>
              <w:top w:sz="3.2000000000000455" w:val="single" w:color="#AEC5CF"/>
              <w:end w:sz="4.0" w:val="single" w:color="#AEC5CF"/>
              <w:bottom w:sz="4.0" w:val="single" w:color="#AEC5CF"/>
            </w:tcBorders>
            <w:shd w:fill="f4ef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S </w:t>
            </w:r>
          </w:p>
        </w:tc>
        <w:tc>
          <w:tcPr>
            <w:tcW w:type="dxa" w:w="1629"/>
            <w:vMerge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</w:tcPr>
          <w:p/>
        </w:tc>
        <w:tc>
          <w:tcPr>
            <w:tcW w:type="dxa" w:w="3258"/>
            <w:gridSpan w:val="2"/>
            <w:vMerge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</w:tcPr>
          <w:p/>
        </w:tc>
      </w:tr>
      <w:tr>
        <w:trPr>
          <w:trHeight w:hRule="exact" w:val="256"/>
        </w:trPr>
        <w:tc>
          <w:tcPr>
            <w:tcW w:type="dxa" w:w="2830"/>
            <w:tcBorders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400 001 € à 500 000 € </w:t>
            </w:r>
          </w:p>
        </w:tc>
        <w:tc>
          <w:tcPr>
            <w:tcW w:type="dxa" w:w="1708"/>
            <w:tcBorders>
              <w:start w:sz="4.0" w:val="single" w:color="#AEC5CF"/>
              <w:top w:sz="4.0" w:val="single" w:color="#AEC5CF"/>
              <w:end w:sz="3.2000000000000455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QS</w:t>
            </w:r>
          </w:p>
        </w:tc>
        <w:tc>
          <w:tcPr>
            <w:tcW w:type="dxa" w:w="3400"/>
            <w:gridSpan w:val="2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QS + RM + Sang 1</w:t>
            </w:r>
          </w:p>
        </w:tc>
        <w:tc>
          <w:tcPr>
            <w:tcW w:type="dxa" w:w="3406"/>
            <w:gridSpan w:val="3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fe8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QS + RM + Sang 1 + Cardio 1</w:t>
            </w:r>
          </w:p>
        </w:tc>
      </w:tr>
      <w:tr>
        <w:trPr>
          <w:trHeight w:hRule="exact" w:val="992"/>
        </w:trPr>
        <w:tc>
          <w:tcPr>
            <w:tcW w:type="dxa" w:w="2830"/>
            <w:tcBorders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8" w:after="0"/>
              <w:ind w:left="1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500 001 € à 750 000 € </w:t>
            </w:r>
          </w:p>
        </w:tc>
        <w:tc>
          <w:tcPr>
            <w:tcW w:type="dxa" w:w="1708"/>
            <w:tcBorders>
              <w:start w:sz="4.0" w:val="single" w:color="#AEC5CF"/>
              <w:top w:sz="4.0" w:val="single" w:color="#AEC5CF"/>
              <w:end w:sz="3.2000000000000455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432" w:right="432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QS+ RM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>+Sang 1</w:t>
            </w:r>
          </w:p>
        </w:tc>
        <w:tc>
          <w:tcPr>
            <w:tcW w:type="dxa" w:w="3400"/>
            <w:gridSpan w:val="2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8d4d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QS + RM + Sang 2</w:t>
            </w:r>
          </w:p>
        </w:tc>
        <w:tc>
          <w:tcPr>
            <w:tcW w:type="dxa" w:w="1202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fcf9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Cardio 1 +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Sang 2 +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PSA</w:t>
            </w:r>
          </w:p>
        </w:tc>
        <w:tc>
          <w:tcPr>
            <w:tcW w:type="dxa" w:w="2204"/>
            <w:gridSpan w:val="2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3fac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Sang 2 +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Cardio 2 + Urines + PSA </w:t>
            </w:r>
          </w:p>
        </w:tc>
      </w:tr>
      <w:tr>
        <w:trPr>
          <w:trHeight w:hRule="exact" w:val="1234"/>
        </w:trPr>
        <w:tc>
          <w:tcPr>
            <w:tcW w:type="dxa" w:w="2830"/>
            <w:tcBorders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8" w:after="0"/>
              <w:ind w:left="1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de 750 001 € à 1000 000 € </w:t>
            </w:r>
          </w:p>
        </w:tc>
        <w:tc>
          <w:tcPr>
            <w:tcW w:type="dxa" w:w="1708"/>
            <w:tcBorders>
              <w:start w:sz="4.0" w:val="single" w:color="#AEC5CF"/>
              <w:top w:sz="4.0" w:val="single" w:color="#AEC5CF"/>
              <w:end w:sz="3.2000000000000455" w:val="single" w:color="#AEC5CF"/>
              <w:bottom w:sz="4.0" w:val="single" w:color="#AEC5CF"/>
            </w:tcBorders>
            <w:shd w:fill="f8d4d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6" w:after="0"/>
              <w:ind w:left="288" w:right="288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Sang 2</w:t>
            </w:r>
          </w:p>
        </w:tc>
        <w:tc>
          <w:tcPr>
            <w:tcW w:type="dxa" w:w="3400"/>
            <w:gridSpan w:val="2"/>
            <w:tcBorders>
              <w:start w:sz="3.2000000000000455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d0e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QS + RM + Sang 2 + Cardio 1 + Urines</w:t>
            </w:r>
          </w:p>
        </w:tc>
        <w:tc>
          <w:tcPr>
            <w:tcW w:type="dxa" w:w="1202"/>
            <w:tcBorders>
              <w:start w:sz="4.0" w:val="single" w:color="#AEC5CF"/>
              <w:top w:sz="4.0" w:val="single" w:color="#AEC5CF"/>
              <w:end w:sz="3.199999999999818" w:val="single" w:color="#AEC5CF"/>
              <w:bottom w:sz="4.0" w:val="single" w:color="#AEC5CF"/>
            </w:tcBorders>
            <w:shd w:fill="f5dd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 + RM +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Sang 2 +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Cardio 2 +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Urines +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PSA</w:t>
            </w:r>
          </w:p>
        </w:tc>
        <w:tc>
          <w:tcPr>
            <w:tcW w:type="dxa" w:w="2204"/>
            <w:gridSpan w:val="2"/>
            <w:tcBorders>
              <w:start w:sz="3.199999999999818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fcefe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4" w:after="0"/>
              <w:ind w:left="288" w:right="144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QS/VM + Sang 2 +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Urines + Cardio 2 +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PSA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8" w:type="dxa"/>
      </w:tblPr>
      <w:tblGrid>
        <w:gridCol w:w="5702"/>
        <w:gridCol w:w="5702"/>
      </w:tblGrid>
      <w:tr>
        <w:trPr>
          <w:trHeight w:hRule="exact" w:val="3646"/>
        </w:trPr>
        <w:tc>
          <w:tcPr>
            <w:tcW w:type="dxa" w:w="1286"/>
            <w:tcBorders>
              <w:start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614" w:after="0"/>
              <w:ind w:left="1066" w:right="132" w:firstLine="2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2337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2337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2337"/>
                <w:sz w:val="18"/>
              </w:rPr>
              <w:t>•</w:t>
            </w:r>
          </w:p>
        </w:tc>
        <w:tc>
          <w:tcPr>
            <w:tcW w:type="dxa" w:w="9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02" w:after="0"/>
              <w:ind w:left="144" w:right="14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QSS/QS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Questionnaire de santé simplifié / Questionnaire de santé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RM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Rapport médical complété par un médecin au choix de l’assuré (non apparenté au proposant)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Sang 1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Glycémie, triglycérides, cholestérol total + fraction HDL, créatinine, ALAT, ASAT, GGT, sérologie VIH 1 et 2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Sang 2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Hémogramme (hémoglobine, hématocrite, numération globulaire et formule leucocytaire), numération </w:t>
            </w:r>
          </w:p>
        </w:tc>
      </w:tr>
    </w:tbl>
    <w:p>
      <w:pPr>
        <w:autoSpaceDN w:val="0"/>
        <w:tabs>
          <w:tab w:pos="1466" w:val="left"/>
        </w:tabs>
        <w:autoSpaceDE w:val="0"/>
        <w:widowControl/>
        <w:spacing w:line="257" w:lineRule="auto" w:before="14" w:after="0"/>
        <w:ind w:left="1106" w:right="432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 plaquettes et CRP, sérologie de l’hépatite C de type Elisa et marqueurs de l’hépatite B (AgHBs, AgHbe),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Glycémie, triglycérides, cholestérol total + fraction HDL, créatinine, ALAT, ASAT, GGT, sérologie VIH 1 et 2 </w:t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Cardio 1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Compte rendu d'un examen cardio-vasculaire avec électrocardiogramme (ECG) au repos (tracé et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compte rendu)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Cardio 2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Compte rendu d'un examen cardio-vasculaire avec électrocardiogramme (ECG) au repos (tracé et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compte rendu), ECG à l’effort (sauf contre-indication médicale) avec compte rendu (ergométrie avec mention de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la fréquence maximale atteinte et de la FMT) *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Urines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Analyse des urines par laboratoire comprenant : protéinurie, glycosurie, hématies, leucocytes,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numération des germes </w:t>
      </w:r>
      <w:r>
        <w:br/>
      </w:r>
      <w:r>
        <w:rPr>
          <w:rFonts w:ascii="Symbol" w:hAnsi="Symbol" w:eastAsia="Symbol"/>
          <w:b w:val="0"/>
          <w:i w:val="0"/>
          <w:color w:val="002337"/>
          <w:sz w:val="18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2337"/>
          <w:sz w:val="18"/>
        </w:rPr>
        <w:t>PSA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: Dosage de l’antigène spécifique de la prostate (pour les hommes uniquement) </w:t>
      </w:r>
    </w:p>
    <w:p>
      <w:pPr>
        <w:autoSpaceDN w:val="0"/>
        <w:autoSpaceDE w:val="0"/>
        <w:widowControl/>
        <w:spacing w:line="228" w:lineRule="auto" w:before="536" w:after="0"/>
        <w:ind w:left="46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formalités médicales sont à transmettre : </w:t>
      </w:r>
    </w:p>
    <w:p>
      <w:pPr>
        <w:autoSpaceDN w:val="0"/>
        <w:tabs>
          <w:tab w:pos="1182" w:val="left"/>
        </w:tabs>
        <w:autoSpaceDE w:val="0"/>
        <w:widowControl/>
        <w:spacing w:line="250" w:lineRule="auto" w:before="190" w:after="0"/>
        <w:ind w:left="822" w:right="432" w:firstLine="0"/>
        <w:jc w:val="left"/>
      </w:pPr>
      <w:r>
        <w:rPr>
          <w:rFonts w:ascii="Wingdings" w:hAnsi="Wingdings" w:eastAsia="Wingdings"/>
          <w:b w:val="0"/>
          <w:i w:val="0"/>
          <w:color w:val="002337"/>
          <w:sz w:val="18"/>
        </w:rPr>
        <w:t></w:t>
      </w:r>
      <w:r>
        <w:tab/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t>Adhésion papier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sous enveloppe confidentielle à l'attention du Médecin Conseil de MULTI−IMPACT à l'adresse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suivante : MULTI−IMPACT − À l'attention du médecin conseil − Service médical − 41/43 avenue Hoche − CS 110002 −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51687 REIMS CEDEX. </w:t>
      </w:r>
    </w:p>
    <w:p>
      <w:pPr>
        <w:autoSpaceDN w:val="0"/>
        <w:tabs>
          <w:tab w:pos="1182" w:val="left"/>
        </w:tabs>
        <w:autoSpaceDE w:val="0"/>
        <w:widowControl/>
        <w:spacing w:line="230" w:lineRule="auto" w:before="28" w:after="0"/>
        <w:ind w:left="822" w:right="0" w:firstLine="0"/>
        <w:jc w:val="left"/>
      </w:pPr>
      <w:r>
        <w:rPr>
          <w:rFonts w:ascii="Wingdings" w:hAnsi="Wingdings" w:eastAsia="Wingdings"/>
          <w:b w:val="0"/>
          <w:i w:val="0"/>
          <w:color w:val="002337"/>
          <w:sz w:val="18"/>
        </w:rPr>
        <w:t></w:t>
      </w:r>
      <w:r>
        <w:tab/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t>Adhésion en ligne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possibilité pour l’assuré de déposer ses pièces médicales via son espace client sécurisé. </w:t>
      </w:r>
    </w:p>
    <w:p>
      <w:pPr>
        <w:autoSpaceDN w:val="0"/>
        <w:autoSpaceDE w:val="0"/>
        <w:widowControl/>
        <w:spacing w:line="245" w:lineRule="auto" w:before="188" w:after="0"/>
        <w:ind w:left="432" w:right="288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Lorsque le postulant se soumet aux formalités médicales demandées par l'assureur, il a le choix de les effectuer dans nos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centres prestataires ou bien auprès d'un praticien de son choix. </w:t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 réseau des centres permet le regroupement des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2"/>
        <w:gridCol w:w="5702"/>
      </w:tblGrid>
      <w:tr>
        <w:trPr>
          <w:trHeight w:hRule="exact" w:val="4944"/>
        </w:trPr>
        <w:tc>
          <w:tcPr>
            <w:tcW w:type="dxa" w:w="2062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  <w:tab w:pos="1176" w:val="left"/>
              </w:tabs>
              <w:autoSpaceDE w:val="0"/>
              <w:widowControl/>
              <w:spacing w:line="302" w:lineRule="auto" w:before="156" w:after="0"/>
              <w:ind w:left="46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formalités médica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ARM (Ana </w:t>
            </w:r>
            <w:r>
              <w:tab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72 72 72 −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auto" w:before="3378" w:after="0"/>
              <w:ind w:left="0" w:right="7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88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6" w:after="0"/>
              <w:ind w:left="3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les sans avance de fonds pour le postulant.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Les centres à contacter réaliser les bilans médicaux sont : 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lyse Risque Médical)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présent dans 185 villes dont 14 adresses à Paris et 19 en région parisienne − 09 70 </w:t>
            </w:r>
          </w:p>
          <w:p>
            <w:pPr>
              <w:autoSpaceDN w:val="0"/>
              <w:autoSpaceDE w:val="0"/>
              <w:widowControl/>
              <w:spacing w:line="230" w:lineRule="auto" w:before="28" w:after="0"/>
              <w:ind w:left="22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hyperlink r:id="rId18" w:history="1">
                <w:r>
                  <w:rPr>
                    <w:rStyle w:val="Hyperlink"/>
                  </w:rPr>
                  <w:t>http://www.armfrance.com/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0" w:lineRule="auto" w:before="2032" w:after="0"/>
              <w:ind w:left="0" w:right="114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 xml:space="preserve">FP_ADESWL1056_190224 </w:t>
            </w:r>
          </w:p>
          <w:p>
            <w:pPr>
              <w:autoSpaceDN w:val="0"/>
              <w:autoSpaceDE w:val="0"/>
              <w:widowControl/>
              <w:spacing w:line="245" w:lineRule="auto" w:before="886" w:after="0"/>
              <w:ind w:left="102" w:right="288" w:firstLine="8402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4 / 4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Zenioo, siège social : 6 cours André Philip, 69100 Villeurbanne. SAS au capital de 1.267.431 €, RCS de Lyon n°884 782 582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1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Intermédiaire en assurance immatriculé à l’ORIAS sous le n°20 005 879 (www.orias.fr). </w:t>
            </w:r>
          </w:p>
          <w:p>
            <w:pPr>
              <w:autoSpaceDN w:val="0"/>
              <w:autoSpaceDE w:val="0"/>
              <w:widowControl/>
              <w:spacing w:line="228" w:lineRule="auto" w:before="6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Résolution, 4 place de Budapest, CS 92459, 75436 Paris Cedex 09.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2.0" w:type="dxa"/>
      </w:tblPr>
      <w:tblGrid>
        <w:gridCol w:w="5702"/>
        <w:gridCol w:w="5702"/>
      </w:tblGrid>
      <w:tr>
        <w:trPr>
          <w:trHeight w:hRule="exact" w:val="72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104" w:after="0"/>
              <w:ind w:left="288" w:right="11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>o</w:t>
            </w:r>
          </w:p>
        </w:tc>
        <w:tc>
          <w:tcPr>
            <w:tcW w:type="dxa" w:w="9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60" w:after="0"/>
              <w:ind w:left="134" w:right="72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BSV (Bilan Santé Vitton)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 présent dans 200 sites en France - 09 69 36 16 96−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hyperlink r:id="rId19" w:history="1">
                <w:r>
                  <w:rPr>
                    <w:rStyle w:val="Hyperlink"/>
                  </w:rPr>
                  <w:t xml:space="preserve">http://www.bilan-sante.fr/ </w:t>
                </w:r>
              </w:hyperlink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ABCOS-CIVEM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présent dans 205 centres − 09 69 32 27 32 − </w:t>
            </w: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http://www.abcossante.com/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60" w:right="244" w:bottom="88" w:left="25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zenioo.com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mailto:lcb-ft.tracfin@zenioo.com" TargetMode="External"/><Relationship Id="rId17" Type="http://schemas.openxmlformats.org/officeDocument/2006/relationships/image" Target="media/image7.png"/><Relationship Id="rId18" Type="http://schemas.openxmlformats.org/officeDocument/2006/relationships/hyperlink" Target="http://www.armfrance.com/" TargetMode="External"/><Relationship Id="rId19" Type="http://schemas.openxmlformats.org/officeDocument/2006/relationships/hyperlink" Target="http://www.bilan-sante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