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60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-946150</wp:posOffset>
            </wp:positionH>
            <wp:positionV relativeFrom="page">
              <wp:posOffset>-789940</wp:posOffset>
            </wp:positionV>
            <wp:extent cx="2874010" cy="2852602"/>
            <wp:wrapNone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4010" cy="2852602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341630</wp:posOffset>
            </wp:positionH>
            <wp:positionV relativeFrom="page">
              <wp:posOffset>3177540</wp:posOffset>
            </wp:positionV>
            <wp:extent cx="2249170" cy="1476589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9170" cy="147658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2759710</wp:posOffset>
            </wp:positionH>
            <wp:positionV relativeFrom="page">
              <wp:posOffset>3177540</wp:posOffset>
            </wp:positionV>
            <wp:extent cx="2125979" cy="1470774"/>
            <wp:wrapNone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25979" cy="1470774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5082540</wp:posOffset>
            </wp:positionH>
            <wp:positionV relativeFrom="page">
              <wp:posOffset>3177540</wp:posOffset>
            </wp:positionV>
            <wp:extent cx="2051050" cy="1446723"/>
            <wp:wrapNone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51050" cy="1446723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4686300</wp:posOffset>
            </wp:positionH>
            <wp:positionV relativeFrom="page">
              <wp:posOffset>1892300</wp:posOffset>
            </wp:positionV>
            <wp:extent cx="2527300" cy="558800"/>
            <wp:wrapNone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27300" cy="558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5659120</wp:posOffset>
            </wp:positionH>
            <wp:positionV relativeFrom="page">
              <wp:posOffset>640080</wp:posOffset>
            </wp:positionV>
            <wp:extent cx="628650" cy="187346"/>
            <wp:wrapNone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187346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5651500</wp:posOffset>
            </wp:positionH>
            <wp:positionV relativeFrom="page">
              <wp:posOffset>635000</wp:posOffset>
            </wp:positionV>
            <wp:extent cx="647700" cy="190500"/>
            <wp:wrapNone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1905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30" w:lineRule="auto" w:before="0" w:after="50"/>
        <w:ind w:left="0" w:right="1390" w:firstLine="0"/>
        <w:jc w:val="right"/>
      </w:pPr>
      <w:r>
        <w:rPr>
          <w:rFonts w:ascii="Open Sans" w:hAnsi="Open Sans" w:eastAsia="Open Sans"/>
          <w:b/>
          <w:i w:val="0"/>
          <w:color w:val="759AAB"/>
          <w:sz w:val="20"/>
        </w:rPr>
        <w:t xml:space="preserve">FICHE PRODUIT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6.00000000000001" w:type="dxa"/>
      </w:tblPr>
      <w:tblGrid>
        <w:gridCol w:w="11378"/>
      </w:tblGrid>
      <w:tr>
        <w:trPr>
          <w:trHeight w:hRule="exact" w:val="1200"/>
        </w:trPr>
        <w:tc>
          <w:tcPr>
            <w:tcW w:type="dxa" w:w="9826"/>
            <w:tcBorders>
              <w:start w:sz="12.0" w:val="single" w:color="#E42D45"/>
              <w:top w:sz="12.0" w:val="single" w:color="#E42D45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06" w:val="left"/>
              </w:tabs>
              <w:autoSpaceDE w:val="0"/>
              <w:widowControl/>
              <w:spacing w:line="245" w:lineRule="auto" w:before="174" w:after="0"/>
              <w:ind w:left="216" w:right="1296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40"/>
              </w:rPr>
              <w:t xml:space="preserve">AXA Assurance Des Emprunteurs 4082 </w:t>
            </w:r>
            <w:r>
              <w:rPr>
                <w:rFonts w:ascii="Open Sans" w:hAnsi="Open Sans" w:eastAsia="Open Sans"/>
                <w:b/>
                <w:i w:val="0"/>
                <w:color w:val="002337"/>
                <w:sz w:val="22"/>
              </w:rPr>
              <w:t xml:space="preserve">by </w:t>
            </w:r>
            <w:r>
              <w:rPr>
                <w:rFonts w:ascii="Open Sans" w:hAnsi="Open Sans" w:eastAsia="Open Sans"/>
                <w:b/>
                <w:i w:val="0"/>
                <w:color w:val="002337"/>
                <w:sz w:val="22"/>
              </w:rPr>
              <w:t xml:space="preserve">L’alternative </w:t>
            </w:r>
            <w:r>
              <w:rPr>
                <w:rFonts w:ascii="Open Sans" w:hAnsi="Open Sans" w:eastAsia="Open Sans"/>
                <w:b/>
                <w:i w:val="0"/>
                <w:color w:val="002337"/>
                <w:sz w:val="32"/>
              </w:rPr>
              <w:t>+</w:t>
            </w:r>
            <w:r>
              <w:rPr>
                <w:rFonts w:ascii="Open Sans" w:hAnsi="Open Sans" w:eastAsia="Open Sans"/>
                <w:b/>
                <w:i w:val="0"/>
                <w:color w:val="002337"/>
                <w:sz w:val="22"/>
              </w:rPr>
              <w:t xml:space="preserve"> économique et </w:t>
            </w:r>
            <w:r>
              <w:rPr>
                <w:rFonts w:ascii="Open Sans" w:hAnsi="Open Sans" w:eastAsia="Open Sans"/>
                <w:b/>
                <w:i w:val="0"/>
                <w:color w:val="002337"/>
                <w:sz w:val="32"/>
              </w:rPr>
              <w:t>+</w:t>
            </w:r>
            <w:r>
              <w:rPr>
                <w:rFonts w:ascii="Open Sans" w:hAnsi="Open Sans" w:eastAsia="Open Sans"/>
                <w:b/>
                <w:i w:val="0"/>
                <w:color w:val="002337"/>
                <w:sz w:val="22"/>
              </w:rPr>
              <w:t xml:space="preserve"> sécurisante face aux contrats bancaires </w:t>
            </w:r>
          </w:p>
        </w:tc>
      </w:tr>
    </w:tbl>
    <w:p>
      <w:pPr>
        <w:autoSpaceDN w:val="0"/>
        <w:autoSpaceDE w:val="0"/>
        <w:widowControl/>
        <w:spacing w:line="240" w:lineRule="auto" w:before="640" w:after="2"/>
        <w:ind w:left="796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6"/>
        </w:rPr>
        <w:t></w:t>
      </w:r>
      <w:r>
        <w:rPr>
          <w:rFonts w:ascii="Open Sans" w:hAnsi="Open Sans" w:eastAsia="Open Sans"/>
          <w:b w:val="0"/>
          <w:i w:val="0"/>
          <w:color w:val="002337"/>
          <w:sz w:val="20"/>
        </w:rPr>
        <w:t>Reprise Hamon / Bourquin : seulement des questions déclaratives dans la demande d’adhésion</w:t>
      </w:r>
    </w:p>
    <w:p>
      <w:pPr>
        <w:sectPr>
          <w:pgSz w:w="11906" w:h="16838"/>
          <w:pgMar w:top="160" w:right="244" w:bottom="88" w:left="28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794" w:right="288" w:firstLine="0"/>
        <w:jc w:val="left"/>
      </w:pPr>
      <w:r>
        <w:rPr>
          <w:rFonts w:ascii="Symbol" w:hAnsi="Symbol" w:eastAsia="Symbol"/>
          <w:b w:val="0"/>
          <w:i w:val="0"/>
          <w:color w:val="002337"/>
          <w:sz w:val="26"/>
        </w:rPr>
        <w:t></w:t>
      </w:r>
      <w:r>
        <w:rPr>
          <w:rFonts w:ascii="Open Sans" w:hAnsi="Open Sans" w:eastAsia="Open Sans"/>
          <w:b w:val="0"/>
          <w:i w:val="0"/>
          <w:color w:val="002337"/>
          <w:sz w:val="20"/>
        </w:rPr>
        <w:t>Option bénéficiaire croisé</w:t>
      </w:r>
      <w:r>
        <w:br/>
      </w:r>
      <w:r>
        <w:rPr>
          <w:rFonts w:ascii="Symbol" w:hAnsi="Symbol" w:eastAsia="Symbol"/>
          <w:b w:val="0"/>
          <w:i w:val="0"/>
          <w:color w:val="002337"/>
          <w:sz w:val="26"/>
        </w:rPr>
        <w:t></w:t>
      </w:r>
      <w:r>
        <w:rPr>
          <w:rFonts w:ascii="Open Sans" w:hAnsi="Open Sans" w:eastAsia="Open Sans"/>
          <w:b w:val="0"/>
          <w:i w:val="0"/>
          <w:color w:val="002337"/>
          <w:sz w:val="20"/>
        </w:rPr>
        <w:t>Questionnaire de santé simplifié jusqu’à 50 ans et 500 000 €</w:t>
      </w:r>
      <w:r>
        <w:rPr>
          <w:rFonts w:ascii="Symbol" w:hAnsi="Symbol" w:eastAsia="Symbol"/>
          <w:b w:val="0"/>
          <w:i w:val="0"/>
          <w:color w:val="002337"/>
          <w:sz w:val="26"/>
        </w:rPr>
        <w:t></w:t>
      </w:r>
      <w:r>
        <w:rPr>
          <w:rFonts w:ascii="Open Sans" w:hAnsi="Open Sans" w:eastAsia="Open Sans"/>
          <w:b w:val="0"/>
          <w:i w:val="0"/>
          <w:color w:val="002337"/>
          <w:sz w:val="20"/>
        </w:rPr>
        <w:t>Irrévocabilité des garanties et des cotisations</w:t>
      </w:r>
    </w:p>
    <w:p>
      <w:pPr>
        <w:autoSpaceDN w:val="0"/>
        <w:autoSpaceDE w:val="0"/>
        <w:widowControl/>
        <w:spacing w:line="230" w:lineRule="auto" w:before="358" w:after="0"/>
        <w:ind w:left="436" w:right="0" w:firstLine="0"/>
        <w:jc w:val="left"/>
      </w:pPr>
      <w:r>
        <w:rPr>
          <w:rFonts w:ascii="Open Sans" w:hAnsi="Open Sans" w:eastAsia="Open Sans"/>
          <w:b/>
          <w:i w:val="0"/>
          <w:color w:val="E52E45"/>
          <w:sz w:val="26"/>
        </w:rPr>
        <w:t>En un clin d’œil</w:t>
      </w:r>
    </w:p>
    <w:p>
      <w:pPr>
        <w:autoSpaceDN w:val="0"/>
        <w:autoSpaceDE w:val="0"/>
        <w:widowControl/>
        <w:spacing w:line="230" w:lineRule="auto" w:before="42" w:after="0"/>
        <w:ind w:left="436" w:right="0" w:firstLine="0"/>
        <w:jc w:val="left"/>
      </w:pPr>
      <w:r>
        <w:rPr>
          <w:rFonts w:ascii="Open Sans" w:hAnsi="Open Sans" w:eastAsia="Open Sans"/>
          <w:b/>
          <w:i w:val="0"/>
          <w:color w:val="002337"/>
          <w:sz w:val="20"/>
        </w:rPr>
        <w:t>Produit géré par Multi-Impact et assuré par AXA</w:t>
      </w:r>
    </w:p>
    <w:p>
      <w:pPr>
        <w:sectPr>
          <w:type w:val="continuous"/>
          <w:pgSz w:w="11906" w:h="16838"/>
          <w:pgMar w:top="160" w:right="244" w:bottom="88" w:left="284" w:header="720" w:footer="720" w:gutter="0"/>
          <w:cols w:num="2" w:equalWidth="0">
            <w:col w:w="7080" w:space="0"/>
            <w:col w:w="4298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432" w:right="432" w:firstLine="0"/>
        <w:jc w:val="center"/>
      </w:pPr>
      <w:r>
        <w:rPr>
          <w:rFonts w:ascii="Open Sans" w:hAnsi="Open Sans" w:eastAsia="Open Sans"/>
          <w:b/>
          <w:i w:val="0"/>
          <w:color w:val="002337"/>
          <w:sz w:val="21"/>
        </w:rPr>
        <w:t xml:space="preserve">Aucun questionnaire de santé </w:t>
      </w:r>
      <w:r>
        <w:rPr>
          <w:rFonts w:ascii="Open Sans" w:hAnsi="Open Sans" w:eastAsia="Open Sans"/>
          <w:b/>
          <w:i w:val="0"/>
          <w:color w:val="002337"/>
          <w:sz w:val="21"/>
        </w:rPr>
        <w:t xml:space="preserve">pour les prêts &lt; à 200 000 € * </w:t>
      </w:r>
    </w:p>
    <w:p>
      <w:pPr>
        <w:autoSpaceDN w:val="0"/>
        <w:autoSpaceDE w:val="0"/>
        <w:widowControl/>
        <w:spacing w:line="245" w:lineRule="auto" w:before="328" w:after="552"/>
        <w:ind w:left="348" w:right="288" w:firstLine="0"/>
        <w:jc w:val="left"/>
      </w:pPr>
      <w:r>
        <w:rPr>
          <w:rFonts w:ascii="Open Sans" w:hAnsi="Open Sans" w:eastAsia="Open Sans"/>
          <w:b w:val="0"/>
          <w:i w:val="0"/>
          <w:color w:val="002337"/>
          <w:sz w:val="14"/>
        </w:rPr>
        <w:t xml:space="preserve">* avec un terme antérieur aux 60 ans de l’emprunteur </w:t>
      </w:r>
      <w:r>
        <w:rPr>
          <w:rFonts w:ascii="Open Sans" w:hAnsi="Open Sans" w:eastAsia="Open Sans"/>
          <w:b w:val="0"/>
          <w:i w:val="0"/>
          <w:color w:val="002337"/>
          <w:sz w:val="14"/>
        </w:rPr>
        <w:t xml:space="preserve">et tenant compte de l’encours assuré des autres crédits </w:t>
      </w:r>
    </w:p>
    <w:p>
      <w:pPr>
        <w:sectPr>
          <w:type w:val="nextColumn"/>
          <w:pgSz w:w="11906" w:h="16838"/>
          <w:pgMar w:top="160" w:right="244" w:bottom="88" w:left="284" w:header="720" w:footer="720" w:gutter="0"/>
          <w:cols w:num="2" w:equalWidth="0">
            <w:col w:w="7080" w:space="0"/>
            <w:col w:w="4298" w:space="0"/>
          </w:cols>
          <w:docGrid w:linePitch="360"/>
        </w:sectPr>
      </w:pPr>
    </w:p>
    <w:p>
      <w:pPr>
        <w:autoSpaceDN w:val="0"/>
        <w:autoSpaceDE w:val="0"/>
        <w:widowControl/>
        <w:spacing w:line="3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34.0" w:type="dxa"/>
      </w:tblPr>
      <w:tblGrid>
        <w:gridCol w:w="1896"/>
        <w:gridCol w:w="1896"/>
        <w:gridCol w:w="1896"/>
        <w:gridCol w:w="1896"/>
        <w:gridCol w:w="1896"/>
        <w:gridCol w:w="1896"/>
      </w:tblGrid>
      <w:tr>
        <w:trPr>
          <w:trHeight w:hRule="exact" w:val="314"/>
        </w:trPr>
        <w:tc>
          <w:tcPr>
            <w:tcW w:type="dxa" w:w="38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08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2337"/>
                <w:sz w:val="20"/>
              </w:rPr>
              <w:t></w:t>
            </w:r>
          </w:p>
        </w:tc>
        <w:tc>
          <w:tcPr>
            <w:tcW w:type="dxa" w:w="332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6" w:after="0"/>
              <w:ind w:left="0" w:right="1336" w:firstLine="0"/>
              <w:jc w:val="right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21"/>
              </w:rPr>
              <w:t xml:space="preserve">Pour vous </w:t>
            </w:r>
          </w:p>
        </w:tc>
        <w:tc>
          <w:tcPr>
            <w:tcW w:type="dxa" w:w="498"/>
            <w:vMerge w:val="restart"/>
            <w:tcBorders>
              <w:bottom w:sz="8.0" w:val="single" w:color="#EEF4F5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20" w:after="0"/>
              <w:ind w:left="0" w:right="120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2337"/>
                <w:sz w:val="20"/>
              </w:rPr>
              <w:t></w:t>
            </w:r>
          </w:p>
        </w:tc>
        <w:tc>
          <w:tcPr>
            <w:tcW w:type="dxa" w:w="311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6" w:after="0"/>
              <w:ind w:left="382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22"/>
              </w:rPr>
              <w:t xml:space="preserve">Pour votre client </w:t>
            </w:r>
          </w:p>
        </w:tc>
        <w:tc>
          <w:tcPr>
            <w:tcW w:type="dxa" w:w="50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10" w:after="0"/>
              <w:ind w:left="0" w:right="82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2337"/>
                <w:sz w:val="20"/>
              </w:rPr>
              <w:t></w:t>
            </w:r>
          </w:p>
        </w:tc>
        <w:tc>
          <w:tcPr>
            <w:tcW w:type="dxa" w:w="303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6" w:after="0"/>
              <w:ind w:left="112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22"/>
              </w:rPr>
              <w:t xml:space="preserve">Formalités médicales </w:t>
            </w:r>
          </w:p>
        </w:tc>
      </w:tr>
      <w:tr>
        <w:trPr>
          <w:trHeight w:hRule="exact" w:val="340"/>
        </w:trPr>
        <w:tc>
          <w:tcPr>
            <w:tcW w:type="dxa" w:w="1896"/>
            <w:vMerge/>
            <w:tcBorders/>
          </w:tcPr>
          <w:p/>
        </w:tc>
        <w:tc>
          <w:tcPr>
            <w:tcW w:type="dxa" w:w="332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0" w:after="0"/>
              <w:ind w:left="142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20"/>
              </w:rPr>
              <w:t xml:space="preserve">Différents modes de </w:t>
            </w:r>
          </w:p>
        </w:tc>
        <w:tc>
          <w:tcPr>
            <w:tcW w:type="dxa" w:w="1896"/>
            <w:vMerge/>
            <w:tcBorders>
              <w:bottom w:sz="8.0" w:val="single" w:color="#EEF4F5"/>
            </w:tcBorders>
          </w:tcPr>
          <w:p/>
        </w:tc>
        <w:tc>
          <w:tcPr>
            <w:tcW w:type="dxa" w:w="311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0" w:after="0"/>
              <w:ind w:left="128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20"/>
              </w:rPr>
              <w:t xml:space="preserve">Parcours de souscription en </w:t>
            </w:r>
          </w:p>
        </w:tc>
        <w:tc>
          <w:tcPr>
            <w:tcW w:type="dxa" w:w="1896"/>
            <w:vMerge/>
            <w:tcBorders/>
          </w:tcPr>
          <w:p/>
        </w:tc>
        <w:tc>
          <w:tcPr>
            <w:tcW w:type="dxa" w:w="303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0" w:after="0"/>
              <w:ind w:left="168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20"/>
              </w:rPr>
              <w:t xml:space="preserve">Questionnaire de santé </w:t>
            </w:r>
          </w:p>
        </w:tc>
      </w:tr>
      <w:tr>
        <w:trPr>
          <w:trHeight w:hRule="exact" w:val="312"/>
        </w:trPr>
        <w:tc>
          <w:tcPr>
            <w:tcW w:type="dxa" w:w="382"/>
            <w:vMerge w:val="restart"/>
            <w:tcBorders>
              <w:bottom w:sz="8.0" w:val="single" w:color="#EEF4F5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6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2337"/>
                <w:sz w:val="20"/>
              </w:rPr>
              <w:t></w:t>
            </w:r>
          </w:p>
        </w:tc>
        <w:tc>
          <w:tcPr>
            <w:tcW w:type="dxa" w:w="332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142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20"/>
              </w:rPr>
              <w:t xml:space="preserve">commissions </w:t>
            </w:r>
          </w:p>
        </w:tc>
        <w:tc>
          <w:tcPr>
            <w:tcW w:type="dxa" w:w="1896"/>
            <w:vMerge/>
            <w:tcBorders>
              <w:bottom w:sz="8.0" w:val="single" w:color="#EEF4F5"/>
            </w:tcBorders>
          </w:tcPr>
          <w:p/>
        </w:tc>
        <w:tc>
          <w:tcPr>
            <w:tcW w:type="dxa" w:w="311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8" w:after="0"/>
              <w:ind w:left="128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20"/>
              </w:rPr>
              <w:t xml:space="preserve">ligne y compris la sélection </w:t>
            </w:r>
          </w:p>
        </w:tc>
        <w:tc>
          <w:tcPr>
            <w:tcW w:type="dxa" w:w="506"/>
            <w:vMerge w:val="restart"/>
            <w:tcBorders>
              <w:bottom w:sz="8.0" w:val="single" w:color="#EEF4F5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6" w:after="0"/>
              <w:ind w:left="0" w:right="82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2337"/>
                <w:sz w:val="20"/>
              </w:rPr>
              <w:t></w:t>
            </w:r>
          </w:p>
        </w:tc>
        <w:tc>
          <w:tcPr>
            <w:tcW w:type="dxa" w:w="303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8" w:after="0"/>
              <w:ind w:left="168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20"/>
              </w:rPr>
              <w:t xml:space="preserve">jusqu’à 50 ans et 500 000 € </w:t>
            </w:r>
          </w:p>
        </w:tc>
      </w:tr>
      <w:tr>
        <w:trPr>
          <w:trHeight w:hRule="exact" w:val="256"/>
        </w:trPr>
        <w:tc>
          <w:tcPr>
            <w:tcW w:type="dxa" w:w="1896"/>
            <w:vMerge/>
            <w:tcBorders>
              <w:bottom w:sz="8.0" w:val="single" w:color="#EEF4F5"/>
            </w:tcBorders>
          </w:tcPr>
          <w:p/>
        </w:tc>
        <w:tc>
          <w:tcPr>
            <w:tcW w:type="dxa" w:w="3322"/>
            <w:tcBorders>
              <w:bottom w:sz="8.0" w:val="single" w:color="#EEF4F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142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20"/>
              </w:rPr>
              <w:t xml:space="preserve">Frais de courtage </w:t>
            </w:r>
          </w:p>
        </w:tc>
        <w:tc>
          <w:tcPr>
            <w:tcW w:type="dxa" w:w="1896"/>
            <w:vMerge/>
            <w:tcBorders>
              <w:bottom w:sz="8.0" w:val="single" w:color="#EEF4F5"/>
            </w:tcBorders>
          </w:tcPr>
          <w:p/>
        </w:tc>
        <w:tc>
          <w:tcPr>
            <w:tcW w:type="dxa" w:w="3114"/>
            <w:tcBorders>
              <w:bottom w:sz="8.0" w:val="single" w:color="#EEF4F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128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20"/>
              </w:rPr>
              <w:t xml:space="preserve">médicale </w:t>
            </w:r>
          </w:p>
        </w:tc>
        <w:tc>
          <w:tcPr>
            <w:tcW w:type="dxa" w:w="1896"/>
            <w:vMerge/>
            <w:tcBorders>
              <w:bottom w:sz="8.0" w:val="single" w:color="#EEF4F5"/>
            </w:tcBorders>
          </w:tcPr>
          <w:p/>
        </w:tc>
        <w:tc>
          <w:tcPr>
            <w:tcW w:type="dxa" w:w="3034"/>
            <w:tcBorders>
              <w:bottom w:sz="8.0" w:val="single" w:color="#EEF4F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170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20"/>
              </w:rPr>
              <w:t xml:space="preserve">Partenariats avec les </w:t>
            </w:r>
          </w:p>
        </w:tc>
      </w:tr>
      <w:tr>
        <w:trPr>
          <w:trHeight w:hRule="exact" w:val="52"/>
        </w:trPr>
        <w:tc>
          <w:tcPr>
            <w:tcW w:type="dxa" w:w="382"/>
            <w:vMerge w:val="restart"/>
            <w:tcBorders>
              <w:top w:sz="8.0" w:val="single" w:color="#EEF4F5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322"/>
            <w:tcBorders>
              <w:top w:sz="8.0" w:val="single" w:color="#EEF4F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8"/>
            <w:vMerge w:val="restart"/>
            <w:tcBorders>
              <w:top w:sz="8.0" w:val="single" w:color="#EEF4F5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6" w:after="0"/>
              <w:ind w:left="0" w:right="120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2337"/>
                <w:sz w:val="20"/>
              </w:rPr>
              <w:t></w:t>
            </w:r>
          </w:p>
        </w:tc>
        <w:tc>
          <w:tcPr>
            <w:tcW w:type="dxa" w:w="3114"/>
            <w:vMerge w:val="restart"/>
            <w:tcBorders>
              <w:top w:sz="8.0" w:val="single" w:color="#EEF4F5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2" w:after="0"/>
              <w:ind w:left="128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20"/>
              </w:rPr>
              <w:t xml:space="preserve">Formalités allégées et prise </w:t>
            </w:r>
          </w:p>
        </w:tc>
        <w:tc>
          <w:tcPr>
            <w:tcW w:type="dxa" w:w="506"/>
            <w:vMerge w:val="restart"/>
            <w:tcBorders>
              <w:top w:sz="8.0" w:val="single" w:color="#EEF4F5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034"/>
            <w:tcBorders>
              <w:top w:sz="8.0" w:val="single" w:color="#EEF4F5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60"/>
        </w:trPr>
        <w:tc>
          <w:tcPr>
            <w:tcW w:type="dxa" w:w="1896"/>
            <w:vMerge/>
            <w:tcBorders>
              <w:top w:sz="8.0" w:val="single" w:color="#EEF4F5"/>
            </w:tcBorders>
          </w:tcPr>
          <w:p/>
        </w:tc>
        <w:tc>
          <w:tcPr>
            <w:tcW w:type="dxa" w:w="332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42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20"/>
              </w:rPr>
              <w:t xml:space="preserve">intégralement reversés jusqu’à </w:t>
            </w:r>
          </w:p>
        </w:tc>
        <w:tc>
          <w:tcPr>
            <w:tcW w:type="dxa" w:w="1896"/>
            <w:vMerge/>
            <w:tcBorders>
              <w:top w:sz="8.0" w:val="single" w:color="#EEF4F5"/>
            </w:tcBorders>
          </w:tcPr>
          <w:p/>
        </w:tc>
        <w:tc>
          <w:tcPr>
            <w:tcW w:type="dxa" w:w="1896"/>
            <w:vMerge/>
            <w:tcBorders>
              <w:top w:sz="8.0" w:val="single" w:color="#EEF4F5"/>
            </w:tcBorders>
          </w:tcPr>
          <w:p/>
        </w:tc>
        <w:tc>
          <w:tcPr>
            <w:tcW w:type="dxa" w:w="1896"/>
            <w:vMerge/>
            <w:tcBorders>
              <w:top w:sz="8.0" w:val="single" w:color="#EEF4F5"/>
            </w:tcBorders>
          </w:tcPr>
          <w:p/>
        </w:tc>
        <w:tc>
          <w:tcPr>
            <w:tcW w:type="dxa" w:w="303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70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20"/>
              </w:rPr>
              <w:t xml:space="preserve">centres de santé ABCOS / </w:t>
            </w:r>
          </w:p>
        </w:tc>
      </w:tr>
      <w:tr>
        <w:trPr>
          <w:trHeight w:hRule="exact" w:val="294"/>
        </w:trPr>
        <w:tc>
          <w:tcPr>
            <w:tcW w:type="dxa" w:w="38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36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2337"/>
                <w:sz w:val="20"/>
              </w:rPr>
              <w:t></w:t>
            </w:r>
          </w:p>
        </w:tc>
        <w:tc>
          <w:tcPr>
            <w:tcW w:type="dxa" w:w="332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142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20"/>
              </w:rPr>
              <w:t xml:space="preserve">500 € par assuré </w:t>
            </w:r>
          </w:p>
        </w:tc>
        <w:tc>
          <w:tcPr>
            <w:tcW w:type="dxa" w:w="1896"/>
            <w:vMerge/>
            <w:tcBorders>
              <w:top w:sz="8.0" w:val="single" w:color="#EEF4F5"/>
            </w:tcBorders>
          </w:tcPr>
          <w:p/>
        </w:tc>
        <w:tc>
          <w:tcPr>
            <w:tcW w:type="dxa" w:w="311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" w:after="0"/>
              <w:ind w:left="128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20"/>
              </w:rPr>
              <w:t xml:space="preserve">en charge des démarches </w:t>
            </w:r>
          </w:p>
        </w:tc>
        <w:tc>
          <w:tcPr>
            <w:tcW w:type="dxa" w:w="1896"/>
            <w:vMerge/>
            <w:tcBorders>
              <w:top w:sz="8.0" w:val="single" w:color="#EEF4F5"/>
            </w:tcBorders>
          </w:tcPr>
          <w:p/>
        </w:tc>
        <w:tc>
          <w:tcPr>
            <w:tcW w:type="dxa" w:w="303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" w:after="0"/>
              <w:ind w:left="170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20"/>
              </w:rPr>
              <w:t>CIVEM / CBSA – ARM –</w:t>
            </w:r>
          </w:p>
        </w:tc>
      </w:tr>
      <w:tr>
        <w:trPr>
          <w:trHeight w:hRule="exact" w:val="275"/>
        </w:trPr>
        <w:tc>
          <w:tcPr>
            <w:tcW w:type="dxa" w:w="1896"/>
            <w:vMerge/>
            <w:tcBorders/>
          </w:tcPr>
          <w:p/>
        </w:tc>
        <w:tc>
          <w:tcPr>
            <w:tcW w:type="dxa" w:w="332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142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20"/>
              </w:rPr>
              <w:t xml:space="preserve">Gestion VIP automatique pour </w:t>
            </w:r>
          </w:p>
        </w:tc>
        <w:tc>
          <w:tcPr>
            <w:tcW w:type="dxa" w:w="1896"/>
            <w:vMerge/>
            <w:tcBorders>
              <w:top w:sz="8.0" w:val="single" w:color="#EEF4F5"/>
            </w:tcBorders>
          </w:tcPr>
          <w:p/>
        </w:tc>
        <w:tc>
          <w:tcPr>
            <w:tcW w:type="dxa" w:w="311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128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20"/>
              </w:rPr>
              <w:t xml:space="preserve">administratives en cas de </w:t>
            </w:r>
          </w:p>
        </w:tc>
        <w:tc>
          <w:tcPr>
            <w:tcW w:type="dxa" w:w="1896"/>
            <w:vMerge/>
            <w:tcBorders>
              <w:top w:sz="8.0" w:val="single" w:color="#EEF4F5"/>
            </w:tcBorders>
          </w:tcPr>
          <w:p/>
        </w:tc>
        <w:tc>
          <w:tcPr>
            <w:tcW w:type="dxa" w:w="303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170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20"/>
              </w:rPr>
              <w:t xml:space="preserve">MONTAIGNE SANTE </w:t>
            </w:r>
          </w:p>
        </w:tc>
      </w:tr>
      <w:tr>
        <w:trPr>
          <w:trHeight w:hRule="exact" w:val="323"/>
        </w:trPr>
        <w:tc>
          <w:tcPr>
            <w:tcW w:type="dxa" w:w="1896"/>
            <w:vMerge/>
            <w:tcBorders/>
          </w:tcPr>
          <w:p/>
        </w:tc>
        <w:tc>
          <w:tcPr>
            <w:tcW w:type="dxa" w:w="332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142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20"/>
              </w:rPr>
              <w:t xml:space="preserve">les dossiers dès 600 000 € </w:t>
            </w:r>
          </w:p>
        </w:tc>
        <w:tc>
          <w:tcPr>
            <w:tcW w:type="dxa" w:w="1896"/>
            <w:vMerge/>
            <w:tcBorders>
              <w:top w:sz="8.0" w:val="single" w:color="#EEF4F5"/>
            </w:tcBorders>
          </w:tcPr>
          <w:p/>
        </w:tc>
        <w:tc>
          <w:tcPr>
            <w:tcW w:type="dxa" w:w="311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28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20"/>
              </w:rPr>
              <w:t xml:space="preserve">reprise Hamon / Bourquin </w:t>
            </w:r>
          </w:p>
        </w:tc>
        <w:tc>
          <w:tcPr>
            <w:tcW w:type="dxa" w:w="1896"/>
            <w:vMerge/>
            <w:tcBorders>
              <w:top w:sz="8.0" w:val="single" w:color="#EEF4F5"/>
            </w:tcBorders>
          </w:tcPr>
          <w:p/>
        </w:tc>
        <w:tc>
          <w:tcPr>
            <w:tcW w:type="dxa" w:w="1896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0" w:lineRule="auto" w:before="334" w:after="162"/>
        <w:ind w:left="436" w:right="0" w:firstLine="0"/>
        <w:jc w:val="left"/>
      </w:pPr>
      <w:r>
        <w:rPr>
          <w:rFonts w:ascii="Open Sans" w:hAnsi="Open Sans" w:eastAsia="Open Sans"/>
          <w:b/>
          <w:i w:val="0"/>
          <w:color w:val="E52E45"/>
          <w:sz w:val="26"/>
        </w:rPr>
        <w:t xml:space="preserve">Process Hamon / Bourquin ultra allégé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5689"/>
        <w:gridCol w:w="5689"/>
      </w:tblGrid>
      <w:tr>
        <w:trPr>
          <w:trHeight w:hRule="exact" w:val="1236"/>
        </w:trPr>
        <w:tc>
          <w:tcPr>
            <w:tcW w:type="dxa" w:w="2270"/>
            <w:tcBorders>
              <w:start w:sz="4.0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90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Conditions </w:t>
            </w:r>
          </w:p>
        </w:tc>
        <w:tc>
          <w:tcPr>
            <w:tcW w:type="dxa" w:w="9074"/>
            <w:tcBorders>
              <w:start w:sz="4.0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24" w:val="left"/>
              </w:tabs>
              <w:autoSpaceDE w:val="0"/>
              <w:widowControl/>
              <w:spacing w:line="230" w:lineRule="auto" w:before="0" w:after="0"/>
              <w:ind w:left="464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2337"/>
                <w:sz w:val="18"/>
              </w:rPr>
              <w:t xml:space="preserve">o </w:t>
            </w:r>
            <w:r>
              <w:tab/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Assurés de moins de 50 ans </w:t>
            </w:r>
          </w:p>
          <w:p>
            <w:pPr>
              <w:autoSpaceDN w:val="0"/>
              <w:tabs>
                <w:tab w:pos="824" w:val="left"/>
              </w:tabs>
              <w:autoSpaceDE w:val="0"/>
              <w:widowControl/>
              <w:spacing w:line="230" w:lineRule="auto" w:before="8" w:after="0"/>
              <w:ind w:left="464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2337"/>
                <w:sz w:val="18"/>
              </w:rPr>
              <w:t xml:space="preserve">o </w:t>
            </w:r>
            <w:r>
              <w:tab/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Prêts de moins de 5 ans </w:t>
            </w:r>
          </w:p>
          <w:p>
            <w:pPr>
              <w:autoSpaceDN w:val="0"/>
              <w:tabs>
                <w:tab w:pos="824" w:val="left"/>
              </w:tabs>
              <w:autoSpaceDE w:val="0"/>
              <w:widowControl/>
              <w:spacing w:line="230" w:lineRule="auto" w:before="12" w:after="0"/>
              <w:ind w:left="464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2337"/>
                <w:sz w:val="18"/>
              </w:rPr>
              <w:t xml:space="preserve">o </w:t>
            </w:r>
            <w:r>
              <w:tab/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Garanties du contrat d’assurance strictement identiques </w:t>
            </w:r>
          </w:p>
          <w:p>
            <w:pPr>
              <w:autoSpaceDN w:val="0"/>
              <w:tabs>
                <w:tab w:pos="824" w:val="left"/>
              </w:tabs>
              <w:autoSpaceDE w:val="0"/>
              <w:widowControl/>
              <w:spacing w:line="230" w:lineRule="auto" w:before="8" w:after="0"/>
              <w:ind w:left="464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2337"/>
                <w:sz w:val="18"/>
              </w:rPr>
              <w:t xml:space="preserve">o </w:t>
            </w:r>
            <w:r>
              <w:tab/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Capital assuré inférieur ou égal au capital restant dû à la date de substitution </w:t>
            </w:r>
          </w:p>
          <w:p>
            <w:pPr>
              <w:autoSpaceDN w:val="0"/>
              <w:tabs>
                <w:tab w:pos="824" w:val="left"/>
              </w:tabs>
              <w:autoSpaceDE w:val="0"/>
              <w:widowControl/>
              <w:spacing w:line="230" w:lineRule="auto" w:before="10" w:after="0"/>
              <w:ind w:left="464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2337"/>
                <w:sz w:val="18"/>
              </w:rPr>
              <w:t xml:space="preserve">o </w:t>
            </w:r>
            <w:r>
              <w:tab/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Durée du contrat d’assurance inférieure ou égale à c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el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l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e d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u c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o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nt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r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at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d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’ass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uran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c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e p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récédent </w:t>
            </w:r>
          </w:p>
        </w:tc>
      </w:tr>
      <w:tr>
        <w:trPr>
          <w:trHeight w:hRule="exact" w:val="1482"/>
        </w:trPr>
        <w:tc>
          <w:tcPr>
            <w:tcW w:type="dxa" w:w="2270"/>
            <w:tcBorders>
              <w:start w:sz="4.0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14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Questions </w:t>
            </w:r>
          </w:p>
        </w:tc>
        <w:tc>
          <w:tcPr>
            <w:tcW w:type="dxa" w:w="9074"/>
            <w:tcBorders>
              <w:start w:sz="4.0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04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L’assuré certifie dans la demande d’adhésion remplir les conditions suivantes : </w:t>
            </w:r>
          </w:p>
          <w:p>
            <w:pPr>
              <w:autoSpaceDN w:val="0"/>
              <w:tabs>
                <w:tab w:pos="824" w:val="left"/>
              </w:tabs>
              <w:autoSpaceDE w:val="0"/>
              <w:widowControl/>
              <w:spacing w:line="230" w:lineRule="auto" w:before="8" w:after="0"/>
              <w:ind w:left="464" w:right="0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2337"/>
                <w:sz w:val="18"/>
              </w:rPr>
              <w:t></w:t>
            </w:r>
            <w:r>
              <w:tab/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Votre adhésion au contrat d’assurance précédent a été acceptée aux conditions normales (sans </w:t>
            </w:r>
          </w:p>
          <w:p>
            <w:pPr>
              <w:autoSpaceDN w:val="0"/>
              <w:autoSpaceDE w:val="0"/>
              <w:widowControl/>
              <w:spacing w:line="230" w:lineRule="auto" w:before="10" w:after="0"/>
              <w:ind w:left="824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surprime et/ou sans exclusion) ? </w:t>
            </w:r>
          </w:p>
          <w:p>
            <w:pPr>
              <w:autoSpaceDN w:val="0"/>
              <w:tabs>
                <w:tab w:pos="824" w:val="left"/>
              </w:tabs>
              <w:autoSpaceDE w:val="0"/>
              <w:widowControl/>
              <w:spacing w:line="230" w:lineRule="auto" w:before="10" w:after="0"/>
              <w:ind w:left="464" w:right="0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2337"/>
                <w:sz w:val="18"/>
              </w:rPr>
              <w:t></w:t>
            </w:r>
            <w:r>
              <w:tab/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Aucune demande d’indemnisation ni de règlements, dans le cadre d’un sinistre afférent à votre </w:t>
            </w:r>
          </w:p>
          <w:p>
            <w:pPr>
              <w:autoSpaceDN w:val="0"/>
              <w:autoSpaceDE w:val="0"/>
              <w:widowControl/>
              <w:spacing w:line="230" w:lineRule="auto" w:before="10" w:after="0"/>
              <w:ind w:left="824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contrat d’assurance précédent, n’est en cours ? </w:t>
            </w:r>
          </w:p>
          <w:p>
            <w:pPr>
              <w:autoSpaceDN w:val="0"/>
              <w:tabs>
                <w:tab w:pos="824" w:val="left"/>
              </w:tabs>
              <w:autoSpaceDE w:val="0"/>
              <w:widowControl/>
              <w:spacing w:line="230" w:lineRule="auto" w:before="8" w:after="0"/>
              <w:ind w:left="464" w:right="0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2337"/>
                <w:sz w:val="18"/>
              </w:rPr>
              <w:t></w:t>
            </w:r>
            <w:r>
              <w:tab/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Vous n’avez pas été en arrêt de travail de plus de 21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j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o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urs c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o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ns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écut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i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fs c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es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5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d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e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rni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ères années ? </w:t>
            </w:r>
          </w:p>
        </w:tc>
      </w:tr>
    </w:tbl>
    <w:p>
      <w:pPr>
        <w:autoSpaceDN w:val="0"/>
        <w:autoSpaceDE w:val="0"/>
        <w:widowControl/>
        <w:spacing w:line="264" w:lineRule="auto" w:before="240" w:after="134"/>
        <w:ind w:left="436" w:right="432" w:firstLine="0"/>
        <w:jc w:val="left"/>
      </w:pPr>
      <w:r>
        <w:rPr>
          <w:rFonts w:ascii="Open Sans" w:hAnsi="Open Sans" w:eastAsia="Open Sans"/>
          <w:b/>
          <w:i w:val="0"/>
          <w:color w:val="E52E45"/>
          <w:sz w:val="26"/>
        </w:rPr>
        <w:t xml:space="preserve">Garanties </w:t>
      </w:r>
      <w:r>
        <w:br/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En tant que distributeur de produits d’assurance, vous devez proposer des produits qui sont cohérents avec les exigences et 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besoins du souscripteur éventuel ou de l’adhérent éventuel.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21" w:type="dxa"/>
      </w:tblPr>
      <w:tblGrid>
        <w:gridCol w:w="2844"/>
        <w:gridCol w:w="2844"/>
        <w:gridCol w:w="2844"/>
        <w:gridCol w:w="2844"/>
      </w:tblGrid>
      <w:tr>
        <w:trPr>
          <w:trHeight w:hRule="exact" w:val="498"/>
        </w:trPr>
        <w:tc>
          <w:tcPr>
            <w:tcW w:type="dxa" w:w="2270"/>
            <w:tcBorders>
              <w:end w:sz="3.9999999999998863" w:val="single" w:color="#AEC5CF"/>
              <w:bottom w:sz="4.0" w:val="single" w:color="#AEC5C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824"/>
            <w:tcBorders>
              <w:start w:sz="3.9999999999998863" w:val="single" w:color="#AEC5CF"/>
              <w:top w:sz="3.199999999999818" w:val="single" w:color="#AEC5CF"/>
              <w:end w:sz="4.0" w:val="single" w:color="#AEC5CF"/>
              <w:bottom w:sz="4.0" w:val="single" w:color="#AEC5C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2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Description </w:t>
            </w:r>
          </w:p>
        </w:tc>
        <w:tc>
          <w:tcPr>
            <w:tcW w:type="dxa" w:w="2336"/>
            <w:tcBorders>
              <w:start w:sz="4.0" w:val="single" w:color="#AEC5CF"/>
              <w:top w:sz="3.199999999999818" w:val="single" w:color="#AEC5CF"/>
              <w:end w:sz="4.0" w:val="single" w:color="#AEC5CF"/>
              <w:bottom w:sz="4.0" w:val="single" w:color="#AEC5C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576" w:right="576" w:firstLine="0"/>
              <w:jc w:val="center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Âge limite </w:t>
            </w:r>
            <w:r>
              <w:br/>
            </w: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à l’adhésion </w:t>
            </w:r>
          </w:p>
        </w:tc>
        <w:tc>
          <w:tcPr>
            <w:tcW w:type="dxa" w:w="1914"/>
            <w:tcBorders>
              <w:start w:sz="4.0" w:val="single" w:color="#AEC5CF"/>
              <w:top w:sz="3.199999999999818" w:val="single" w:color="#AEC5CF"/>
              <w:end w:sz="4.0" w:val="single" w:color="#AEC5CF"/>
              <w:bottom w:sz="4.0" w:val="single" w:color="#AEC5C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" w:right="144" w:firstLine="0"/>
              <w:jc w:val="center"/>
            </w:pPr>
            <w:r>
              <w:rPr>
                <w:rFonts w:ascii="Open Sans" w:hAnsi="Open Sans" w:eastAsia="Open Sans"/>
                <w:b/>
                <w:i w:val="0"/>
                <w:color w:val="000000"/>
                <w:sz w:val="18"/>
              </w:rPr>
              <w:t xml:space="preserve">Âge limite </w:t>
            </w:r>
            <w:r>
              <w:br/>
            </w:r>
            <w:r>
              <w:rPr>
                <w:rFonts w:ascii="Open Sans" w:hAnsi="Open Sans" w:eastAsia="Open Sans"/>
                <w:b/>
                <w:i w:val="0"/>
                <w:color w:val="000000"/>
                <w:sz w:val="18"/>
              </w:rPr>
              <w:t>à l’indemnisation</w:t>
            </w:r>
          </w:p>
        </w:tc>
      </w:tr>
      <w:tr>
        <w:trPr>
          <w:trHeight w:hRule="exact" w:val="748"/>
        </w:trPr>
        <w:tc>
          <w:tcPr>
            <w:tcW w:type="dxa" w:w="2270"/>
            <w:tcBorders>
              <w:start w:sz="3.200000000000003" w:val="single" w:color="#AEC5CF"/>
              <w:top w:sz="4.0" w:val="single" w:color="#AEC5CF"/>
              <w:end w:sz="3.9999999999998863" w:val="single" w:color="#AEC5CF"/>
              <w:bottom w:sz="3.199999999999818" w:val="single" w:color="#AEC5CF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4" w:right="432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Décès Perte Totale </w:t>
            </w: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et Irréversible </w:t>
            </w:r>
            <w:r>
              <w:br/>
            </w: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>d’Autonomie (PTIA)</w:t>
            </w:r>
          </w:p>
        </w:tc>
        <w:tc>
          <w:tcPr>
            <w:tcW w:type="dxa" w:w="4824"/>
            <w:tcBorders>
              <w:start w:sz="3.9999999999998863" w:val="single" w:color="#AEC5CF"/>
              <w:top w:sz="4.0" w:val="single" w:color="#AEC5CF"/>
              <w:end w:sz="4.0" w:val="single" w:color="#AEC5CF"/>
              <w:bottom w:sz="3.199999999999818" w:val="single" w:color="#AEC5C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Remboursement au prêteur du capital restant dû au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jour du décès ou de la PTIA dans la limite de la quotité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souscrite </w:t>
            </w:r>
          </w:p>
        </w:tc>
        <w:tc>
          <w:tcPr>
            <w:tcW w:type="dxa" w:w="2336"/>
            <w:tcBorders>
              <w:start w:sz="4.0" w:val="single" w:color="#AEC5CF"/>
              <w:top w:sz="4.0" w:val="single" w:color="#AEC5CF"/>
              <w:end w:sz="4.0" w:val="single" w:color="#AEC5CF"/>
              <w:bottom w:sz="3.199999999999818" w:val="single" w:color="#AEC5C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2" w:after="0"/>
              <w:ind w:left="144" w:right="144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Si Décès seul : 84 ans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Décès / PTIA : 64 ans </w:t>
            </w:r>
          </w:p>
        </w:tc>
        <w:tc>
          <w:tcPr>
            <w:tcW w:type="dxa" w:w="1914"/>
            <w:tcBorders>
              <w:start w:sz="4.0" w:val="single" w:color="#AEC5CF"/>
              <w:top w:sz="4.0" w:val="single" w:color="#AEC5CF"/>
              <w:end w:sz="4.0" w:val="single" w:color="#AEC5CF"/>
              <w:bottom w:sz="3.199999999999818" w:val="single" w:color="#AEC5C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Décès : jusqu’au </w:t>
            </w:r>
            <w:r>
              <w:br/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90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2"/>
              </w:rPr>
              <w:t>ème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anniversaire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PTIA : 67 ans </w:t>
            </w:r>
          </w:p>
        </w:tc>
      </w:tr>
      <w:tr>
        <w:trPr>
          <w:trHeight w:hRule="exact" w:val="744"/>
        </w:trPr>
        <w:tc>
          <w:tcPr>
            <w:tcW w:type="dxa" w:w="2270"/>
            <w:tcBorders>
              <w:start w:sz="3.200000000000003" w:val="single" w:color="#AEC5CF"/>
              <w:top w:sz="3.199999999999818" w:val="single" w:color="#AEC5CF"/>
              <w:end w:sz="3.9999999999998863" w:val="single" w:color="#AEC5CF"/>
              <w:bottom w:sz="3.199999999999818" w:val="single" w:color="#AEC5CF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4" w:right="432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0000"/>
                <w:sz w:val="18"/>
              </w:rPr>
              <w:t xml:space="preserve">Incapacité </w:t>
            </w:r>
            <w:r>
              <w:br/>
            </w:r>
            <w:r>
              <w:rPr>
                <w:rFonts w:ascii="Open Sans" w:hAnsi="Open Sans" w:eastAsia="Open Sans"/>
                <w:b/>
                <w:i w:val="0"/>
                <w:color w:val="000000"/>
                <w:sz w:val="18"/>
              </w:rPr>
              <w:t xml:space="preserve">Temporaire Totale </w:t>
            </w:r>
            <w:r>
              <w:rPr>
                <w:rFonts w:ascii="Open Sans" w:hAnsi="Open Sans" w:eastAsia="Open Sans"/>
                <w:b/>
                <w:i w:val="0"/>
                <w:color w:val="000000"/>
                <w:sz w:val="18"/>
              </w:rPr>
              <w:t>(ITT)</w:t>
            </w:r>
          </w:p>
        </w:tc>
        <w:tc>
          <w:tcPr>
            <w:tcW w:type="dxa" w:w="4824"/>
            <w:tcBorders>
              <w:start w:sz="3.9999999999998863" w:val="single" w:color="#AEC5CF"/>
              <w:top w:sz="3.199999999999818" w:val="single" w:color="#AEC5CF"/>
              <w:end w:sz="4.0" w:val="single" w:color="#AEC5CF"/>
              <w:bottom w:sz="3.199999999999818" w:val="single" w:color="#AEC5C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2" w:after="0"/>
              <w:ind w:left="102" w:right="288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Remboursement au prêteur des échéances de prêt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dans la limite de la quotité souscrite </w:t>
            </w:r>
          </w:p>
        </w:tc>
        <w:tc>
          <w:tcPr>
            <w:tcW w:type="dxa" w:w="2336"/>
            <w:tcBorders>
              <w:start w:sz="4.0" w:val="single" w:color="#AEC5CF"/>
              <w:top w:sz="3.199999999999818" w:val="single" w:color="#AEC5CF"/>
              <w:end w:sz="4.0" w:val="single" w:color="#AEC5CF"/>
              <w:bottom w:sz="3.199999999999818" w:val="single" w:color="#AEC5C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246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64 ans </w:t>
            </w:r>
          </w:p>
        </w:tc>
        <w:tc>
          <w:tcPr>
            <w:tcW w:type="dxa" w:w="1914"/>
            <w:tcBorders>
              <w:start w:sz="4.0" w:val="single" w:color="#AEC5CF"/>
              <w:top w:sz="3.199999999999818" w:val="single" w:color="#AEC5CF"/>
              <w:end w:sz="4.0" w:val="single" w:color="#AEC5CF"/>
              <w:bottom w:sz="3.199999999999818" w:val="single" w:color="#AEC5C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246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67 ans </w:t>
            </w:r>
          </w:p>
        </w:tc>
      </w:tr>
      <w:tr>
        <w:trPr>
          <w:trHeight w:hRule="exact" w:val="748"/>
        </w:trPr>
        <w:tc>
          <w:tcPr>
            <w:tcW w:type="dxa" w:w="2270"/>
            <w:tcBorders>
              <w:start w:sz="3.200000000000003" w:val="single" w:color="#AEC5CF"/>
              <w:top w:sz="3.199999999999818" w:val="single" w:color="#AEC5CF"/>
              <w:end w:sz="3.9999999999998863" w:val="single" w:color="#AEC5CF"/>
              <w:bottom w:sz="4.0" w:val="single" w:color="#AEC5CF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4" w:right="288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0000"/>
                <w:sz w:val="18"/>
              </w:rPr>
              <w:t xml:space="preserve">Invalidité </w:t>
            </w:r>
            <w:r>
              <w:br/>
            </w:r>
            <w:r>
              <w:rPr>
                <w:rFonts w:ascii="Open Sans" w:hAnsi="Open Sans" w:eastAsia="Open Sans"/>
                <w:b/>
                <w:i w:val="0"/>
                <w:color w:val="000000"/>
                <w:sz w:val="18"/>
              </w:rPr>
              <w:t xml:space="preserve">Permanente Totale </w:t>
            </w:r>
            <w:r>
              <w:rPr>
                <w:rFonts w:ascii="Open Sans" w:hAnsi="Open Sans" w:eastAsia="Open Sans"/>
                <w:b/>
                <w:i w:val="0"/>
                <w:color w:val="000000"/>
                <w:sz w:val="18"/>
              </w:rPr>
              <w:t>(IP</w:t>
            </w:r>
            <w:r>
              <w:rPr>
                <w:rFonts w:ascii="Open Sans" w:hAnsi="Open Sans" w:eastAsia="Open Sans"/>
                <w:b/>
                <w:i w:val="0"/>
                <w:color w:val="000000"/>
                <w:sz w:val="18"/>
              </w:rPr>
              <w:t>T</w:t>
            </w:r>
            <w:r>
              <w:rPr>
                <w:rFonts w:ascii="Open Sans" w:hAnsi="Open Sans" w:eastAsia="Open Sans"/>
                <w:b/>
                <w:i w:val="0"/>
                <w:color w:val="000000"/>
                <w:sz w:val="18"/>
              </w:rPr>
              <w:t xml:space="preserve">) </w:t>
            </w:r>
          </w:p>
        </w:tc>
        <w:tc>
          <w:tcPr>
            <w:tcW w:type="dxa" w:w="4824"/>
            <w:tcBorders>
              <w:start w:sz="3.9999999999998863" w:val="single" w:color="#AEC5CF"/>
              <w:top w:sz="3.199999999999818" w:val="single" w:color="#AEC5CF"/>
              <w:end w:sz="4.0" w:val="single" w:color="#AEC5CF"/>
              <w:bottom w:sz="4.0" w:val="single" w:color="#AEC5C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2" w:after="0"/>
              <w:ind w:left="102" w:right="288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Remboursement au prêteur des échéances de prêt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dans la limite de la quotité souscrite </w:t>
            </w:r>
          </w:p>
        </w:tc>
        <w:tc>
          <w:tcPr>
            <w:tcW w:type="dxa" w:w="2336"/>
            <w:tcBorders>
              <w:start w:sz="4.0" w:val="single" w:color="#AEC5CF"/>
              <w:top w:sz="3.199999999999818" w:val="single" w:color="#AEC5CF"/>
              <w:end w:sz="4.0" w:val="single" w:color="#AEC5CF"/>
              <w:bottom w:sz="4.0" w:val="single" w:color="#AEC5C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8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64 ans </w:t>
            </w:r>
          </w:p>
        </w:tc>
        <w:tc>
          <w:tcPr>
            <w:tcW w:type="dxa" w:w="1914"/>
            <w:tcBorders>
              <w:start w:sz="4.0" w:val="single" w:color="#AEC5CF"/>
              <w:top w:sz="3.199999999999818" w:val="single" w:color="#AEC5CF"/>
              <w:end w:sz="4.0" w:val="single" w:color="#AEC5CF"/>
              <w:bottom w:sz="4.0" w:val="single" w:color="#AEC5C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8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67 ans </w:t>
            </w:r>
          </w:p>
        </w:tc>
      </w:tr>
      <w:tr>
        <w:trPr>
          <w:trHeight w:hRule="exact" w:val="746"/>
        </w:trPr>
        <w:tc>
          <w:tcPr>
            <w:tcW w:type="dxa" w:w="2270"/>
            <w:tcBorders>
              <w:start w:sz="3.200000000000003" w:val="single" w:color="#AEC5CF"/>
              <w:top w:sz="4.0" w:val="single" w:color="#AEC5CF"/>
              <w:end w:sz="3.9999999999998863" w:val="single" w:color="#AEC5CF"/>
              <w:bottom w:sz="4.0" w:val="single" w:color="#AEC5CF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4" w:right="864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0000"/>
                <w:sz w:val="18"/>
              </w:rPr>
              <w:t xml:space="preserve">Invalidité </w:t>
            </w:r>
            <w:r>
              <w:br/>
            </w:r>
            <w:r>
              <w:rPr>
                <w:rFonts w:ascii="Open Sans" w:hAnsi="Open Sans" w:eastAsia="Open Sans"/>
                <w:b/>
                <w:i w:val="0"/>
                <w:color w:val="000000"/>
                <w:sz w:val="18"/>
              </w:rPr>
              <w:t xml:space="preserve">Permanente </w:t>
            </w:r>
            <w:r>
              <w:rPr>
                <w:rFonts w:ascii="Open Sans" w:hAnsi="Open Sans" w:eastAsia="Open Sans"/>
                <w:b/>
                <w:i w:val="0"/>
                <w:color w:val="000000"/>
                <w:sz w:val="18"/>
              </w:rPr>
              <w:t>Pa</w:t>
            </w:r>
            <w:r>
              <w:rPr>
                <w:rFonts w:ascii="Open Sans" w:hAnsi="Open Sans" w:eastAsia="Open Sans"/>
                <w:b/>
                <w:i w:val="0"/>
                <w:color w:val="000000"/>
                <w:sz w:val="18"/>
              </w:rPr>
              <w:t>r</w:t>
            </w:r>
            <w:r>
              <w:rPr>
                <w:rFonts w:ascii="Open Sans" w:hAnsi="Open Sans" w:eastAsia="Open Sans"/>
                <w:b/>
                <w:i w:val="0"/>
                <w:color w:val="000000"/>
                <w:sz w:val="18"/>
              </w:rPr>
              <w:t xml:space="preserve">tielle (IPP) </w:t>
            </w:r>
          </w:p>
        </w:tc>
        <w:tc>
          <w:tcPr>
            <w:tcW w:type="dxa" w:w="4824"/>
            <w:tcBorders>
              <w:start w:sz="3.9999999999998863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2" w:right="144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Remboursement au prêteur de (N-33)/33 des </w:t>
            </w:r>
            <w:r>
              <w:br/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échéances dues dans la limite de la quotité souscrite </w:t>
            </w:r>
            <w:r>
              <w:rPr>
                <w:rFonts w:ascii="Open Sans" w:hAnsi="Open Sans" w:eastAsia="Open Sans"/>
                <w:b w:val="0"/>
                <w:i/>
                <w:color w:val="002337"/>
                <w:sz w:val="18"/>
              </w:rPr>
              <w:t>N étant le taux d’incapacité reconnu</w:t>
            </w:r>
          </w:p>
        </w:tc>
        <w:tc>
          <w:tcPr>
            <w:tcW w:type="dxa" w:w="2336"/>
            <w:tcBorders>
              <w:start w:sz="4.0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2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64 ans </w:t>
            </w:r>
          </w:p>
        </w:tc>
        <w:tc>
          <w:tcPr>
            <w:tcW w:type="dxa" w:w="1914"/>
            <w:tcBorders>
              <w:start w:sz="4.0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2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67 ans </w:t>
            </w:r>
          </w:p>
        </w:tc>
      </w:tr>
    </w:tbl>
    <w:p>
      <w:pPr>
        <w:autoSpaceDN w:val="0"/>
        <w:autoSpaceDE w:val="0"/>
        <w:widowControl/>
        <w:spacing w:line="228" w:lineRule="auto" w:before="220" w:after="0"/>
        <w:ind w:left="0" w:right="426" w:firstLine="0"/>
        <w:jc w:val="right"/>
      </w:pP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1 / 4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56.0" w:type="dxa"/>
      </w:tblPr>
      <w:tblGrid>
        <w:gridCol w:w="5689"/>
        <w:gridCol w:w="5689"/>
      </w:tblGrid>
      <w:tr>
        <w:trPr>
          <w:trHeight w:hRule="exact" w:val="522"/>
        </w:trPr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6" w:after="0"/>
              <w:ind w:left="28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902969" cy="2667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969" cy="266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02" w:right="576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759AAB"/>
                <w:sz w:val="12"/>
              </w:rPr>
              <w:t>Zenioo, siège social : 6 cours André Philip, 69100 Villeurbanne. SAS au capital de 1.267.431 €, RCS de Lyon n°884 782 582 –</w:t>
            </w:r>
            <w:r>
              <w:rPr>
                <w:rFonts w:ascii="Open Sans" w:hAnsi="Open Sans" w:eastAsia="Open Sans"/>
                <w:b w:val="0"/>
                <w:i w:val="0"/>
                <w:color w:val="759AAB"/>
                <w:sz w:val="12"/>
              </w:rPr>
              <w:t xml:space="preserve"> </w:t>
            </w:r>
            <w:r>
              <w:rPr>
                <w:rFonts w:ascii="Open Sans" w:hAnsi="Open Sans" w:eastAsia="Open Sans"/>
                <w:b w:val="0"/>
                <w:i w:val="0"/>
                <w:color w:val="759AAB"/>
                <w:sz w:val="12"/>
                <w:u w:val="single"/>
              </w:rPr>
              <w:hyperlink r:id="rId10" w:history="1">
                <w:r>
                  <w:rPr>
                    <w:rStyle w:val="Hyperlink"/>
                  </w:rPr>
                  <w:t>www.zenioo.com</w:t>
                </w:r>
              </w:hyperlink>
            </w:r>
            <w:r>
              <w:rPr>
                <w:rFonts w:ascii="Open Sans" w:hAnsi="Open Sans" w:eastAsia="Open Sans"/>
                <w:b w:val="0"/>
                <w:i w:val="0"/>
                <w:color w:val="759AAB"/>
                <w:sz w:val="12"/>
              </w:rPr>
              <w:t xml:space="preserve"> </w:t>
            </w:r>
            <w:r>
              <w:rPr>
                <w:rFonts w:ascii="Open Sans" w:hAnsi="Open Sans" w:eastAsia="Open Sans"/>
                <w:b w:val="0"/>
                <w:i w:val="0"/>
                <w:color w:val="759AAB"/>
                <w:sz w:val="12"/>
              </w:rPr>
              <w:t xml:space="preserve">Intermédiaire en assurance immatriculé à l’ORIAS sous le n°20 005 879 (www.orias.fr). </w:t>
            </w:r>
          </w:p>
          <w:p>
            <w:pPr>
              <w:autoSpaceDN w:val="0"/>
              <w:autoSpaceDE w:val="0"/>
              <w:widowControl/>
              <w:spacing w:line="228" w:lineRule="auto" w:before="6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759AAB"/>
                <w:sz w:val="12"/>
              </w:rPr>
              <w:t>Autorité de Contrôle Prudentiel et de Résolution, 4 place de Budapest, CS 92459, 75436 Paris Cedex 09.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1906" w:h="16838"/>
          <w:pgMar w:top="160" w:right="244" w:bottom="88" w:left="28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2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152400</wp:posOffset>
            </wp:positionH>
            <wp:positionV relativeFrom="page">
              <wp:posOffset>3975100</wp:posOffset>
            </wp:positionV>
            <wp:extent cx="7226300" cy="1397000"/>
            <wp:wrapNone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226300" cy="13970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30" w:lineRule="auto" w:before="0" w:after="162"/>
        <w:ind w:left="432" w:right="0" w:firstLine="0"/>
        <w:jc w:val="left"/>
      </w:pPr>
      <w:r>
        <w:rPr>
          <w:rFonts w:ascii="Open Sans" w:hAnsi="Open Sans" w:eastAsia="Open Sans"/>
          <w:b/>
          <w:i w:val="0"/>
          <w:color w:val="E52E45"/>
          <w:sz w:val="26"/>
        </w:rPr>
        <w:t xml:space="preserve">Zoom sur l’option bénéficiaire croisé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79" w:type="dxa"/>
      </w:tblPr>
      <w:tblGrid>
        <w:gridCol w:w="5687"/>
        <w:gridCol w:w="5687"/>
      </w:tblGrid>
      <w:tr>
        <w:trPr>
          <w:trHeight w:hRule="exact" w:val="870"/>
        </w:trPr>
        <w:tc>
          <w:tcPr>
            <w:tcW w:type="dxa" w:w="2270"/>
            <w:tcBorders>
              <w:start w:sz="4.0" w:val="single" w:color="#AEC5CF"/>
              <w:top w:sz="4.0" w:val="single" w:color="#AEC5CF"/>
              <w:end w:sz="4.0" w:val="single" w:color="#AEC5CF"/>
              <w:bottom w:sz="3.199999999999932" w:val="single" w:color="#AEC5CF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06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Conditions </w:t>
            </w:r>
          </w:p>
        </w:tc>
        <w:tc>
          <w:tcPr>
            <w:tcW w:type="dxa" w:w="9074"/>
            <w:tcBorders>
              <w:start w:sz="4.0" w:val="single" w:color="#AEC5CF"/>
              <w:top w:sz="4.0" w:val="single" w:color="#AEC5CF"/>
              <w:end w:sz="4.0" w:val="single" w:color="#AEC5CF"/>
              <w:bottom w:sz="3.199999999999932" w:val="single" w:color="#AEC5C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24" w:val="left"/>
              </w:tabs>
              <w:autoSpaceDE w:val="0"/>
              <w:widowControl/>
              <w:spacing w:line="230" w:lineRule="auto" w:before="0" w:after="0"/>
              <w:ind w:left="464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2337"/>
                <w:sz w:val="18"/>
              </w:rPr>
              <w:t xml:space="preserve">o </w:t>
            </w:r>
            <w:r>
              <w:tab/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Assuré de moins de 65 ans </w:t>
            </w:r>
          </w:p>
          <w:p>
            <w:pPr>
              <w:autoSpaceDN w:val="0"/>
              <w:tabs>
                <w:tab w:pos="824" w:val="left"/>
              </w:tabs>
              <w:autoSpaceDE w:val="0"/>
              <w:widowControl/>
              <w:spacing w:line="230" w:lineRule="auto" w:before="12" w:after="0"/>
              <w:ind w:left="464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2337"/>
                <w:sz w:val="18"/>
              </w:rPr>
              <w:t xml:space="preserve">o </w:t>
            </w:r>
            <w:r>
              <w:tab/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Ayant souscrit une assurance emprunteur avec une quotité inférieure à 100 % </w:t>
            </w:r>
          </w:p>
          <w:p>
            <w:pPr>
              <w:autoSpaceDN w:val="0"/>
              <w:tabs>
                <w:tab w:pos="824" w:val="left"/>
              </w:tabs>
              <w:autoSpaceDE w:val="0"/>
              <w:widowControl/>
              <w:spacing w:line="228" w:lineRule="auto" w:before="10" w:after="0"/>
              <w:ind w:left="464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2337"/>
                <w:sz w:val="18"/>
              </w:rPr>
              <w:t xml:space="preserve">o </w:t>
            </w:r>
            <w:r>
              <w:tab/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Montant à garantir entre 20 000 € et 350 000 € </w:t>
            </w:r>
          </w:p>
        </w:tc>
      </w:tr>
      <w:tr>
        <w:trPr>
          <w:trHeight w:hRule="exact" w:val="498"/>
        </w:trPr>
        <w:tc>
          <w:tcPr>
            <w:tcW w:type="dxa" w:w="2270"/>
            <w:tcBorders>
              <w:start w:sz="4.0" w:val="single" w:color="#AEC5CF"/>
              <w:top w:sz="3.199999999999932" w:val="single" w:color="#AEC5CF"/>
              <w:end w:sz="4.0" w:val="single" w:color="#AEC5CF"/>
              <w:bottom w:sz="4.0" w:val="single" w:color="#AEC5CF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2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Garantie </w:t>
            </w:r>
          </w:p>
        </w:tc>
        <w:tc>
          <w:tcPr>
            <w:tcW w:type="dxa" w:w="9074"/>
            <w:tcBorders>
              <w:start w:sz="4.0" w:val="single" w:color="#AEC5CF"/>
              <w:top w:sz="3.199999999999932" w:val="single" w:color="#AEC5CF"/>
              <w:end w:sz="4.0" w:val="single" w:color="#AEC5CF"/>
              <w:bottom w:sz="4.0" w:val="single" w:color="#AEC5C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24" w:val="left"/>
              </w:tabs>
              <w:autoSpaceDE w:val="0"/>
              <w:widowControl/>
              <w:spacing w:line="230" w:lineRule="auto" w:before="0" w:after="0"/>
              <w:ind w:left="464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2337"/>
                <w:sz w:val="18"/>
              </w:rPr>
              <w:t xml:space="preserve">o </w:t>
            </w:r>
            <w:r>
              <w:tab/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Permet de garantir au bénéficiaire de son choix, tout ou partie de la quotité non couverte par le </w:t>
            </w:r>
          </w:p>
          <w:p>
            <w:pPr>
              <w:autoSpaceDN w:val="0"/>
              <w:autoSpaceDE w:val="0"/>
              <w:widowControl/>
              <w:spacing w:line="228" w:lineRule="auto" w:before="10" w:after="0"/>
              <w:ind w:left="824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contrat d’assurance de prêt </w:t>
            </w:r>
          </w:p>
        </w:tc>
      </w:tr>
    </w:tbl>
    <w:p>
      <w:pPr>
        <w:autoSpaceDN w:val="0"/>
        <w:autoSpaceDE w:val="0"/>
        <w:widowControl/>
        <w:spacing w:line="245" w:lineRule="auto" w:before="120" w:after="0"/>
        <w:ind w:left="432" w:right="288" w:firstLine="0"/>
        <w:jc w:val="left"/>
      </w:pP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Pour plus de détails sur le produit vous pouvez vous référer au Document d’Information normalisé sur le Produit (DIP) ou à la 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notice d’informations. </w:t>
      </w:r>
    </w:p>
    <w:p>
      <w:pPr>
        <w:autoSpaceDN w:val="0"/>
        <w:autoSpaceDE w:val="0"/>
        <w:widowControl/>
        <w:spacing w:line="230" w:lineRule="auto" w:before="750" w:after="0"/>
        <w:ind w:left="432" w:right="0" w:firstLine="0"/>
        <w:jc w:val="left"/>
      </w:pPr>
      <w:r>
        <w:rPr>
          <w:rFonts w:ascii="Open Sans" w:hAnsi="Open Sans" w:eastAsia="Open Sans"/>
          <w:b/>
          <w:i w:val="0"/>
          <w:color w:val="E52E45"/>
          <w:sz w:val="26"/>
        </w:rPr>
        <w:t xml:space="preserve">Marché cible </w:t>
      </w:r>
    </w:p>
    <w:p>
      <w:pPr>
        <w:autoSpaceDN w:val="0"/>
        <w:autoSpaceDE w:val="0"/>
        <w:widowControl/>
        <w:spacing w:line="250" w:lineRule="auto" w:before="160" w:after="0"/>
        <w:ind w:left="432" w:right="426" w:firstLine="0"/>
        <w:jc w:val="both"/>
      </w:pP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Toute personne physique ou morale en cours de souscription d’un prêt ou ayant déjà souscrit un prêt, ayant le besoin 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d’assurance pour couvrir le nouveau prêt ou celui déjà existant (reprise Hamon / Bourquin) sous réserve de répondre aux 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limites fixées dans la notice d’information du produit. </w:t>
      </w:r>
    </w:p>
    <w:p>
      <w:pPr>
        <w:autoSpaceDN w:val="0"/>
        <w:autoSpaceDE w:val="0"/>
        <w:widowControl/>
        <w:spacing w:line="230" w:lineRule="auto" w:before="90" w:after="0"/>
        <w:ind w:left="432" w:right="0" w:firstLine="0"/>
        <w:jc w:val="left"/>
      </w:pPr>
      <w:r>
        <w:rPr>
          <w:rFonts w:ascii="Open Sans" w:hAnsi="Open Sans" w:eastAsia="Open Sans"/>
          <w:b/>
          <w:i w:val="0"/>
          <w:color w:val="759AAB"/>
          <w:sz w:val="18"/>
        </w:rPr>
        <w:t>Cœur de cible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: 30-40 ans, CSP </w:t>
      </w:r>
      <w:r>
        <w:rPr>
          <w:rFonts w:ascii="Open Sans" w:hAnsi="Open Sans" w:eastAsia="Open Sans"/>
          <w:b w:val="0"/>
          <w:i w:val="0"/>
          <w:color w:val="002337"/>
          <w:sz w:val="22"/>
        </w:rPr>
        <w:t>+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, non-fumeur </w:t>
      </w:r>
    </w:p>
    <w:p>
      <w:pPr>
        <w:autoSpaceDN w:val="0"/>
        <w:autoSpaceDE w:val="0"/>
        <w:widowControl/>
        <w:spacing w:line="230" w:lineRule="auto" w:before="754" w:after="0"/>
        <w:ind w:left="432" w:right="0" w:firstLine="0"/>
        <w:jc w:val="left"/>
      </w:pPr>
      <w:r>
        <w:rPr>
          <w:rFonts w:ascii="Open Sans" w:hAnsi="Open Sans" w:eastAsia="Open Sans"/>
          <w:b/>
          <w:i w:val="0"/>
          <w:color w:val="E52E45"/>
          <w:sz w:val="26"/>
        </w:rPr>
        <w:t xml:space="preserve"> Aucun questionnaire de santé pour les prêts &lt; à 200 000 € (Loi Lemoine) </w:t>
      </w:r>
    </w:p>
    <w:p>
      <w:pPr>
        <w:autoSpaceDN w:val="0"/>
        <w:autoSpaceDE w:val="0"/>
        <w:widowControl/>
        <w:spacing w:line="245" w:lineRule="auto" w:before="102" w:after="50"/>
        <w:ind w:left="432" w:right="430" w:firstLine="0"/>
        <w:jc w:val="both"/>
      </w:pPr>
      <w:r>
        <w:rPr>
          <w:rFonts w:ascii="Open Sans" w:hAnsi="Open Sans" w:eastAsia="Open Sans"/>
          <w:b/>
          <w:i w:val="0"/>
          <w:color w:val="002337"/>
          <w:sz w:val="18"/>
        </w:rPr>
        <w:t>Loi Lemoine · Nouveauté Juin 2022 :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 Suppression du questionnaire de santé pour les prêts dont le montant assuré est 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inférieur à 200 000 € par assuré (en tenant compte de l’encours assuré de l’ensemble des contrats de crédit) et dont l’échéance 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>du prêt arrive avant le 60</w:t>
      </w:r>
      <w:r>
        <w:rPr>
          <w:rFonts w:ascii="Open Sans" w:hAnsi="Open Sans" w:eastAsia="Open Sans"/>
          <w:b w:val="0"/>
          <w:i w:val="0"/>
          <w:color w:val="002337"/>
          <w:sz w:val="12"/>
        </w:rPr>
        <w:t>ème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 anniversaire de l'assuré. </w:t>
      </w:r>
    </w:p>
    <w:p>
      <w:pPr>
        <w:sectPr>
          <w:pgSz w:w="11906" w:h="16838"/>
          <w:pgMar w:top="360" w:right="244" w:bottom="88" w:left="28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8" w:lineRule="auto" w:before="0" w:after="0"/>
        <w:ind w:left="432" w:right="0" w:firstLine="0"/>
        <w:jc w:val="left"/>
      </w:pPr>
      <w:r>
        <w:rPr>
          <w:rFonts w:ascii="Open Sans" w:hAnsi="Open Sans" w:eastAsia="Open Sans"/>
          <w:b/>
          <w:i w:val="0"/>
          <w:color w:val="002337"/>
          <w:sz w:val="18"/>
        </w:rPr>
        <w:t xml:space="preserve">Conditions : </w:t>
      </w:r>
    </w:p>
    <w:p>
      <w:pPr>
        <w:autoSpaceDN w:val="0"/>
        <w:tabs>
          <w:tab w:pos="1152" w:val="left"/>
        </w:tabs>
        <w:autoSpaceDE w:val="0"/>
        <w:widowControl/>
        <w:spacing w:line="230" w:lineRule="auto" w:before="10" w:after="0"/>
        <w:ind w:left="792" w:right="0" w:firstLine="0"/>
        <w:jc w:val="left"/>
      </w:pPr>
      <w:r>
        <w:rPr>
          <w:rFonts w:ascii="Courier New" w:hAnsi="Courier New" w:eastAsia="Courier New"/>
          <w:b w:val="0"/>
          <w:i w:val="0"/>
          <w:color w:val="002337"/>
          <w:sz w:val="18"/>
        </w:rPr>
        <w:t xml:space="preserve">o </w:t>
      </w:r>
      <w:r>
        <w:tab/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Objet du prêt : Résidence principale </w:t>
      </w:r>
    </w:p>
    <w:p>
      <w:pPr>
        <w:autoSpaceDN w:val="0"/>
        <w:tabs>
          <w:tab w:pos="1152" w:val="left"/>
        </w:tabs>
        <w:autoSpaceDE w:val="0"/>
        <w:widowControl/>
        <w:spacing w:line="230" w:lineRule="auto" w:before="28" w:after="0"/>
        <w:ind w:left="792" w:right="0" w:firstLine="0"/>
        <w:jc w:val="left"/>
      </w:pPr>
      <w:r>
        <w:rPr>
          <w:rFonts w:ascii="Courier New" w:hAnsi="Courier New" w:eastAsia="Courier New"/>
          <w:b w:val="0"/>
          <w:i w:val="0"/>
          <w:color w:val="002337"/>
          <w:sz w:val="18"/>
        </w:rPr>
        <w:t xml:space="preserve">o </w:t>
      </w:r>
      <w:r>
        <w:tab/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Regroupement de crédits non éligible </w:t>
      </w:r>
    </w:p>
    <w:p>
      <w:pPr>
        <w:sectPr>
          <w:type w:val="continuous"/>
          <w:pgSz w:w="11906" w:h="16838"/>
          <w:pgMar w:top="360" w:right="244" w:bottom="88" w:left="288" w:header="720" w:footer="720" w:gutter="0"/>
          <w:cols w:num="2" w:equalWidth="0">
            <w:col w:w="5059" w:space="0"/>
            <w:col w:w="6314" w:space="0"/>
          </w:cols>
          <w:docGrid w:linePitch="360"/>
        </w:sectPr>
      </w:pPr>
    </w:p>
    <w:p>
      <w:pPr>
        <w:autoSpaceDN w:val="0"/>
        <w:tabs>
          <w:tab w:pos="1078" w:val="left"/>
          <w:tab w:pos="1434" w:val="left"/>
        </w:tabs>
        <w:autoSpaceDE w:val="0"/>
        <w:widowControl/>
        <w:spacing w:line="245" w:lineRule="auto" w:before="0" w:after="0"/>
        <w:ind w:left="720" w:right="288" w:firstLine="0"/>
        <w:jc w:val="left"/>
      </w:pPr>
      <w:r>
        <w:rPr>
          <w:rFonts w:ascii="Open Sans" w:hAnsi="Open Sans" w:eastAsia="Open Sans"/>
          <w:b/>
          <w:i w:val="0"/>
          <w:color w:val="002337"/>
          <w:sz w:val="18"/>
        </w:rPr>
        <w:t xml:space="preserve">Indemnisation :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2337"/>
          <w:sz w:val="18"/>
        </w:rPr>
        <w:t xml:space="preserve">o </w:t>
      </w:r>
      <w:r>
        <w:tab/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Couverture des pathologies antérieures à la date </w:t>
      </w:r>
      <w:r>
        <w:tab/>
      </w:r>
      <w:r>
        <w:tab/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d’effet </w:t>
      </w:r>
    </w:p>
    <w:p>
      <w:pPr>
        <w:autoSpaceDN w:val="0"/>
        <w:autoSpaceDE w:val="0"/>
        <w:widowControl/>
        <w:spacing w:line="228" w:lineRule="auto" w:before="7644" w:after="8"/>
        <w:ind w:left="0" w:right="426" w:firstLine="0"/>
        <w:jc w:val="right"/>
      </w:pP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2 / 4 </w:t>
      </w:r>
    </w:p>
    <w:p>
      <w:pPr>
        <w:sectPr>
          <w:type w:val="nextColumn"/>
          <w:pgSz w:w="11906" w:h="16838"/>
          <w:pgMar w:top="360" w:right="244" w:bottom="88" w:left="288" w:header="720" w:footer="720" w:gutter="0"/>
          <w:cols w:num="2" w:equalWidth="0">
            <w:col w:w="5059" w:space="0"/>
            <w:col w:w="6314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2.0" w:type="dxa"/>
      </w:tblPr>
      <w:tblGrid>
        <w:gridCol w:w="5687"/>
        <w:gridCol w:w="5687"/>
      </w:tblGrid>
      <w:tr>
        <w:trPr>
          <w:trHeight w:hRule="exact" w:val="462"/>
        </w:trPr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28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902969" cy="2667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969" cy="266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2" w:right="576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759AAB"/>
                <w:sz w:val="12"/>
              </w:rPr>
              <w:t xml:space="preserve">Zenioo, siège social : 6 cours André Philip, 69100 Villeurbanne. SAS au capital de 1.267.431 €, RCS de Lyon n°884 782 582 – </w:t>
            </w:r>
            <w:r>
              <w:rPr>
                <w:rFonts w:ascii="Open Sans" w:hAnsi="Open Sans" w:eastAsia="Open Sans"/>
                <w:b w:val="0"/>
                <w:i w:val="0"/>
                <w:color w:val="759AAB"/>
                <w:sz w:val="12"/>
                <w:u w:val="single"/>
              </w:rPr>
              <w:t>www.zenioo.com</w:t>
            </w:r>
            <w:r>
              <w:rPr>
                <w:rFonts w:ascii="Open Sans" w:hAnsi="Open Sans" w:eastAsia="Open Sans"/>
                <w:b w:val="0"/>
                <w:i w:val="0"/>
                <w:color w:val="759AAB"/>
                <w:sz w:val="12"/>
              </w:rPr>
              <w:t xml:space="preserve"> </w:t>
            </w:r>
            <w:r>
              <w:rPr>
                <w:rFonts w:ascii="Open Sans" w:hAnsi="Open Sans" w:eastAsia="Open Sans"/>
                <w:b w:val="0"/>
                <w:i w:val="0"/>
                <w:color w:val="759AAB"/>
                <w:sz w:val="12"/>
              </w:rPr>
              <w:t xml:space="preserve">Intermédiaire en assurance immatriculé à l’ORIAS sous le n°20 005 879 (www.orias.fr). </w:t>
            </w:r>
          </w:p>
          <w:p>
            <w:pPr>
              <w:autoSpaceDN w:val="0"/>
              <w:autoSpaceDE w:val="0"/>
              <w:widowControl/>
              <w:spacing w:line="228" w:lineRule="auto" w:before="6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759AAB"/>
                <w:sz w:val="12"/>
              </w:rPr>
              <w:t>Autorité de Contrôle Prudentiel et de Résolution, 4 place de Budapest, CS 92459, 75436 Paris Cedex 09.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1906" w:h="16838"/>
          <w:pgMar w:top="360" w:right="244" w:bottom="88" w:left="28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2"/>
        <w:ind w:left="0" w:right="0"/>
      </w:pPr>
    </w:p>
    <w:p>
      <w:pPr>
        <w:autoSpaceDN w:val="0"/>
        <w:autoSpaceDE w:val="0"/>
        <w:widowControl/>
        <w:spacing w:line="230" w:lineRule="auto" w:before="0" w:after="162"/>
        <w:ind w:left="432" w:right="0" w:firstLine="0"/>
        <w:jc w:val="left"/>
      </w:pPr>
      <w:r>
        <w:rPr>
          <w:rFonts w:ascii="Open Sans" w:hAnsi="Open Sans" w:eastAsia="Open Sans"/>
          <w:b/>
          <w:i w:val="0"/>
          <w:color w:val="E52E45"/>
          <w:sz w:val="26"/>
        </w:rPr>
        <w:t xml:space="preserve">Conditions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79" w:type="dxa"/>
      </w:tblPr>
      <w:tblGrid>
        <w:gridCol w:w="5687"/>
        <w:gridCol w:w="5687"/>
      </w:tblGrid>
      <w:tr>
        <w:trPr>
          <w:trHeight w:hRule="exact" w:val="256"/>
        </w:trPr>
        <w:tc>
          <w:tcPr>
            <w:tcW w:type="dxa" w:w="2270"/>
            <w:tcBorders>
              <w:start w:sz="4.0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Délai d’attente </w:t>
            </w:r>
          </w:p>
        </w:tc>
        <w:tc>
          <w:tcPr>
            <w:tcW w:type="dxa" w:w="9074"/>
            <w:tcBorders>
              <w:start w:sz="4.0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24" w:val="left"/>
              </w:tabs>
              <w:autoSpaceDE w:val="0"/>
              <w:widowControl/>
              <w:spacing w:line="230" w:lineRule="auto" w:before="0" w:after="0"/>
              <w:ind w:left="464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2337"/>
                <w:sz w:val="18"/>
              </w:rPr>
              <w:t xml:space="preserve">o </w:t>
            </w:r>
            <w:r>
              <w:tab/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Aucun </w:t>
            </w:r>
          </w:p>
        </w:tc>
      </w:tr>
      <w:tr>
        <w:trPr>
          <w:trHeight w:hRule="exact" w:val="252"/>
        </w:trPr>
        <w:tc>
          <w:tcPr>
            <w:tcW w:type="dxa" w:w="2270"/>
            <w:tcBorders>
              <w:start w:sz="4.0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Franchises (ITT / IPT) </w:t>
            </w:r>
          </w:p>
        </w:tc>
        <w:tc>
          <w:tcPr>
            <w:tcW w:type="dxa" w:w="9074"/>
            <w:tcBorders>
              <w:start w:sz="4.0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24" w:val="left"/>
              </w:tabs>
              <w:autoSpaceDE w:val="0"/>
              <w:widowControl/>
              <w:spacing w:line="230" w:lineRule="auto" w:before="0" w:after="0"/>
              <w:ind w:left="464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2337"/>
                <w:sz w:val="18"/>
              </w:rPr>
              <w:t xml:space="preserve">o </w:t>
            </w:r>
            <w:r>
              <w:tab/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Au choix : 30, 60, 90, 120, 180 jours </w:t>
            </w:r>
          </w:p>
        </w:tc>
      </w:tr>
      <w:tr>
        <w:trPr>
          <w:trHeight w:hRule="exact" w:val="500"/>
        </w:trPr>
        <w:tc>
          <w:tcPr>
            <w:tcW w:type="dxa" w:w="2270"/>
            <w:tcBorders>
              <w:start w:sz="4.0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4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Couverture du dos </w:t>
            </w:r>
          </w:p>
        </w:tc>
        <w:tc>
          <w:tcPr>
            <w:tcW w:type="dxa" w:w="9074"/>
            <w:tcBorders>
              <w:start w:sz="4.0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24" w:val="left"/>
              </w:tabs>
              <w:autoSpaceDE w:val="0"/>
              <w:widowControl/>
              <w:spacing w:line="230" w:lineRule="auto" w:before="2" w:after="0"/>
              <w:ind w:left="464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2337"/>
                <w:sz w:val="18"/>
              </w:rPr>
              <w:t xml:space="preserve">o </w:t>
            </w:r>
            <w:r>
              <w:tab/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En inclusion : couvert si intervention chirurgicale </w:t>
            </w:r>
          </w:p>
          <w:p>
            <w:pPr>
              <w:autoSpaceDN w:val="0"/>
              <w:tabs>
                <w:tab w:pos="824" w:val="left"/>
              </w:tabs>
              <w:autoSpaceDE w:val="0"/>
              <w:widowControl/>
              <w:spacing w:line="228" w:lineRule="auto" w:before="10" w:after="0"/>
              <w:ind w:left="464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2337"/>
                <w:sz w:val="18"/>
              </w:rPr>
              <w:t xml:space="preserve">o </w:t>
            </w:r>
            <w:r>
              <w:tab/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Rachat des conditions avec l’option « rachat des mal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ad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i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es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non o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b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j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ec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t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i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ves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» </w:t>
            </w:r>
          </w:p>
        </w:tc>
      </w:tr>
      <w:tr>
        <w:trPr>
          <w:trHeight w:hRule="exact" w:val="502"/>
        </w:trPr>
        <w:tc>
          <w:tcPr>
            <w:tcW w:type="dxa" w:w="2270"/>
            <w:tcBorders>
              <w:start w:sz="4.0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4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Couverture du psy </w:t>
            </w:r>
          </w:p>
        </w:tc>
        <w:tc>
          <w:tcPr>
            <w:tcW w:type="dxa" w:w="9074"/>
            <w:tcBorders>
              <w:start w:sz="4.0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24" w:val="left"/>
              </w:tabs>
              <w:autoSpaceDE w:val="0"/>
              <w:widowControl/>
              <w:spacing w:line="230" w:lineRule="auto" w:before="2" w:after="0"/>
              <w:ind w:left="464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2337"/>
                <w:sz w:val="18"/>
              </w:rPr>
              <w:t xml:space="preserve">o </w:t>
            </w:r>
            <w:r>
              <w:tab/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En inclusion :  couvert à partir de 10 jours d'hospitalisation </w:t>
            </w:r>
          </w:p>
          <w:p>
            <w:pPr>
              <w:autoSpaceDN w:val="0"/>
              <w:tabs>
                <w:tab w:pos="824" w:val="left"/>
              </w:tabs>
              <w:autoSpaceDE w:val="0"/>
              <w:widowControl/>
              <w:spacing w:line="230" w:lineRule="auto" w:before="10" w:after="0"/>
              <w:ind w:left="464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2337"/>
                <w:sz w:val="18"/>
              </w:rPr>
              <w:t xml:space="preserve">o </w:t>
            </w:r>
            <w:r>
              <w:tab/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Rachat des conditions avec l’option « rachat des mal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ad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i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es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non o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b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j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ec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t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i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ves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» </w:t>
            </w:r>
          </w:p>
        </w:tc>
      </w:tr>
      <w:tr>
        <w:trPr>
          <w:trHeight w:hRule="exact" w:val="4394"/>
        </w:trPr>
        <w:tc>
          <w:tcPr>
            <w:tcW w:type="dxa" w:w="2270"/>
            <w:tcBorders>
              <w:start w:sz="4.0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68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Couverture des sports </w:t>
            </w:r>
          </w:p>
        </w:tc>
        <w:tc>
          <w:tcPr>
            <w:tcW w:type="dxa" w:w="9074"/>
            <w:tcBorders>
              <w:start w:sz="4.0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24" w:val="left"/>
              </w:tabs>
              <w:autoSpaceDE w:val="0"/>
              <w:widowControl/>
              <w:spacing w:line="245" w:lineRule="auto" w:before="0" w:after="0"/>
              <w:ind w:left="464" w:right="864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2337"/>
                <w:sz w:val="18"/>
              </w:rPr>
              <w:t xml:space="preserve">o </w:t>
            </w:r>
            <w:r>
              <w:tab/>
            </w: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>Sports de montagne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: couverture de l’escalade et alpinisme si pratique encadré par du </w:t>
            </w:r>
            <w:r>
              <w:tab/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personnel qualifié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2"/>
              </w:rPr>
              <w:t xml:space="preserve"> (*)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et en dessous de 3000 mètres. Exclu au-delà de 3000 mètres. </w:t>
            </w:r>
          </w:p>
          <w:p>
            <w:pPr>
              <w:autoSpaceDN w:val="0"/>
              <w:tabs>
                <w:tab w:pos="824" w:val="left"/>
              </w:tabs>
              <w:autoSpaceDE w:val="0"/>
              <w:widowControl/>
              <w:spacing w:line="245" w:lineRule="auto" w:before="8" w:after="0"/>
              <w:ind w:left="464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2337"/>
                <w:sz w:val="18"/>
              </w:rPr>
              <w:t xml:space="preserve">o </w:t>
            </w:r>
            <w:r>
              <w:tab/>
            </w: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>Sports de neige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: couverture du ski alpin et de fond, du monoski et du surf amateur sur piste </w:t>
            </w:r>
            <w:r>
              <w:tab/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ainsi que le patinage. Couverture du hors-piste si encadré par du personnel qualifié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2"/>
              </w:rPr>
              <w:t>(*)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. Exclusion </w:t>
            </w:r>
            <w:r>
              <w:tab/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des autres sports de neige. </w:t>
            </w:r>
          </w:p>
          <w:p>
            <w:pPr>
              <w:autoSpaceDN w:val="0"/>
              <w:tabs>
                <w:tab w:pos="824" w:val="left"/>
              </w:tabs>
              <w:autoSpaceDE w:val="0"/>
              <w:widowControl/>
              <w:spacing w:line="245" w:lineRule="auto" w:before="12" w:after="0"/>
              <w:ind w:left="464" w:right="144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2337"/>
                <w:sz w:val="18"/>
              </w:rPr>
              <w:t xml:space="preserve">o </w:t>
            </w:r>
            <w:r>
              <w:tab/>
            </w: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Sports automobiles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: couverture des sports automobiles, de la moto ou motocross en pratique </w:t>
            </w:r>
            <w:r>
              <w:tab/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amateur. Si compétition, couvert si encadré par du personnel qualifié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2"/>
              </w:rPr>
              <w:t>(*)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. </w:t>
            </w:r>
          </w:p>
          <w:p>
            <w:pPr>
              <w:autoSpaceDN w:val="0"/>
              <w:tabs>
                <w:tab w:pos="824" w:val="left"/>
              </w:tabs>
              <w:autoSpaceDE w:val="0"/>
              <w:widowControl/>
              <w:spacing w:line="245" w:lineRule="auto" w:before="10" w:after="0"/>
              <w:ind w:left="464" w:right="144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2337"/>
                <w:sz w:val="18"/>
              </w:rPr>
              <w:t xml:space="preserve">o </w:t>
            </w:r>
            <w:r>
              <w:tab/>
            </w: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Sports aquatiques, nautiques :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couverture de la plongée à moins de 20 mètres de profondeur </w:t>
            </w:r>
            <w:r>
              <w:tab/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et encadré par du personnel qualifié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2"/>
              </w:rPr>
              <w:t>(*)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, exclusion au-delà. Couverture de la voile, du </w:t>
            </w:r>
            <w:r>
              <w:br/>
            </w:r>
            <w:r>
              <w:tab/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motonautisme et yachting amateur. Si compétition, couvert si encadré par du personnel qualifié </w:t>
            </w:r>
            <w:r>
              <w:tab/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2"/>
              </w:rPr>
              <w:t>(*)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.</w:t>
            </w:r>
          </w:p>
          <w:p>
            <w:pPr>
              <w:autoSpaceDN w:val="0"/>
              <w:tabs>
                <w:tab w:pos="824" w:val="left"/>
              </w:tabs>
              <w:autoSpaceDE w:val="0"/>
              <w:widowControl/>
              <w:spacing w:line="245" w:lineRule="auto" w:before="8" w:after="0"/>
              <w:ind w:left="464" w:right="72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2337"/>
                <w:sz w:val="18"/>
              </w:rPr>
              <w:t xml:space="preserve">o </w:t>
            </w:r>
            <w:r>
              <w:tab/>
            </w: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>Sports équestres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: couverture des sports équestres à l’exclusion des concours complets, </w:t>
            </w:r>
            <w:r>
              <w:tab/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courses d'obstacle, dressage de chevaux, polo et rodéo. </w:t>
            </w:r>
          </w:p>
          <w:p>
            <w:pPr>
              <w:autoSpaceDN w:val="0"/>
              <w:tabs>
                <w:tab w:pos="824" w:val="left"/>
              </w:tabs>
              <w:autoSpaceDE w:val="0"/>
              <w:widowControl/>
              <w:spacing w:line="230" w:lineRule="auto" w:before="10" w:after="0"/>
              <w:ind w:left="464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2337"/>
                <w:sz w:val="18"/>
              </w:rPr>
              <w:t xml:space="preserve">o </w:t>
            </w:r>
            <w:r>
              <w:tab/>
            </w: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>Sports de combat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: couverture des sports de combat si encadré par du personnel qualifié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2"/>
              </w:rPr>
              <w:t>(*)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. </w:t>
            </w:r>
          </w:p>
          <w:p>
            <w:pPr>
              <w:autoSpaceDN w:val="0"/>
              <w:tabs>
                <w:tab w:pos="824" w:val="left"/>
              </w:tabs>
              <w:autoSpaceDE w:val="0"/>
              <w:widowControl/>
              <w:spacing w:line="245" w:lineRule="auto" w:before="10" w:after="0"/>
              <w:ind w:left="464" w:right="144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2337"/>
                <w:sz w:val="18"/>
              </w:rPr>
              <w:t xml:space="preserve">o </w:t>
            </w:r>
            <w:r>
              <w:tab/>
            </w: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>Sports aériens sans moteur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couverture des sports aérien si encadré par du personnel qualifié </w:t>
            </w:r>
            <w:r>
              <w:tab/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2"/>
              </w:rPr>
              <w:t>(*)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.</w:t>
            </w:r>
          </w:p>
          <w:p>
            <w:pPr>
              <w:autoSpaceDN w:val="0"/>
              <w:autoSpaceDE w:val="0"/>
              <w:widowControl/>
              <w:spacing w:line="245" w:lineRule="auto" w:before="10" w:after="0"/>
              <w:ind w:left="848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0000"/>
                <w:sz w:val="18"/>
              </w:rPr>
              <w:t xml:space="preserve">Rachat des exclusions sportives possibles sous étude </w:t>
            </w:r>
            <w:r>
              <w:br/>
            </w:r>
            <w:r>
              <w:rPr>
                <w:rFonts w:ascii="Open Sans" w:hAnsi="Open Sans" w:eastAsia="Open Sans"/>
                <w:b w:val="0"/>
                <w:i w:val="0"/>
                <w:color w:val="759AAB"/>
                <w:sz w:val="16"/>
              </w:rPr>
              <w:t>(*) personnel qualifié :  titulaire de brevets et autorisations r</w:t>
            </w:r>
            <w:r>
              <w:rPr>
                <w:rFonts w:ascii="Open Sans" w:hAnsi="Open Sans" w:eastAsia="Open Sans"/>
                <w:b w:val="0"/>
                <w:i w:val="0"/>
                <w:color w:val="759AAB"/>
                <w:sz w:val="16"/>
              </w:rPr>
              <w:t>é</w:t>
            </w:r>
            <w:r>
              <w:rPr>
                <w:rFonts w:ascii="Open Sans" w:hAnsi="Open Sans" w:eastAsia="Open Sans"/>
                <w:b w:val="0"/>
                <w:i w:val="0"/>
                <w:color w:val="759AAB"/>
                <w:sz w:val="16"/>
              </w:rPr>
              <w:t>g</w:t>
            </w:r>
            <w:r>
              <w:rPr>
                <w:rFonts w:ascii="Open Sans" w:hAnsi="Open Sans" w:eastAsia="Open Sans"/>
                <w:b w:val="0"/>
                <w:i w:val="0"/>
                <w:color w:val="759AAB"/>
                <w:sz w:val="16"/>
              </w:rPr>
              <w:t>leme</w:t>
            </w:r>
            <w:r>
              <w:rPr>
                <w:rFonts w:ascii="Open Sans" w:hAnsi="Open Sans" w:eastAsia="Open Sans"/>
                <w:b w:val="0"/>
                <w:i w:val="0"/>
                <w:color w:val="759AAB"/>
                <w:sz w:val="16"/>
              </w:rPr>
              <w:t>n</w:t>
            </w:r>
            <w:r>
              <w:rPr>
                <w:rFonts w:ascii="Open Sans" w:hAnsi="Open Sans" w:eastAsia="Open Sans"/>
                <w:b w:val="0"/>
                <w:i w:val="0"/>
                <w:color w:val="759AAB"/>
                <w:sz w:val="16"/>
              </w:rPr>
              <w:t>t</w:t>
            </w:r>
            <w:r>
              <w:rPr>
                <w:rFonts w:ascii="Open Sans" w:hAnsi="Open Sans" w:eastAsia="Open Sans"/>
                <w:b w:val="0"/>
                <w:i w:val="0"/>
                <w:color w:val="759AAB"/>
                <w:sz w:val="16"/>
              </w:rPr>
              <w:t>a</w:t>
            </w:r>
            <w:r>
              <w:rPr>
                <w:rFonts w:ascii="Open Sans" w:hAnsi="Open Sans" w:eastAsia="Open Sans"/>
                <w:b w:val="0"/>
                <w:i w:val="0"/>
                <w:color w:val="759AAB"/>
                <w:sz w:val="16"/>
              </w:rPr>
              <w:t>ire</w:t>
            </w:r>
            <w:r>
              <w:rPr>
                <w:rFonts w:ascii="Open Sans" w:hAnsi="Open Sans" w:eastAsia="Open Sans"/>
                <w:b w:val="0"/>
                <w:i w:val="0"/>
                <w:color w:val="759AAB"/>
                <w:sz w:val="16"/>
              </w:rPr>
              <w:t xml:space="preserve">s </w:t>
            </w:r>
            <w:r>
              <w:rPr>
                <w:rFonts w:ascii="Open Sans" w:hAnsi="Open Sans" w:eastAsia="Open Sans"/>
                <w:b w:val="0"/>
                <w:i w:val="0"/>
                <w:color w:val="759AAB"/>
                <w:sz w:val="16"/>
              </w:rPr>
              <w:t>n</w:t>
            </w:r>
            <w:r>
              <w:rPr>
                <w:rFonts w:ascii="Open Sans" w:hAnsi="Open Sans" w:eastAsia="Open Sans"/>
                <w:b w:val="0"/>
                <w:i w:val="0"/>
                <w:color w:val="759AAB"/>
                <w:sz w:val="16"/>
              </w:rPr>
              <w:t>éc</w:t>
            </w:r>
            <w:r>
              <w:rPr>
                <w:rFonts w:ascii="Open Sans" w:hAnsi="Open Sans" w:eastAsia="Open Sans"/>
                <w:b w:val="0"/>
                <w:i w:val="0"/>
                <w:color w:val="759AAB"/>
                <w:sz w:val="16"/>
              </w:rPr>
              <w:t>e</w:t>
            </w:r>
            <w:r>
              <w:rPr>
                <w:rFonts w:ascii="Open Sans" w:hAnsi="Open Sans" w:eastAsia="Open Sans"/>
                <w:b w:val="0"/>
                <w:i w:val="0"/>
                <w:color w:val="759AAB"/>
                <w:sz w:val="16"/>
              </w:rPr>
              <w:t>ssa</w:t>
            </w:r>
            <w:r>
              <w:rPr>
                <w:rFonts w:ascii="Open Sans" w:hAnsi="Open Sans" w:eastAsia="Open Sans"/>
                <w:b w:val="0"/>
                <w:i w:val="0"/>
                <w:color w:val="759AAB"/>
                <w:sz w:val="16"/>
              </w:rPr>
              <w:t>ire</w:t>
            </w:r>
            <w:r>
              <w:rPr>
                <w:rFonts w:ascii="Open Sans" w:hAnsi="Open Sans" w:eastAsia="Open Sans"/>
                <w:b w:val="0"/>
                <w:i w:val="0"/>
                <w:color w:val="759AAB"/>
                <w:sz w:val="16"/>
              </w:rPr>
              <w:t xml:space="preserve">s </w:t>
            </w:r>
            <w:r>
              <w:rPr>
                <w:rFonts w:ascii="Open Sans" w:hAnsi="Open Sans" w:eastAsia="Open Sans"/>
                <w:b w:val="0"/>
                <w:i w:val="0"/>
                <w:color w:val="759AAB"/>
                <w:sz w:val="16"/>
              </w:rPr>
              <w:t>à</w:t>
            </w:r>
            <w:r>
              <w:rPr>
                <w:rFonts w:ascii="Open Sans" w:hAnsi="Open Sans" w:eastAsia="Open Sans"/>
                <w:b w:val="0"/>
                <w:i w:val="0"/>
                <w:color w:val="759AAB"/>
                <w:sz w:val="16"/>
              </w:rPr>
              <w:t>u</w:t>
            </w:r>
            <w:r>
              <w:rPr>
                <w:rFonts w:ascii="Open Sans" w:hAnsi="Open Sans" w:eastAsia="Open Sans"/>
                <w:b w:val="0"/>
                <w:i w:val="0"/>
                <w:color w:val="759AAB"/>
                <w:sz w:val="16"/>
              </w:rPr>
              <w:t>n</w:t>
            </w:r>
            <w:r>
              <w:rPr>
                <w:rFonts w:ascii="Open Sans" w:hAnsi="Open Sans" w:eastAsia="Open Sans"/>
                <w:b w:val="0"/>
                <w:i w:val="0"/>
                <w:color w:val="759AAB"/>
                <w:sz w:val="16"/>
              </w:rPr>
              <w:t xml:space="preserve">tel encadrement </w:t>
            </w:r>
          </w:p>
        </w:tc>
      </w:tr>
      <w:tr>
        <w:trPr>
          <w:trHeight w:hRule="exact" w:val="500"/>
        </w:trPr>
        <w:tc>
          <w:tcPr>
            <w:tcW w:type="dxa" w:w="2270"/>
            <w:tcBorders>
              <w:start w:sz="4.0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2" w:right="72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Mi-temps </w:t>
            </w:r>
            <w:r>
              <w:br/>
            </w: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thérapeutique </w:t>
            </w:r>
          </w:p>
        </w:tc>
        <w:tc>
          <w:tcPr>
            <w:tcW w:type="dxa" w:w="9074"/>
            <w:tcBorders>
              <w:start w:sz="4.0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24" w:val="left"/>
              </w:tabs>
              <w:autoSpaceDE w:val="0"/>
              <w:widowControl/>
              <w:spacing w:line="230" w:lineRule="auto" w:before="122" w:after="0"/>
              <w:ind w:left="464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2337"/>
                <w:sz w:val="18"/>
              </w:rPr>
              <w:t xml:space="preserve">o </w:t>
            </w:r>
            <w:r>
              <w:tab/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50 % du montant garanti en ITT pendant 180 jours </w:t>
            </w:r>
          </w:p>
        </w:tc>
      </w:tr>
      <w:tr>
        <w:trPr>
          <w:trHeight w:hRule="exact" w:val="504"/>
        </w:trPr>
        <w:tc>
          <w:tcPr>
            <w:tcW w:type="dxa" w:w="2270"/>
            <w:tcBorders>
              <w:start w:sz="4.0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102" w:right="576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Exonération des </w:t>
            </w: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cotisations </w:t>
            </w:r>
          </w:p>
        </w:tc>
        <w:tc>
          <w:tcPr>
            <w:tcW w:type="dxa" w:w="9074"/>
            <w:tcBorders>
              <w:start w:sz="4.0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24" w:val="left"/>
              </w:tabs>
              <w:autoSpaceDE w:val="0"/>
              <w:widowControl/>
              <w:spacing w:line="230" w:lineRule="auto" w:before="124" w:after="0"/>
              <w:ind w:left="464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2337"/>
                <w:sz w:val="18"/>
              </w:rPr>
              <w:t xml:space="preserve">o </w:t>
            </w:r>
            <w:r>
              <w:tab/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Non incluse </w:t>
            </w:r>
          </w:p>
        </w:tc>
      </w:tr>
      <w:tr>
        <w:trPr>
          <w:trHeight w:hRule="exact" w:val="392"/>
        </w:trPr>
        <w:tc>
          <w:tcPr>
            <w:tcW w:type="dxa" w:w="2270"/>
            <w:tcBorders>
              <w:start w:sz="4.0" w:val="single" w:color="#AEC5CF"/>
              <w:top w:sz="4.0" w:val="single" w:color="#AEC5CF"/>
              <w:end w:sz="4.0" w:val="single" w:color="#AEC5CF"/>
              <w:bottom w:sz="3.200000000000273" w:val="single" w:color="#AEC5CF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6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Territorialité </w:t>
            </w:r>
          </w:p>
        </w:tc>
        <w:tc>
          <w:tcPr>
            <w:tcW w:type="dxa" w:w="9074"/>
            <w:tcBorders>
              <w:start w:sz="4.0" w:val="single" w:color="#AEC5CF"/>
              <w:top w:sz="4.0" w:val="single" w:color="#AEC5CF"/>
              <w:end w:sz="4.0" w:val="single" w:color="#AEC5CF"/>
              <w:bottom w:sz="3.200000000000273" w:val="single" w:color="#AEC5C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24" w:val="left"/>
              </w:tabs>
              <w:autoSpaceDE w:val="0"/>
              <w:widowControl/>
              <w:spacing w:line="230" w:lineRule="auto" w:before="66" w:after="0"/>
              <w:ind w:left="464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2337"/>
                <w:sz w:val="18"/>
              </w:rPr>
              <w:t xml:space="preserve">o </w:t>
            </w:r>
            <w:r>
              <w:tab/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Couverture dans le monde entier </w:t>
            </w:r>
          </w:p>
        </w:tc>
      </w:tr>
      <w:tr>
        <w:trPr>
          <w:trHeight w:hRule="exact" w:val="500"/>
        </w:trPr>
        <w:tc>
          <w:tcPr>
            <w:tcW w:type="dxa" w:w="2270"/>
            <w:tcBorders>
              <w:start w:sz="4.0" w:val="single" w:color="#AEC5CF"/>
              <w:top w:sz="3.200000000000273" w:val="single" w:color="#AEC5CF"/>
              <w:end w:sz="4.0" w:val="single" w:color="#AEC5CF"/>
              <w:bottom w:sz="4.0" w:val="single" w:color="#AEC5CF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2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Lieu de résidence </w:t>
            </w:r>
          </w:p>
        </w:tc>
        <w:tc>
          <w:tcPr>
            <w:tcW w:type="dxa" w:w="9074"/>
            <w:tcBorders>
              <w:start w:sz="4.0" w:val="single" w:color="#AEC5CF"/>
              <w:top w:sz="3.200000000000273" w:val="single" w:color="#AEC5CF"/>
              <w:end w:sz="4.0" w:val="single" w:color="#AEC5CF"/>
              <w:bottom w:sz="4.0" w:val="single" w:color="#AEC5C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24" w:val="left"/>
              </w:tabs>
              <w:autoSpaceDE w:val="0"/>
              <w:widowControl/>
              <w:spacing w:line="230" w:lineRule="auto" w:before="0" w:after="0"/>
              <w:ind w:left="464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2337"/>
                <w:sz w:val="18"/>
              </w:rPr>
              <w:t xml:space="preserve">o </w:t>
            </w:r>
            <w:r>
              <w:tab/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Résidence en France ou dans un pays membre de l’union Européenne et résidence fiscale située </w:t>
            </w:r>
          </w:p>
          <w:p>
            <w:pPr>
              <w:autoSpaceDN w:val="0"/>
              <w:autoSpaceDE w:val="0"/>
              <w:widowControl/>
              <w:spacing w:line="228" w:lineRule="auto" w:before="10" w:after="0"/>
              <w:ind w:left="824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dans l’Union Européenne </w:t>
            </w:r>
          </w:p>
        </w:tc>
      </w:tr>
      <w:tr>
        <w:trPr>
          <w:trHeight w:hRule="exact" w:val="256"/>
        </w:trPr>
        <w:tc>
          <w:tcPr>
            <w:tcW w:type="dxa" w:w="2270"/>
            <w:tcBorders>
              <w:start w:sz="4.0" w:val="single" w:color="#AEC5CF"/>
              <w:top w:sz="4.0" w:val="single" w:color="#AEC5CF"/>
              <w:end w:sz="4.0" w:val="single" w:color="#AEC5CF"/>
              <w:bottom w:sz="3.199999999999818" w:val="single" w:color="#AEC5CF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Prêt en devise </w:t>
            </w:r>
          </w:p>
        </w:tc>
        <w:tc>
          <w:tcPr>
            <w:tcW w:type="dxa" w:w="9074"/>
            <w:tcBorders>
              <w:start w:sz="4.0" w:val="single" w:color="#AEC5CF"/>
              <w:top w:sz="4.0" w:val="single" w:color="#AEC5CF"/>
              <w:end w:sz="4.0" w:val="single" w:color="#AEC5CF"/>
              <w:bottom w:sz="3.199999999999818" w:val="single" w:color="#AEC5C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24" w:val="left"/>
              </w:tabs>
              <w:autoSpaceDE w:val="0"/>
              <w:widowControl/>
              <w:spacing w:line="230" w:lineRule="auto" w:before="2" w:after="0"/>
              <w:ind w:left="464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2337"/>
                <w:sz w:val="18"/>
              </w:rPr>
              <w:t xml:space="preserve">o </w:t>
            </w:r>
            <w:r>
              <w:tab/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Non accepté </w:t>
            </w:r>
          </w:p>
        </w:tc>
      </w:tr>
      <w:tr>
        <w:trPr>
          <w:trHeight w:hRule="exact" w:val="744"/>
        </w:trPr>
        <w:tc>
          <w:tcPr>
            <w:tcW w:type="dxa" w:w="2270"/>
            <w:tcBorders>
              <w:start w:sz="4.0" w:val="single" w:color="#AEC5CF"/>
              <w:top w:sz="3.199999999999818" w:val="single" w:color="#AEC5CF"/>
              <w:end w:sz="4.0" w:val="single" w:color="#AEC5CF"/>
              <w:bottom w:sz="4.0" w:val="single" w:color="#AEC5CF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2" w:right="864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Modalités de </w:t>
            </w: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paiement des </w:t>
            </w: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cotisations </w:t>
            </w:r>
          </w:p>
        </w:tc>
        <w:tc>
          <w:tcPr>
            <w:tcW w:type="dxa" w:w="9074"/>
            <w:tcBorders>
              <w:start w:sz="4.0" w:val="single" w:color="#AEC5CF"/>
              <w:top w:sz="3.199999999999818" w:val="single" w:color="#AEC5CF"/>
              <w:end w:sz="4.0" w:val="single" w:color="#AEC5CF"/>
              <w:bottom w:sz="4.0" w:val="single" w:color="#AEC5C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24" w:val="left"/>
              </w:tabs>
              <w:autoSpaceDE w:val="0"/>
              <w:widowControl/>
              <w:spacing w:line="228" w:lineRule="auto" w:before="16" w:after="0"/>
              <w:ind w:left="464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2337"/>
                <w:sz w:val="18"/>
              </w:rPr>
              <w:t xml:space="preserve">o </w:t>
            </w:r>
            <w:r>
              <w:tab/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Prélèvement automatique </w:t>
            </w:r>
          </w:p>
          <w:p>
            <w:pPr>
              <w:autoSpaceDN w:val="0"/>
              <w:tabs>
                <w:tab w:pos="824" w:val="left"/>
              </w:tabs>
              <w:autoSpaceDE w:val="0"/>
              <w:widowControl/>
              <w:spacing w:line="230" w:lineRule="auto" w:before="10" w:after="0"/>
              <w:ind w:left="464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2337"/>
                <w:sz w:val="18"/>
              </w:rPr>
              <w:t xml:space="preserve">o </w:t>
            </w:r>
            <w:r>
              <w:tab/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Périodicité mensuelle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2"/>
              </w:rPr>
              <w:t>(*)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, trimestrielle, semestrielle ou annuelle au choix de l’assuré </w:t>
            </w:r>
          </w:p>
          <w:p>
            <w:pPr>
              <w:autoSpaceDN w:val="0"/>
              <w:autoSpaceDE w:val="0"/>
              <w:widowControl/>
              <w:spacing w:line="230" w:lineRule="auto" w:before="8" w:after="0"/>
              <w:ind w:left="848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759AAB"/>
                <w:sz w:val="16"/>
              </w:rPr>
              <w:t>(*) sous réserve d’un montant minimum de 12 €</w:t>
            </w:r>
          </w:p>
        </w:tc>
      </w:tr>
      <w:tr>
        <w:trPr>
          <w:trHeight w:hRule="exact" w:val="256"/>
        </w:trPr>
        <w:tc>
          <w:tcPr>
            <w:tcW w:type="dxa" w:w="2270"/>
            <w:tcBorders>
              <w:start w:sz="4.0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Association </w:t>
            </w:r>
          </w:p>
        </w:tc>
        <w:tc>
          <w:tcPr>
            <w:tcW w:type="dxa" w:w="9074"/>
            <w:tcBorders>
              <w:start w:sz="4.0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24" w:val="left"/>
              </w:tabs>
              <w:autoSpaceDE w:val="0"/>
              <w:widowControl/>
              <w:spacing w:line="230" w:lineRule="auto" w:before="0" w:after="0"/>
              <w:ind w:left="464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2337"/>
                <w:sz w:val="18"/>
              </w:rPr>
              <w:t xml:space="preserve">o </w:t>
            </w:r>
            <w:r>
              <w:tab/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6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€ par an </w:t>
            </w:r>
          </w:p>
        </w:tc>
      </w:tr>
      <w:tr>
        <w:trPr>
          <w:trHeight w:hRule="exact" w:val="256"/>
        </w:trPr>
        <w:tc>
          <w:tcPr>
            <w:tcW w:type="dxa" w:w="2270"/>
            <w:tcBorders>
              <w:start w:sz="4.0" w:val="single" w:color="#AEC5CF"/>
              <w:top w:sz="4.0" w:val="single" w:color="#AEC5CF"/>
              <w:end w:sz="4.0" w:val="single" w:color="#AEC5CF"/>
              <w:bottom w:sz="3.2000000000007276" w:val="single" w:color="#AEC5CF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Frais de dossier </w:t>
            </w:r>
          </w:p>
        </w:tc>
        <w:tc>
          <w:tcPr>
            <w:tcW w:type="dxa" w:w="9074"/>
            <w:tcBorders>
              <w:start w:sz="4.0" w:val="single" w:color="#AEC5CF"/>
              <w:top w:sz="4.0" w:val="single" w:color="#AEC5CF"/>
              <w:end w:sz="4.0" w:val="single" w:color="#AEC5CF"/>
              <w:bottom w:sz="3.2000000000007276" w:val="single" w:color="#AEC5C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24" w:val="left"/>
              </w:tabs>
              <w:autoSpaceDE w:val="0"/>
              <w:widowControl/>
              <w:spacing w:line="230" w:lineRule="auto" w:before="0" w:after="0"/>
              <w:ind w:left="464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2337"/>
                <w:sz w:val="18"/>
              </w:rPr>
              <w:t xml:space="preserve">o </w:t>
            </w:r>
            <w:r>
              <w:tab/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25 € par assuré </w:t>
            </w:r>
          </w:p>
        </w:tc>
      </w:tr>
      <w:tr>
        <w:trPr>
          <w:trHeight w:hRule="exact" w:val="500"/>
        </w:trPr>
        <w:tc>
          <w:tcPr>
            <w:tcW w:type="dxa" w:w="2270"/>
            <w:tcBorders>
              <w:start w:sz="4.0" w:val="single" w:color="#AEC5CF"/>
              <w:top w:sz="3.2000000000007276" w:val="single" w:color="#AEC5CF"/>
              <w:end w:sz="4.0" w:val="single" w:color="#AEC5CF"/>
              <w:bottom w:sz="4.0" w:val="single" w:color="#AEC5CF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2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Frais de courtage </w:t>
            </w:r>
          </w:p>
        </w:tc>
        <w:tc>
          <w:tcPr>
            <w:tcW w:type="dxa" w:w="9074"/>
            <w:tcBorders>
              <w:start w:sz="4.0" w:val="single" w:color="#AEC5CF"/>
              <w:top w:sz="3.2000000000007276" w:val="single" w:color="#AEC5CF"/>
              <w:end w:sz="4.0" w:val="single" w:color="#AEC5CF"/>
              <w:bottom w:sz="4.0" w:val="single" w:color="#AEC5C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24" w:val="left"/>
              </w:tabs>
              <w:autoSpaceDE w:val="0"/>
              <w:widowControl/>
              <w:spacing w:line="230" w:lineRule="auto" w:before="0" w:after="0"/>
              <w:ind w:left="464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2337"/>
                <w:sz w:val="18"/>
              </w:rPr>
              <w:t xml:space="preserve">o </w:t>
            </w:r>
            <w:r>
              <w:tab/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Jusqu’à 500 € par assuré à votre main. </w:t>
            </w:r>
          </w:p>
          <w:p>
            <w:pPr>
              <w:autoSpaceDN w:val="0"/>
              <w:tabs>
                <w:tab w:pos="824" w:val="left"/>
              </w:tabs>
              <w:autoSpaceDE w:val="0"/>
              <w:widowControl/>
              <w:spacing w:line="230" w:lineRule="auto" w:before="8" w:after="0"/>
              <w:ind w:left="464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2337"/>
                <w:sz w:val="18"/>
              </w:rPr>
              <w:t xml:space="preserve">o </w:t>
            </w:r>
            <w:r>
              <w:tab/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Ces frais vous sont intégralement versés. </w:t>
            </w:r>
          </w:p>
        </w:tc>
      </w:tr>
    </w:tbl>
    <w:p>
      <w:pPr>
        <w:autoSpaceDN w:val="0"/>
        <w:autoSpaceDE w:val="0"/>
        <w:widowControl/>
        <w:spacing w:line="230" w:lineRule="auto" w:before="362" w:after="0"/>
        <w:ind w:left="432" w:right="0" w:firstLine="0"/>
        <w:jc w:val="left"/>
      </w:pPr>
      <w:r>
        <w:rPr>
          <w:rFonts w:ascii="Open Sans" w:hAnsi="Open Sans" w:eastAsia="Open Sans"/>
          <w:b/>
          <w:i w:val="0"/>
          <w:color w:val="E52E45"/>
          <w:sz w:val="26"/>
        </w:rPr>
        <w:t xml:space="preserve">Rémunération </w:t>
      </w:r>
    </w:p>
    <w:p>
      <w:pPr>
        <w:autoSpaceDN w:val="0"/>
        <w:autoSpaceDE w:val="0"/>
        <w:widowControl/>
        <w:spacing w:line="228" w:lineRule="auto" w:before="102" w:after="0"/>
        <w:ind w:left="432" w:right="0" w:firstLine="0"/>
        <w:jc w:val="left"/>
      </w:pP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En tant que distributeur de produits d’assurance, il vous appartient de vérifier que les modalités de rémunération prévues </w:t>
      </w:r>
    </w:p>
    <w:p>
      <w:pPr>
        <w:autoSpaceDN w:val="0"/>
        <w:autoSpaceDE w:val="0"/>
        <w:widowControl/>
        <w:spacing w:line="230" w:lineRule="auto" w:before="10" w:after="0"/>
        <w:ind w:left="432" w:right="0" w:firstLine="0"/>
        <w:jc w:val="left"/>
      </w:pP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ne sont pas de nature à créer un risque de conflit d’intérêts qui serait préjudiciable à votre client. </w:t>
      </w:r>
    </w:p>
    <w:p>
      <w:pPr>
        <w:autoSpaceDN w:val="0"/>
        <w:autoSpaceDE w:val="0"/>
        <w:widowControl/>
        <w:spacing w:line="230" w:lineRule="auto" w:before="8" w:after="0"/>
        <w:ind w:left="432" w:right="0" w:firstLine="0"/>
        <w:jc w:val="left"/>
      </w:pP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Commissionnement au choix : </w:t>
      </w:r>
    </w:p>
    <w:p>
      <w:pPr>
        <w:autoSpaceDN w:val="0"/>
        <w:tabs>
          <w:tab w:pos="1152" w:val="left"/>
        </w:tabs>
        <w:autoSpaceDE w:val="0"/>
        <w:widowControl/>
        <w:spacing w:line="230" w:lineRule="auto" w:before="10" w:after="0"/>
        <w:ind w:left="792" w:right="0" w:firstLine="0"/>
        <w:jc w:val="left"/>
      </w:pPr>
      <w:r>
        <w:rPr>
          <w:rFonts w:ascii="Courier New" w:hAnsi="Courier New" w:eastAsia="Courier New"/>
          <w:b w:val="0"/>
          <w:i w:val="0"/>
          <w:color w:val="002337"/>
          <w:sz w:val="18"/>
        </w:rPr>
        <w:t xml:space="preserve">o </w:t>
      </w:r>
      <w:r>
        <w:tab/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Linéaire : 8 %, 10 %, 12 %, 15 % </w:t>
      </w:r>
    </w:p>
    <w:p>
      <w:pPr>
        <w:autoSpaceDN w:val="0"/>
        <w:tabs>
          <w:tab w:pos="1152" w:val="left"/>
        </w:tabs>
        <w:autoSpaceDE w:val="0"/>
        <w:widowControl/>
        <w:spacing w:line="230" w:lineRule="auto" w:before="28" w:after="0"/>
        <w:ind w:left="792" w:right="0" w:firstLine="0"/>
        <w:jc w:val="left"/>
      </w:pPr>
      <w:r>
        <w:rPr>
          <w:rFonts w:ascii="Courier New" w:hAnsi="Courier New" w:eastAsia="Courier New"/>
          <w:b w:val="0"/>
          <w:i w:val="0"/>
          <w:color w:val="002337"/>
          <w:sz w:val="18"/>
        </w:rPr>
        <w:t xml:space="preserve">o </w:t>
      </w:r>
      <w:r>
        <w:tab/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Escompte : 20/10, 30/10, 40/10, 50/10 </w:t>
      </w:r>
    </w:p>
    <w:p>
      <w:pPr>
        <w:autoSpaceDN w:val="0"/>
        <w:autoSpaceDE w:val="0"/>
        <w:widowControl/>
        <w:spacing w:line="228" w:lineRule="auto" w:before="190" w:after="0"/>
        <w:ind w:left="432" w:right="0" w:firstLine="0"/>
        <w:jc w:val="left"/>
      </w:pP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Le tarif du produit est basé sur un taux de commissionnement de 40/10. </w:t>
      </w:r>
    </w:p>
    <w:p>
      <w:pPr>
        <w:autoSpaceDN w:val="0"/>
        <w:autoSpaceDE w:val="0"/>
        <w:widowControl/>
        <w:spacing w:line="228" w:lineRule="auto" w:before="2430" w:after="0"/>
        <w:ind w:left="0" w:right="426" w:firstLine="0"/>
        <w:jc w:val="right"/>
      </w:pP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3 / 5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52.0" w:type="dxa"/>
      </w:tblPr>
      <w:tblGrid>
        <w:gridCol w:w="5687"/>
        <w:gridCol w:w="5687"/>
      </w:tblGrid>
      <w:tr>
        <w:trPr>
          <w:trHeight w:hRule="exact" w:val="522"/>
        </w:trPr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6" w:after="0"/>
              <w:ind w:left="28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902969" cy="2667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969" cy="266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02" w:right="288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759AAB"/>
                <w:sz w:val="12"/>
              </w:rPr>
              <w:t>Siège social : 6 cours André Philip, 69100 Villeurbanne –</w:t>
            </w:r>
            <w:r>
              <w:rPr>
                <w:rFonts w:ascii="Open Sans" w:hAnsi="Open Sans" w:eastAsia="Open Sans"/>
                <w:b w:val="0"/>
                <w:i w:val="0"/>
                <w:color w:val="759AAB"/>
                <w:sz w:val="12"/>
              </w:rPr>
              <w:t xml:space="preserve"> </w:t>
            </w:r>
            <w:r>
              <w:rPr>
                <w:rFonts w:ascii="Open Sans" w:hAnsi="Open Sans" w:eastAsia="Open Sans"/>
                <w:b w:val="0"/>
                <w:i w:val="0"/>
                <w:color w:val="759AAB"/>
                <w:sz w:val="12"/>
                <w:u w:val="single"/>
              </w:rPr>
              <w:hyperlink r:id="rId10" w:history="1">
                <w:r>
                  <w:rPr>
                    <w:rStyle w:val="Hyperlink"/>
                  </w:rPr>
                  <w:t>www.zenioo.com</w:t>
                </w:r>
              </w:hyperlink>
            </w:r>
            <w:r>
              <w:rPr>
                <w:rFonts w:ascii="Open Sans" w:hAnsi="Open Sans" w:eastAsia="Open Sans"/>
                <w:b w:val="0"/>
                <w:i w:val="0"/>
                <w:color w:val="759AAB"/>
                <w:sz w:val="12"/>
              </w:rPr>
              <w:t xml:space="preserve"> </w:t>
            </w:r>
            <w:r>
              <w:br/>
            </w:r>
            <w:r>
              <w:rPr>
                <w:rFonts w:ascii="Open Sans" w:hAnsi="Open Sans" w:eastAsia="Open Sans"/>
                <w:b w:val="0"/>
                <w:i w:val="0"/>
                <w:color w:val="759AAB"/>
                <w:sz w:val="12"/>
              </w:rPr>
              <w:t xml:space="preserve">SAS au capital de 1.267.431 € euros, RCS de LYON n°884782582, intermédiaire en assurance immatriculé à l'ORIAS sous le n°200 058 79 (www.orias.fr) </w:t>
            </w:r>
            <w:r>
              <w:rPr>
                <w:rFonts w:ascii="Open Sans" w:hAnsi="Open Sans" w:eastAsia="Open Sans"/>
                <w:b w:val="0"/>
                <w:i w:val="0"/>
                <w:color w:val="759AAB"/>
                <w:sz w:val="12"/>
              </w:rPr>
              <w:t>Autorité de contrôle prudentiel et de résolution - 4 place de Budapest - CS 92459 - 75436 Paris Cedex 09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360" w:right="244" w:bottom="88" w:left="28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444500</wp:posOffset>
            </wp:positionH>
            <wp:positionV relativeFrom="page">
              <wp:posOffset>457200</wp:posOffset>
            </wp:positionV>
            <wp:extent cx="6642100" cy="8255000"/>
            <wp:wrapNone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82550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30" w:lineRule="auto" w:before="0" w:after="0"/>
        <w:ind w:left="52" w:right="0" w:firstLine="0"/>
        <w:jc w:val="left"/>
      </w:pPr>
      <w:r>
        <w:rPr>
          <w:rFonts w:ascii="Open Sans" w:hAnsi="Open Sans" w:eastAsia="Open Sans"/>
          <w:b/>
          <w:i w:val="0"/>
          <w:color w:val="E52E45"/>
          <w:sz w:val="26"/>
        </w:rPr>
        <w:t xml:space="preserve">La conformité en toute simplicité ! </w:t>
      </w:r>
    </w:p>
    <w:p>
      <w:pPr>
        <w:autoSpaceDN w:val="0"/>
        <w:autoSpaceDE w:val="0"/>
        <w:widowControl/>
        <w:spacing w:line="245" w:lineRule="auto" w:before="202" w:after="0"/>
        <w:ind w:left="52" w:right="720" w:firstLine="0"/>
        <w:jc w:val="left"/>
      </w:pPr>
      <w:r>
        <w:rPr>
          <w:rFonts w:ascii="Open Sans" w:hAnsi="Open Sans" w:eastAsia="Open Sans"/>
          <w:b/>
          <w:i w:val="0"/>
          <w:color w:val="002337"/>
          <w:sz w:val="18"/>
        </w:rPr>
        <w:t xml:space="preserve">La gouvernance produit </w:t>
      </w:r>
      <w:r>
        <w:br/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Dans le cadre de notre démarche d’amélioration continue de la qualité de nos produits, faites-nous part de vos 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retours si vous constatez que soit : </w:t>
      </w:r>
    </w:p>
    <w:p>
      <w:pPr>
        <w:autoSpaceDN w:val="0"/>
        <w:tabs>
          <w:tab w:pos="772" w:val="left"/>
        </w:tabs>
        <w:autoSpaceDE w:val="0"/>
        <w:widowControl/>
        <w:spacing w:line="245" w:lineRule="auto" w:before="8" w:after="0"/>
        <w:ind w:left="412" w:right="720" w:firstLine="0"/>
        <w:jc w:val="left"/>
      </w:pPr>
      <w:r>
        <w:rPr>
          <w:rFonts w:ascii="Courier New" w:hAnsi="Courier New" w:eastAsia="Courier New"/>
          <w:b w:val="0"/>
          <w:i w:val="0"/>
          <w:color w:val="002337"/>
          <w:sz w:val="18"/>
        </w:rPr>
        <w:t xml:space="preserve">o 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>le produit n’est pas en adéquation avec les intérêts, objectifs et caractéristiques du marché cible précisé ci-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dessus ; </w:t>
      </w:r>
    </w:p>
    <w:p>
      <w:pPr>
        <w:autoSpaceDN w:val="0"/>
        <w:tabs>
          <w:tab w:pos="772" w:val="left"/>
        </w:tabs>
        <w:autoSpaceDE w:val="0"/>
        <w:widowControl/>
        <w:spacing w:line="245" w:lineRule="auto" w:before="8" w:after="0"/>
        <w:ind w:left="412" w:right="720" w:firstLine="0"/>
        <w:jc w:val="left"/>
      </w:pPr>
      <w:r>
        <w:rPr>
          <w:rFonts w:ascii="Courier New" w:hAnsi="Courier New" w:eastAsia="Courier New"/>
          <w:b w:val="0"/>
          <w:i w:val="0"/>
          <w:color w:val="002337"/>
          <w:sz w:val="18"/>
        </w:rPr>
        <w:t xml:space="preserve">o 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des circonstances relatives au produit sont susceptibles d’avoir des répercussions défavorables pour le 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client ; </w:t>
      </w:r>
    </w:p>
    <w:p>
      <w:pPr>
        <w:autoSpaceDN w:val="0"/>
        <w:tabs>
          <w:tab w:pos="408" w:val="left"/>
          <w:tab w:pos="764" w:val="left"/>
        </w:tabs>
        <w:autoSpaceDE w:val="0"/>
        <w:widowControl/>
        <w:spacing w:line="245" w:lineRule="auto" w:before="10" w:after="0"/>
        <w:ind w:left="52" w:right="720" w:firstLine="0"/>
        <w:jc w:val="left"/>
      </w:pPr>
      <w:r>
        <w:rPr>
          <w:rFonts w:ascii="Courier New" w:hAnsi="Courier New" w:eastAsia="Courier New"/>
          <w:b w:val="0"/>
          <w:i w:val="0"/>
          <w:color w:val="002337"/>
          <w:sz w:val="18"/>
        </w:rPr>
        <w:t xml:space="preserve">o </w:t>
      </w:r>
      <w:r>
        <w:tab/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les modalités de rémunération proposées pour le produit vous placent dans une situation de conflit </w:t>
      </w:r>
      <w:r>
        <w:tab/>
      </w:r>
      <w:r>
        <w:tab/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d’intérêt vis-à-vis du client ; </w:t>
      </w:r>
      <w:r>
        <w:br/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à partir de la messagerie instantanée mise à disposition depuis notre plateforme de vente, ou via votre délégué 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régional. </w:t>
      </w:r>
    </w:p>
    <w:p>
      <w:pPr>
        <w:autoSpaceDN w:val="0"/>
        <w:autoSpaceDE w:val="0"/>
        <w:widowControl/>
        <w:spacing w:line="245" w:lineRule="auto" w:before="170" w:after="0"/>
        <w:ind w:left="52" w:right="720" w:firstLine="0"/>
        <w:jc w:val="left"/>
      </w:pPr>
      <w:r>
        <w:rPr>
          <w:rFonts w:ascii="Open Sans" w:hAnsi="Open Sans" w:eastAsia="Open Sans"/>
          <w:b/>
          <w:i w:val="0"/>
          <w:color w:val="002337"/>
          <w:sz w:val="18"/>
        </w:rPr>
        <w:t xml:space="preserve">La réglementation LCBFT </w:t>
      </w:r>
      <w:r>
        <w:br/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Au regard du risque faible du produit, vous devez appliquer a minima un niveau de </w:t>
      </w:r>
      <w:r>
        <w:rPr>
          <w:rFonts w:ascii="Open Sans" w:hAnsi="Open Sans" w:eastAsia="Open Sans"/>
          <w:b/>
          <w:i w:val="0"/>
          <w:color w:val="002337"/>
          <w:sz w:val="18"/>
        </w:rPr>
        <w:t>vigilance simplifiée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 au titre du </w:t>
      </w:r>
    </w:p>
    <w:p>
      <w:pPr>
        <w:autoSpaceDN w:val="0"/>
        <w:autoSpaceDE w:val="0"/>
        <w:widowControl/>
        <w:spacing w:line="228" w:lineRule="auto" w:before="32" w:after="0"/>
        <w:ind w:left="52" w:right="0" w:firstLine="0"/>
        <w:jc w:val="left"/>
      </w:pP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titre VI du livre V du code monétaire et financier. </w:t>
      </w:r>
    </w:p>
    <w:p>
      <w:pPr>
        <w:autoSpaceDN w:val="0"/>
        <w:autoSpaceDE w:val="0"/>
        <w:widowControl/>
        <w:spacing w:line="228" w:lineRule="auto" w:before="30" w:after="240"/>
        <w:ind w:left="52" w:right="0" w:firstLine="0"/>
        <w:jc w:val="left"/>
      </w:pPr>
      <w:r>
        <w:rPr>
          <w:rFonts w:ascii="Open Sans" w:hAnsi="Open Sans" w:eastAsia="Open Sans"/>
          <w:b w:val="0"/>
          <w:i w:val="0"/>
          <w:color w:val="002337"/>
          <w:sz w:val="18"/>
        </w:rPr>
        <w:t>Concrètement cela signifie que vous devez collecter les informations d’identification suivants :</w:t>
      </w:r>
    </w:p>
    <w:p>
      <w:pPr>
        <w:sectPr>
          <w:pgSz w:w="11906" w:h="16838"/>
          <w:pgMar w:top="528" w:right="650" w:bottom="88" w:left="8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30" w:lineRule="auto" w:before="0" w:after="0"/>
        <w:ind w:left="0" w:right="476" w:firstLine="0"/>
        <w:jc w:val="right"/>
      </w:pPr>
      <w:r>
        <w:rPr>
          <w:rFonts w:ascii="Open Sans" w:hAnsi="Open Sans" w:eastAsia="Open Sans"/>
          <w:b/>
          <w:i w:val="0"/>
          <w:color w:val="002337"/>
          <w:sz w:val="16"/>
        </w:rPr>
        <w:t xml:space="preserve">Client personne physique </w:t>
      </w:r>
    </w:p>
    <w:p>
      <w:pPr>
        <w:sectPr>
          <w:type w:val="continuous"/>
          <w:pgSz w:w="11906" w:h="16838"/>
          <w:pgMar w:top="528" w:right="650" w:bottom="88" w:left="820" w:header="720" w:footer="720" w:gutter="0"/>
          <w:cols w:num="2" w:equalWidth="0">
            <w:col w:w="5930" w:space="0"/>
            <w:col w:w="4505" w:space="0"/>
          </w:cols>
          <w:docGrid w:linePitch="360"/>
        </w:sectPr>
      </w:pPr>
    </w:p>
    <w:p>
      <w:pPr>
        <w:autoSpaceDN w:val="0"/>
        <w:autoSpaceDE w:val="0"/>
        <w:widowControl/>
        <w:spacing w:line="288" w:lineRule="auto" w:before="0" w:after="2"/>
        <w:ind w:left="432" w:right="1008" w:firstLine="0"/>
        <w:jc w:val="center"/>
      </w:pPr>
      <w:r>
        <w:rPr>
          <w:rFonts w:ascii="Open Sans" w:hAnsi="Open Sans" w:eastAsia="Open Sans"/>
          <w:b/>
          <w:i w:val="0"/>
          <w:color w:val="002337"/>
          <w:sz w:val="16"/>
        </w:rPr>
        <w:t xml:space="preserve">Client personne morale </w:t>
      </w:r>
      <w:r>
        <w:br/>
      </w:r>
      <w:r>
        <w:rPr>
          <w:rFonts w:ascii="Open Sans" w:hAnsi="Open Sans" w:eastAsia="Open Sans"/>
          <w:b w:val="0"/>
          <w:i w:val="0"/>
          <w:color w:val="002337"/>
          <w:sz w:val="16"/>
        </w:rPr>
        <w:t xml:space="preserve">Forme juridique, dénomination sociale, </w:t>
      </w:r>
    </w:p>
    <w:p>
      <w:pPr>
        <w:sectPr>
          <w:type w:val="nextColumn"/>
          <w:pgSz w:w="11906" w:h="16838"/>
          <w:pgMar w:top="528" w:right="650" w:bottom="88" w:left="820" w:header="720" w:footer="720" w:gutter="0"/>
          <w:cols w:num="2" w:equalWidth="0">
            <w:col w:w="5930" w:space="0"/>
            <w:col w:w="4505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80.0" w:type="dxa"/>
      </w:tblPr>
      <w:tblGrid>
        <w:gridCol w:w="3479"/>
        <w:gridCol w:w="3479"/>
        <w:gridCol w:w="3479"/>
      </w:tblGrid>
      <w:tr>
        <w:trPr>
          <w:trHeight w:hRule="exact" w:val="246"/>
        </w:trPr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6"/>
              </w:rPr>
              <w:t xml:space="preserve">Client potentiel </w:t>
            </w:r>
          </w:p>
        </w:tc>
        <w:tc>
          <w:tcPr>
            <w:tcW w:type="dxa" w:w="3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" w:after="0"/>
              <w:ind w:left="416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6"/>
              </w:rPr>
              <w:t xml:space="preserve">Nom, prénoms, date et lieu de naissance </w:t>
            </w:r>
          </w:p>
        </w:tc>
        <w:tc>
          <w:tcPr>
            <w:tcW w:type="dxa" w:w="3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" w:after="0"/>
              <w:ind w:left="172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6"/>
              </w:rPr>
              <w:t xml:space="preserve">numéro SIREN, adresse du siège et du lieu </w:t>
            </w:r>
          </w:p>
        </w:tc>
      </w:tr>
    </w:tbl>
    <w:p>
      <w:pPr>
        <w:autoSpaceDN w:val="0"/>
        <w:autoSpaceDE w:val="0"/>
        <w:widowControl/>
        <w:spacing w:line="233" w:lineRule="auto" w:before="12" w:after="26"/>
        <w:ind w:left="0" w:right="1324" w:firstLine="0"/>
        <w:jc w:val="right"/>
      </w:pPr>
      <w:r>
        <w:rPr>
          <w:rFonts w:ascii="Open Sans" w:hAnsi="Open Sans" w:eastAsia="Open Sans"/>
          <w:b w:val="0"/>
          <w:i w:val="0"/>
          <w:color w:val="002337"/>
          <w:sz w:val="16"/>
        </w:rPr>
        <w:t xml:space="preserve">de direction effective si différent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3479"/>
        <w:gridCol w:w="3479"/>
        <w:gridCol w:w="3479"/>
      </w:tblGrid>
      <w:tr>
        <w:trPr>
          <w:trHeight w:hRule="exact" w:val="236"/>
        </w:trPr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4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6"/>
              </w:rPr>
              <w:t xml:space="preserve">Bénéficiaire effectif </w:t>
            </w:r>
          </w:p>
        </w:tc>
        <w:tc>
          <w:tcPr>
            <w:tcW w:type="dxa" w:w="3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0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6"/>
              </w:rPr>
              <w:t xml:space="preserve">Nom, prénoms, date et lieu de naissance </w:t>
            </w:r>
          </w:p>
        </w:tc>
        <w:tc>
          <w:tcPr>
            <w:tcW w:type="dxa" w:w="3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0" w:after="0"/>
              <w:ind w:left="206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6"/>
              </w:rPr>
              <w:t xml:space="preserve">Nom, prénoms, date et lieu de naissance </w:t>
            </w:r>
          </w:p>
        </w:tc>
      </w:tr>
      <w:tr>
        <w:trPr>
          <w:trHeight w:hRule="exact" w:val="148"/>
        </w:trPr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2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6"/>
              </w:rPr>
              <w:t xml:space="preserve">Personne agissant pour le </w:t>
            </w:r>
          </w:p>
        </w:tc>
        <w:tc>
          <w:tcPr>
            <w:tcW w:type="dxa" w:w="3479"/>
            <w:vMerge/>
            <w:tcBorders/>
          </w:tcPr>
          <w:p/>
        </w:tc>
        <w:tc>
          <w:tcPr>
            <w:tcW w:type="dxa" w:w="3479"/>
            <w:vMerge/>
            <w:tcBorders/>
          </w:tcPr>
          <w:p/>
        </w:tc>
      </w:tr>
      <w:tr>
        <w:trPr>
          <w:trHeight w:hRule="exact" w:val="172"/>
        </w:trPr>
        <w:tc>
          <w:tcPr>
            <w:tcW w:type="dxa" w:w="3479"/>
            <w:vMerge/>
            <w:tcBorders/>
          </w:tcPr>
          <w:p/>
        </w:tc>
        <w:tc>
          <w:tcPr>
            <w:tcW w:type="dxa" w:w="3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0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6"/>
              </w:rPr>
              <w:t xml:space="preserve">Nom, prénoms, date et lieu de naissance, </w:t>
            </w:r>
          </w:p>
        </w:tc>
        <w:tc>
          <w:tcPr>
            <w:tcW w:type="dxa" w:w="3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0" w:after="0"/>
              <w:ind w:left="186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6"/>
              </w:rPr>
              <w:t xml:space="preserve">Nom, prénoms, date et lieu de naissance, </w:t>
            </w:r>
          </w:p>
        </w:tc>
      </w:tr>
      <w:tr>
        <w:trPr>
          <w:trHeight w:hRule="exact" w:val="160"/>
        </w:trPr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4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6"/>
              </w:rPr>
              <w:t xml:space="preserve">compte du Client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6"/>
              </w:rPr>
              <w:t xml:space="preserve">(ex : payeur </w:t>
            </w:r>
          </w:p>
        </w:tc>
        <w:tc>
          <w:tcPr>
            <w:tcW w:type="dxa" w:w="3479"/>
            <w:vMerge/>
            <w:tcBorders/>
          </w:tcPr>
          <w:p/>
        </w:tc>
        <w:tc>
          <w:tcPr>
            <w:tcW w:type="dxa" w:w="3479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479"/>
            <w:vMerge/>
            <w:tcBorders/>
          </w:tcPr>
          <w:p/>
        </w:tc>
        <w:tc>
          <w:tcPr>
            <w:tcW w:type="dxa" w:w="3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6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6"/>
              </w:rPr>
              <w:t xml:space="preserve">lien avec la personne représentée </w:t>
            </w:r>
          </w:p>
        </w:tc>
        <w:tc>
          <w:tcPr>
            <w:tcW w:type="dxa" w:w="3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6" w:after="0"/>
              <w:ind w:left="414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6"/>
              </w:rPr>
              <w:t xml:space="preserve">fonction de représentation exercée </w:t>
            </w:r>
          </w:p>
        </w:tc>
      </w:tr>
      <w:tr>
        <w:trPr>
          <w:trHeight w:hRule="exact" w:val="318"/>
        </w:trPr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8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6"/>
              </w:rPr>
              <w:t>de prime, représentant légal)</w:t>
            </w:r>
          </w:p>
        </w:tc>
        <w:tc>
          <w:tcPr>
            <w:tcW w:type="dxa" w:w="3479"/>
            <w:vMerge/>
            <w:tcBorders/>
          </w:tcPr>
          <w:p/>
        </w:tc>
        <w:tc>
          <w:tcPr>
            <w:tcW w:type="dxa" w:w="347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282" w:after="0"/>
        <w:ind w:left="52" w:right="720" w:firstLine="0"/>
        <w:jc w:val="left"/>
      </w:pP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Si le bénéficiaire est différent de l’organisme prêteur et que le montant à lui attribuer dépasse 100 000€, le produit 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passe en </w:t>
      </w:r>
      <w:r>
        <w:rPr>
          <w:rFonts w:ascii="Open Sans" w:hAnsi="Open Sans" w:eastAsia="Open Sans"/>
          <w:b/>
          <w:i w:val="0"/>
          <w:color w:val="002337"/>
          <w:sz w:val="18"/>
        </w:rPr>
        <w:t>vigilance standard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. </w:t>
      </w:r>
    </w:p>
    <w:p>
      <w:pPr>
        <w:autoSpaceDN w:val="0"/>
        <w:tabs>
          <w:tab w:pos="412" w:val="left"/>
          <w:tab w:pos="772" w:val="left"/>
        </w:tabs>
        <w:autoSpaceDE w:val="0"/>
        <w:widowControl/>
        <w:spacing w:line="252" w:lineRule="auto" w:before="28" w:after="0"/>
        <w:ind w:left="52" w:right="720" w:firstLine="0"/>
        <w:jc w:val="left"/>
      </w:pP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Concrètement, cela signifie que vous devez, en plus de la collecte des informations d’identification : </w:t>
      </w:r>
      <w:r>
        <w:br/>
      </w:r>
      <w:r>
        <w:tab/>
      </w:r>
      <w:r>
        <w:rPr>
          <w:rFonts w:ascii="Wingdings" w:hAnsi="Wingdings" w:eastAsia="Wingdings"/>
          <w:b w:val="0"/>
          <w:i w:val="0"/>
          <w:color w:val="C2E812"/>
          <w:sz w:val="24"/>
        </w:rPr>
        <w:t>✓</w:t>
      </w:r>
      <w:r>
        <w:rPr>
          <w:rFonts w:ascii="Open Sans" w:hAnsi="Open Sans" w:eastAsia="Open Sans"/>
          <w:b w:val="0"/>
          <w:i w:val="0"/>
          <w:color w:val="002337"/>
          <w:sz w:val="16"/>
        </w:rPr>
        <w:t xml:space="preserve">Effectuer la vérification d’identité conformément aux articles R561-5-1 et suivants du code monétaire et financier </w:t>
      </w:r>
      <w:r>
        <w:tab/>
      </w:r>
      <w:r>
        <w:rPr>
          <w:rFonts w:ascii="Wingdings" w:hAnsi="Wingdings" w:eastAsia="Wingdings"/>
          <w:b w:val="0"/>
          <w:i w:val="0"/>
          <w:color w:val="C2E812"/>
          <w:sz w:val="24"/>
        </w:rPr>
        <w:t>✓</w:t>
      </w:r>
      <w:r>
        <w:rPr>
          <w:rFonts w:ascii="Open Sans" w:hAnsi="Open Sans" w:eastAsia="Open Sans"/>
          <w:b w:val="0"/>
          <w:i w:val="0"/>
          <w:color w:val="002337"/>
          <w:sz w:val="16"/>
        </w:rPr>
        <w:t xml:space="preserve">Collecter et actualiser, au moins une fois par an, les informations pertinentes au titre de la relation d’affaires et de la </w:t>
      </w:r>
      <w:r>
        <w:tab/>
      </w:r>
      <w:r>
        <w:rPr>
          <w:rFonts w:ascii="Open Sans" w:hAnsi="Open Sans" w:eastAsia="Open Sans"/>
          <w:b w:val="0"/>
          <w:i w:val="0"/>
          <w:color w:val="002337"/>
          <w:sz w:val="16"/>
        </w:rPr>
        <w:t xml:space="preserve">connaissance de la situation professionnelle, économique et financière du client et, le cas échéant de son bénéficiaire </w:t>
      </w:r>
      <w:r>
        <w:tab/>
      </w:r>
      <w:r>
        <w:rPr>
          <w:rFonts w:ascii="Open Sans" w:hAnsi="Open Sans" w:eastAsia="Open Sans"/>
          <w:b w:val="0"/>
          <w:i w:val="0"/>
          <w:color w:val="002337"/>
          <w:sz w:val="16"/>
        </w:rPr>
        <w:t xml:space="preserve">effectif. </w:t>
      </w:r>
    </w:p>
    <w:p>
      <w:pPr>
        <w:autoSpaceDN w:val="0"/>
        <w:tabs>
          <w:tab w:pos="412" w:val="left"/>
          <w:tab w:pos="772" w:val="left"/>
        </w:tabs>
        <w:autoSpaceDE w:val="0"/>
        <w:widowControl/>
        <w:spacing w:line="252" w:lineRule="auto" w:before="184" w:after="0"/>
        <w:ind w:left="52" w:right="720" w:firstLine="0"/>
        <w:jc w:val="left"/>
      </w:pP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En cas d’opération atypique au sens de l’article L561-10-2 du code monétaire et financier, vous devez, en plus de la 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collecte des informations d’identification : </w:t>
      </w:r>
      <w:r>
        <w:br/>
      </w:r>
      <w:r>
        <w:tab/>
      </w:r>
      <w:r>
        <w:rPr>
          <w:rFonts w:ascii="Wingdings" w:hAnsi="Wingdings" w:eastAsia="Wingdings"/>
          <w:b w:val="0"/>
          <w:i w:val="0"/>
          <w:color w:val="C2E812"/>
          <w:sz w:val="24"/>
        </w:rPr>
        <w:t>✓</w:t>
      </w:r>
      <w:r>
        <w:rPr>
          <w:rFonts w:ascii="Open Sans" w:hAnsi="Open Sans" w:eastAsia="Open Sans"/>
          <w:b w:val="0"/>
          <w:i w:val="0"/>
          <w:color w:val="002337"/>
          <w:sz w:val="16"/>
        </w:rPr>
        <w:t xml:space="preserve">Effectuer la vérification d’identité conformément aux articles R561-5-1 et suivants du code monétaire et financier </w:t>
      </w:r>
      <w:r>
        <w:tab/>
      </w:r>
      <w:r>
        <w:rPr>
          <w:rFonts w:ascii="Wingdings" w:hAnsi="Wingdings" w:eastAsia="Wingdings"/>
          <w:b w:val="0"/>
          <w:i w:val="0"/>
          <w:color w:val="C2E812"/>
          <w:sz w:val="24"/>
        </w:rPr>
        <w:t>✓</w:t>
      </w:r>
      <w:r>
        <w:rPr>
          <w:rFonts w:ascii="Open Sans" w:hAnsi="Open Sans" w:eastAsia="Open Sans"/>
          <w:b w:val="0"/>
          <w:i w:val="0"/>
          <w:color w:val="002337"/>
          <w:sz w:val="16"/>
        </w:rPr>
        <w:t xml:space="preserve">Collecter et actualiser, au moins une fois par an, les informations pertinentes au titre de la relation d’affaires et de la </w:t>
      </w:r>
      <w:r>
        <w:tab/>
      </w:r>
      <w:r>
        <w:rPr>
          <w:rFonts w:ascii="Open Sans" w:hAnsi="Open Sans" w:eastAsia="Open Sans"/>
          <w:b w:val="0"/>
          <w:i w:val="0"/>
          <w:color w:val="002337"/>
          <w:sz w:val="16"/>
        </w:rPr>
        <w:t xml:space="preserve">connaissance de la situation professionnelle, économique et financière du client et, le cas échéant de son bénéficiaire </w:t>
      </w:r>
      <w:r>
        <w:tab/>
      </w:r>
      <w:r>
        <w:rPr>
          <w:rFonts w:ascii="Open Sans" w:hAnsi="Open Sans" w:eastAsia="Open Sans"/>
          <w:b w:val="0"/>
          <w:i w:val="0"/>
          <w:color w:val="002337"/>
          <w:sz w:val="16"/>
        </w:rPr>
        <w:t xml:space="preserve">effectif, afin d’éliminer ou de réduire le risque de blanchiment d’argent et de financement du terrorisme </w:t>
      </w:r>
      <w:r>
        <w:br/>
      </w:r>
      <w:r>
        <w:tab/>
      </w:r>
      <w:r>
        <w:rPr>
          <w:rFonts w:ascii="Wingdings" w:hAnsi="Wingdings" w:eastAsia="Wingdings"/>
          <w:b w:val="0"/>
          <w:i w:val="0"/>
          <w:color w:val="C2E812"/>
          <w:sz w:val="24"/>
        </w:rPr>
        <w:t>✓</w:t>
      </w:r>
      <w:r>
        <w:rPr>
          <w:rFonts w:ascii="Open Sans" w:hAnsi="Open Sans" w:eastAsia="Open Sans"/>
          <w:b w:val="0"/>
          <w:i w:val="0"/>
          <w:color w:val="002337"/>
          <w:sz w:val="16"/>
        </w:rPr>
        <w:t xml:space="preserve">Recueillir une seconde pièce d’identité </w:t>
      </w:r>
      <w:r>
        <w:br/>
      </w:r>
      <w:r>
        <w:tab/>
      </w:r>
      <w:r>
        <w:rPr>
          <w:rFonts w:ascii="Wingdings" w:hAnsi="Wingdings" w:eastAsia="Wingdings"/>
          <w:b w:val="0"/>
          <w:i w:val="0"/>
          <w:color w:val="C2E812"/>
          <w:sz w:val="24"/>
        </w:rPr>
        <w:t>✓</w:t>
      </w:r>
      <w:r>
        <w:rPr>
          <w:rFonts w:ascii="Open Sans" w:hAnsi="Open Sans" w:eastAsia="Open Sans"/>
          <w:b w:val="0"/>
          <w:i w:val="0"/>
          <w:color w:val="002337"/>
          <w:sz w:val="16"/>
        </w:rPr>
        <w:t xml:space="preserve">S’assurer que le premier paiement soit effectué en provenance d’un compte situé en UE et ouvert au nom du Client ou </w:t>
      </w:r>
      <w:r>
        <w:tab/>
      </w:r>
      <w:r>
        <w:rPr>
          <w:rFonts w:ascii="Open Sans" w:hAnsi="Open Sans" w:eastAsia="Open Sans"/>
          <w:b w:val="0"/>
          <w:i w:val="0"/>
          <w:color w:val="002337"/>
          <w:sz w:val="16"/>
        </w:rPr>
        <w:t xml:space="preserve">de son représentant. </w:t>
      </w:r>
    </w:p>
    <w:p>
      <w:pPr>
        <w:autoSpaceDN w:val="0"/>
        <w:tabs>
          <w:tab w:pos="536" w:val="left"/>
        </w:tabs>
        <w:autoSpaceDE w:val="0"/>
        <w:widowControl/>
        <w:spacing w:line="245" w:lineRule="auto" w:before="480" w:after="0"/>
        <w:ind w:left="52" w:right="720" w:firstLine="0"/>
        <w:jc w:val="left"/>
      </w:pP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En cas de question, vous pouvez vous adresser au correspondant TRACFIN de notre société à l’adresse mail 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>suivante :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hyperlink r:id="rId19" w:history="1">
          <w:r>
            <w:rPr>
              <w:rStyle w:val="Hyperlink"/>
            </w:rPr>
            <w:t xml:space="preserve"> lcb-ft.tracfin@zenioo.com.</w:t>
          </w:r>
        </w:hyperlink>
      </w:r>
    </w:p>
    <w:p>
      <w:pPr>
        <w:autoSpaceDN w:val="0"/>
        <w:autoSpaceDE w:val="0"/>
        <w:widowControl/>
        <w:spacing w:line="228" w:lineRule="auto" w:before="2484" w:after="6"/>
        <w:ind w:left="0" w:right="20" w:firstLine="0"/>
        <w:jc w:val="right"/>
      </w:pP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4 / 5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218"/>
        <w:gridCol w:w="5218"/>
      </w:tblGrid>
      <w:tr>
        <w:trPr>
          <w:trHeight w:hRule="exact" w:val="466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02969" cy="2667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969" cy="266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102" w:right="144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759AAB"/>
                <w:sz w:val="12"/>
              </w:rPr>
              <w:t>Siège social : 6 cours André Philip, 69100 Villeurbanne –</w:t>
            </w:r>
            <w:r>
              <w:rPr>
                <w:rFonts w:ascii="Open Sans" w:hAnsi="Open Sans" w:eastAsia="Open Sans"/>
                <w:b w:val="0"/>
                <w:i w:val="0"/>
                <w:color w:val="759AAB"/>
                <w:sz w:val="12"/>
              </w:rPr>
              <w:t xml:space="preserve"> </w:t>
            </w:r>
            <w:r>
              <w:rPr>
                <w:rFonts w:ascii="Open Sans" w:hAnsi="Open Sans" w:eastAsia="Open Sans"/>
                <w:b w:val="0"/>
                <w:i w:val="0"/>
                <w:color w:val="759AAB"/>
                <w:sz w:val="12"/>
                <w:u w:val="single"/>
              </w:rPr>
              <w:hyperlink r:id="rId10" w:history="1">
                <w:r>
                  <w:rPr>
                    <w:rStyle w:val="Hyperlink"/>
                  </w:rPr>
                  <w:t>www.zenioo.com</w:t>
                </w:r>
              </w:hyperlink>
            </w:r>
            <w:r>
              <w:rPr>
                <w:rFonts w:ascii="Open Sans" w:hAnsi="Open Sans" w:eastAsia="Open Sans"/>
                <w:b w:val="0"/>
                <w:i w:val="0"/>
                <w:color w:val="759AAB"/>
                <w:sz w:val="12"/>
              </w:rPr>
              <w:t xml:space="preserve"> </w:t>
            </w:r>
            <w:r>
              <w:br/>
            </w:r>
            <w:r>
              <w:rPr>
                <w:rFonts w:ascii="Open Sans" w:hAnsi="Open Sans" w:eastAsia="Open Sans"/>
                <w:b w:val="0"/>
                <w:i w:val="0"/>
                <w:color w:val="759AAB"/>
                <w:sz w:val="12"/>
              </w:rPr>
              <w:t xml:space="preserve">SAS au capital de 1.267.431 € euros, RCS de LYON n°884782582, intermédiaire en assurance immatriculé à l'ORIAS sous le n°200 058 79 (www.orias.fr) </w:t>
            </w:r>
            <w:r>
              <w:rPr>
                <w:rFonts w:ascii="Open Sans" w:hAnsi="Open Sans" w:eastAsia="Open Sans"/>
                <w:b w:val="0"/>
                <w:i w:val="0"/>
                <w:color w:val="759AAB"/>
                <w:sz w:val="12"/>
              </w:rPr>
              <w:t>Autorité de contrôle prudentiel et de résolution - 4 place de Budapest - CS 92459 - 75436 Paris Cedex 09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1906" w:h="16838"/>
          <w:pgMar w:top="528" w:right="650" w:bottom="88" w:left="8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2"/>
        <w:ind w:left="0" w:right="0"/>
      </w:pPr>
    </w:p>
    <w:p>
      <w:pPr>
        <w:autoSpaceDN w:val="0"/>
        <w:autoSpaceDE w:val="0"/>
        <w:widowControl/>
        <w:spacing w:line="230" w:lineRule="auto" w:before="0" w:after="74"/>
        <w:ind w:left="436" w:right="0" w:firstLine="0"/>
        <w:jc w:val="left"/>
      </w:pPr>
      <w:r>
        <w:rPr>
          <w:rFonts w:ascii="Open Sans" w:hAnsi="Open Sans" w:eastAsia="Open Sans"/>
          <w:b/>
          <w:i w:val="0"/>
          <w:color w:val="E52E45"/>
          <w:sz w:val="26"/>
        </w:rPr>
        <w:t xml:space="preserve">Formalités médicales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.000000000000014" w:type="dxa"/>
      </w:tblPr>
      <w:tblGrid>
        <w:gridCol w:w="5754"/>
        <w:gridCol w:w="5754"/>
      </w:tblGrid>
      <w:tr>
        <w:trPr>
          <w:trHeight w:hRule="exact" w:val="620"/>
        </w:trPr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6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0500" cy="17780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7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60" w:right="144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>NOUVEAU :</w:t>
            </w: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>Aucune formalité médicale demandée pour les prêts inférieurs à 200 000</w:t>
            </w: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>€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, avec un terme antérieur aux 60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ans de l’emprunteur et tenant compte de l’encours assuré des autres crédits </w:t>
            </w:r>
          </w:p>
        </w:tc>
      </w:tr>
    </w:tbl>
    <w:p>
      <w:pPr>
        <w:autoSpaceDN w:val="0"/>
        <w:autoSpaceDE w:val="0"/>
        <w:widowControl/>
        <w:spacing w:line="9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21" w:type="dxa"/>
      </w:tblPr>
      <w:tblGrid>
        <w:gridCol w:w="2877"/>
        <w:gridCol w:w="2877"/>
        <w:gridCol w:w="2877"/>
        <w:gridCol w:w="2877"/>
      </w:tblGrid>
      <w:tr>
        <w:trPr>
          <w:trHeight w:hRule="exact" w:val="350"/>
        </w:trPr>
        <w:tc>
          <w:tcPr>
            <w:tcW w:type="dxa" w:w="2696"/>
            <w:tcBorders>
              <w:end w:sz="4.0" w:val="single" w:color="#AEC5CF"/>
              <w:bottom w:sz="4.0" w:val="single" w:color="#AEC5C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648"/>
            <w:gridSpan w:val="3"/>
            <w:tcBorders>
              <w:start w:sz="4.0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shd w:fill="edf3f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48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Âge assuré </w:t>
            </w:r>
          </w:p>
        </w:tc>
      </w:tr>
      <w:tr>
        <w:trPr>
          <w:trHeight w:hRule="exact" w:val="502"/>
        </w:trPr>
        <w:tc>
          <w:tcPr>
            <w:tcW w:type="dxa" w:w="2696"/>
            <w:tcBorders>
              <w:start w:sz="3.200000000000003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104" w:right="1152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Capital assuré </w:t>
            </w: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(dont en cours) </w:t>
            </w:r>
          </w:p>
        </w:tc>
        <w:tc>
          <w:tcPr>
            <w:tcW w:type="dxa" w:w="2976"/>
            <w:tcBorders>
              <w:start w:sz="4.0" w:val="single" w:color="#AEC5CF"/>
              <w:top w:sz="4.0" w:val="single" w:color="#AEC5CF"/>
              <w:end w:sz="3.199999999999818" w:val="single" w:color="#AEC5CF"/>
              <w:bottom w:sz="4.0" w:val="single" w:color="#AEC5CF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4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Jusqu'à 50 ans inclus </w:t>
            </w:r>
          </w:p>
        </w:tc>
        <w:tc>
          <w:tcPr>
            <w:tcW w:type="dxa" w:w="2882"/>
            <w:tcBorders>
              <w:start w:sz="3.199999999999818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4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De 51 à 60 ans inclus </w:t>
            </w:r>
          </w:p>
        </w:tc>
        <w:tc>
          <w:tcPr>
            <w:tcW w:type="dxa" w:w="2790"/>
            <w:tcBorders>
              <w:start w:sz="4.0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4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+ de 60 ans </w:t>
            </w:r>
          </w:p>
        </w:tc>
      </w:tr>
      <w:tr>
        <w:trPr>
          <w:trHeight w:hRule="exact" w:val="500"/>
        </w:trPr>
        <w:tc>
          <w:tcPr>
            <w:tcW w:type="dxa" w:w="2696"/>
            <w:tcBorders>
              <w:start w:sz="3.200000000000003" w:val="single" w:color="#AEC5CF"/>
              <w:top w:sz="4.0" w:val="single" w:color="#AEC5CF"/>
              <w:end w:sz="4.0" w:val="single" w:color="#AEC5CF"/>
              <w:bottom w:sz="3.2000000000000455" w:val="single" w:color="#AEC5CF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4" w:after="0"/>
              <w:ind w:left="104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&lt;= à 17 000 € </w:t>
            </w:r>
          </w:p>
        </w:tc>
        <w:tc>
          <w:tcPr>
            <w:tcW w:type="dxa" w:w="2976"/>
            <w:vMerge w:val="restart"/>
            <w:tcBorders>
              <w:start w:sz="4.0" w:val="single" w:color="#AEC5CF"/>
              <w:top w:sz="4.0" w:val="single" w:color="#AEC5CF"/>
              <w:end w:sz="3.199999999999818" w:val="single" w:color="#AEC5CF"/>
              <w:bottom w:sz="3.2000000000000455" w:val="single" w:color="#AEC5CF"/>
            </w:tcBorders>
            <w:shd w:fill="d0e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72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QS </w:t>
            </w:r>
          </w:p>
        </w:tc>
        <w:tc>
          <w:tcPr>
            <w:tcW w:type="dxa" w:w="2882"/>
            <w:vMerge w:val="restart"/>
            <w:tcBorders>
              <w:start w:sz="3.199999999999818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shd w:fill="d0e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22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QS </w:t>
            </w:r>
          </w:p>
        </w:tc>
        <w:tc>
          <w:tcPr>
            <w:tcW w:type="dxa" w:w="2790"/>
            <w:vMerge w:val="restart"/>
            <w:tcBorders>
              <w:start w:sz="4.0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shd w:fill="f8f3fa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374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QMD </w:t>
            </w:r>
          </w:p>
        </w:tc>
      </w:tr>
      <w:tr>
        <w:trPr>
          <w:trHeight w:hRule="exact" w:val="500"/>
        </w:trPr>
        <w:tc>
          <w:tcPr>
            <w:tcW w:type="dxa" w:w="2696"/>
            <w:tcBorders>
              <w:start w:sz="3.200000000000003" w:val="single" w:color="#AEC5CF"/>
              <w:top w:sz="3.2000000000000455" w:val="single" w:color="#AEC5CF"/>
              <w:end w:sz="4.0" w:val="single" w:color="#AEC5CF"/>
              <w:bottom w:sz="4.0" w:val="single" w:color="#AEC5CF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2" w:after="0"/>
              <w:ind w:left="104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de 17 000 € à 200 000 € </w:t>
            </w:r>
          </w:p>
        </w:tc>
        <w:tc>
          <w:tcPr>
            <w:tcW w:type="dxa" w:w="2877"/>
            <w:vMerge/>
            <w:tcBorders>
              <w:start w:sz="4.0" w:val="single" w:color="#AEC5CF"/>
              <w:top w:sz="4.0" w:val="single" w:color="#AEC5CF"/>
              <w:end w:sz="3.199999999999818" w:val="single" w:color="#AEC5CF"/>
              <w:bottom w:sz="3.2000000000000455" w:val="single" w:color="#AEC5CF"/>
            </w:tcBorders>
          </w:tcPr>
          <w:p/>
        </w:tc>
        <w:tc>
          <w:tcPr>
            <w:tcW w:type="dxa" w:w="2877"/>
            <w:vMerge/>
            <w:tcBorders>
              <w:start w:sz="3.199999999999818" w:val="single" w:color="#AEC5CF"/>
              <w:top w:sz="4.0" w:val="single" w:color="#AEC5CF"/>
              <w:end w:sz="4.0" w:val="single" w:color="#AEC5CF"/>
              <w:bottom w:sz="4.0" w:val="single" w:color="#AEC5CF"/>
            </w:tcBorders>
          </w:tcPr>
          <w:p/>
        </w:tc>
        <w:tc>
          <w:tcPr>
            <w:tcW w:type="dxa" w:w="2877"/>
            <w:vMerge/>
            <w:tcBorders>
              <w:start w:sz="4.0" w:val="single" w:color="#AEC5CF"/>
              <w:top w:sz="4.0" w:val="single" w:color="#AEC5CF"/>
              <w:end w:sz="4.0" w:val="single" w:color="#AEC5CF"/>
              <w:bottom w:sz="4.0" w:val="single" w:color="#AEC5CF"/>
            </w:tcBorders>
          </w:tcPr>
          <w:p/>
        </w:tc>
      </w:tr>
      <w:tr>
        <w:trPr>
          <w:trHeight w:hRule="exact" w:val="500"/>
        </w:trPr>
        <w:tc>
          <w:tcPr>
            <w:tcW w:type="dxa" w:w="2696"/>
            <w:tcBorders>
              <w:start w:sz="3.200000000000003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2" w:after="0"/>
              <w:ind w:left="104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de 201 000 € à 350 000 € </w:t>
            </w:r>
          </w:p>
        </w:tc>
        <w:tc>
          <w:tcPr>
            <w:tcW w:type="dxa" w:w="2877"/>
            <w:vMerge/>
            <w:tcBorders>
              <w:start w:sz="4.0" w:val="single" w:color="#AEC5CF"/>
              <w:top w:sz="4.0" w:val="single" w:color="#AEC5CF"/>
              <w:end w:sz="3.199999999999818" w:val="single" w:color="#AEC5CF"/>
              <w:bottom w:sz="3.2000000000000455" w:val="single" w:color="#AEC5CF"/>
            </w:tcBorders>
          </w:tcPr>
          <w:p/>
        </w:tc>
        <w:tc>
          <w:tcPr>
            <w:tcW w:type="dxa" w:w="5667"/>
            <w:gridSpan w:val="2"/>
            <w:vMerge w:val="restart"/>
            <w:tcBorders>
              <w:start w:sz="3.199999999999818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05.99999999999909" w:type="dxa"/>
            </w:tblPr>
            <w:tblGrid>
              <w:gridCol w:w="2790"/>
            </w:tblGrid>
            <w:tr>
              <w:trPr>
                <w:trHeight w:hRule="exact" w:val="226"/>
              </w:trPr>
              <w:tc>
                <w:tcPr>
                  <w:tcW w:type="dxa" w:w="2576"/>
                  <w:tcBorders/>
                  <w:shd w:fill="f8d4d9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0" w:after="0"/>
                    <w:ind w:left="0" w:right="0" w:firstLine="0"/>
                    <w:jc w:val="center"/>
                  </w:pPr>
                  <w:r>
                    <w:rPr>
                      <w:rFonts w:ascii="Open Sans" w:hAnsi="Open Sans" w:eastAsia="Open Sans"/>
                      <w:b w:val="0"/>
                      <w:i w:val="0"/>
                      <w:color w:val="002337"/>
                      <w:sz w:val="18"/>
                    </w:rPr>
                    <w:t xml:space="preserve">QMD + PS avec PSA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500"/>
        </w:trPr>
        <w:tc>
          <w:tcPr>
            <w:tcW w:type="dxa" w:w="2696"/>
            <w:tcBorders>
              <w:start w:sz="3.200000000000003" w:val="single" w:color="#AEC5CF"/>
              <w:top w:sz="4.0" w:val="single" w:color="#AEC5CF"/>
              <w:end w:sz="4.0" w:val="single" w:color="#AEC5CF"/>
              <w:bottom w:sz="3.2000000000000455" w:val="single" w:color="#AEC5CF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4" w:after="0"/>
              <w:ind w:left="104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De 350 001 € à 500 000 € </w:t>
            </w:r>
          </w:p>
        </w:tc>
        <w:tc>
          <w:tcPr>
            <w:tcW w:type="dxa" w:w="2877"/>
            <w:vMerge/>
            <w:tcBorders>
              <w:start w:sz="4.0" w:val="single" w:color="#AEC5CF"/>
              <w:top w:sz="4.0" w:val="single" w:color="#AEC5CF"/>
              <w:end w:sz="3.199999999999818" w:val="single" w:color="#AEC5CF"/>
              <w:bottom w:sz="3.2000000000000455" w:val="single" w:color="#AEC5CF"/>
            </w:tcBorders>
          </w:tcPr>
          <w:p/>
        </w:tc>
        <w:tc>
          <w:tcPr>
            <w:tcW w:type="dxa" w:w="5672"/>
            <w:gridSpan w:val="2"/>
            <w:vMerge/>
            <w:tcBorders>
              <w:start w:sz="3.199999999999818" w:val="single" w:color="#AEC5CF"/>
              <w:end w:sz="4.0" w:val="single" w:color="#AEC5CF"/>
              <w:bottom w:sz="3.2000000000000455" w:val="single" w:color="#AEC5CF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00"/>
        </w:trPr>
        <w:tc>
          <w:tcPr>
            <w:tcW w:type="dxa" w:w="2696"/>
            <w:tcBorders>
              <w:start w:sz="3.200000000000003" w:val="single" w:color="#AEC5CF"/>
              <w:top w:sz="3.2000000000000455" w:val="single" w:color="#AEC5CF"/>
              <w:end w:sz="4.0" w:val="single" w:color="#AEC5CF"/>
              <w:bottom w:sz="4.0" w:val="single" w:color="#AEC5CF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2" w:after="0"/>
              <w:ind w:left="104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de 500 001 € à 1 000 000 € </w:t>
            </w:r>
          </w:p>
        </w:tc>
        <w:tc>
          <w:tcPr>
            <w:tcW w:type="dxa" w:w="8648"/>
            <w:gridSpan w:val="3"/>
            <w:tcBorders>
              <w:start w:sz="4.0" w:val="single" w:color="#AEC5CF"/>
              <w:top w:sz="3.2000000000000455" w:val="single" w:color="#AEC5CF"/>
              <w:end w:sz="4.0" w:val="single" w:color="#AEC5CF"/>
              <w:bottom w:sz="4.0" w:val="single" w:color="#AEC5CF"/>
            </w:tcBorders>
            <w:shd w:fill="f3face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2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QMD + RM +PS (avec PSA si âge &gt; 50 ans) + ECV + Echographie cardiaque </w:t>
            </w:r>
          </w:p>
        </w:tc>
      </w:tr>
      <w:tr>
        <w:trPr>
          <w:trHeight w:hRule="exact" w:val="500"/>
        </w:trPr>
        <w:tc>
          <w:tcPr>
            <w:tcW w:type="dxa" w:w="2696"/>
            <w:tcBorders>
              <w:start w:sz="3.200000000000003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0" w:after="0"/>
              <w:ind w:left="104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&gt; à 1 000 000 € </w:t>
            </w:r>
          </w:p>
        </w:tc>
        <w:tc>
          <w:tcPr>
            <w:tcW w:type="dxa" w:w="8648"/>
            <w:gridSpan w:val="3"/>
            <w:tcBorders>
              <w:start w:sz="4.0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shd w:fill="fcf9d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432" w:right="288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QMD + RM + PS (avec PSA si âge &gt; 50 ans) + cotinine urinaire + ECV + Echographie cardiaque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+ Questionnaire financier et annex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es</w:t>
            </w:r>
          </w:p>
        </w:tc>
      </w:tr>
    </w:tbl>
    <w:p>
      <w:pPr>
        <w:autoSpaceDN w:val="0"/>
        <w:autoSpaceDE w:val="0"/>
        <w:widowControl/>
        <w:spacing w:line="245" w:lineRule="auto" w:before="126" w:after="0"/>
        <w:ind w:left="436" w:right="576" w:firstLine="0"/>
        <w:jc w:val="left"/>
      </w:pPr>
      <w:r>
        <w:rPr>
          <w:rFonts w:ascii="Open Sans" w:hAnsi="Open Sans" w:eastAsia="Open Sans"/>
          <w:b/>
          <w:i w:val="0"/>
          <w:color w:val="002337"/>
          <w:sz w:val="18"/>
        </w:rPr>
        <w:t xml:space="preserve">Les prêts relais d’un montant maximum de 300 000 € et d’une durée inférieure à 36 mois ne doivent pas être pris en </w:t>
      </w:r>
      <w:r>
        <w:rPr>
          <w:rFonts w:ascii="Open Sans" w:hAnsi="Open Sans" w:eastAsia="Open Sans"/>
          <w:b/>
          <w:i w:val="0"/>
          <w:color w:val="002337"/>
          <w:sz w:val="18"/>
        </w:rPr>
        <w:t xml:space="preserve">compte dans le cumul des capitaux calculés pour déterminer le niveau de sélection médicale. </w:t>
      </w:r>
    </w:p>
    <w:p>
      <w:pPr>
        <w:autoSpaceDN w:val="0"/>
        <w:autoSpaceDE w:val="0"/>
        <w:widowControl/>
        <w:spacing w:line="228" w:lineRule="auto" w:before="10" w:after="0"/>
        <w:ind w:left="436" w:right="0" w:firstLine="0"/>
        <w:jc w:val="left"/>
      </w:pPr>
      <w:r>
        <w:rPr>
          <w:rFonts w:ascii="Open Sans" w:hAnsi="Open Sans" w:eastAsia="Open Sans"/>
          <w:b/>
          <w:i w:val="0"/>
          <w:color w:val="002337"/>
          <w:sz w:val="18"/>
        </w:rPr>
        <w:t xml:space="preserve">Les prêts relais seuls, non accompagnés par un prêt amortissable ne sont pas concernés par cette mesure. </w:t>
      </w:r>
    </w:p>
    <w:p>
      <w:pPr>
        <w:autoSpaceDN w:val="0"/>
        <w:tabs>
          <w:tab w:pos="1156" w:val="left"/>
          <w:tab w:pos="1288" w:val="left"/>
        </w:tabs>
        <w:autoSpaceDE w:val="0"/>
        <w:widowControl/>
        <w:spacing w:line="245" w:lineRule="auto" w:before="130" w:after="0"/>
        <w:ind w:left="796" w:right="720" w:firstLine="0"/>
        <w:jc w:val="left"/>
      </w:pPr>
      <w:r>
        <w:rPr>
          <w:rFonts w:ascii="Symbol" w:hAnsi="Symbol" w:eastAsia="Symbol"/>
          <w:b w:val="0"/>
          <w:i w:val="0"/>
          <w:color w:val="002337"/>
          <w:sz w:val="18"/>
        </w:rPr>
        <w:t>•</w:t>
      </w:r>
      <w:r>
        <w:tab/>
      </w:r>
      <w:r>
        <w:rPr>
          <w:rFonts w:ascii="Open Sans" w:hAnsi="Open Sans" w:eastAsia="Open Sans"/>
          <w:b/>
          <w:i w:val="0"/>
          <w:color w:val="002337"/>
          <w:sz w:val="18"/>
        </w:rPr>
        <w:t>QS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 : Questionnaire simplifié </w:t>
      </w:r>
      <w:r>
        <w:br/>
      </w:r>
      <w:r>
        <w:rPr>
          <w:rFonts w:ascii="Symbol" w:hAnsi="Symbol" w:eastAsia="Symbol"/>
          <w:b w:val="0"/>
          <w:i w:val="0"/>
          <w:color w:val="002337"/>
          <w:sz w:val="18"/>
        </w:rPr>
        <w:t>•</w:t>
      </w:r>
      <w:r>
        <w:tab/>
      </w:r>
      <w:r>
        <w:rPr>
          <w:rFonts w:ascii="Open Sans" w:hAnsi="Open Sans" w:eastAsia="Open Sans"/>
          <w:b/>
          <w:i w:val="0"/>
          <w:color w:val="002337"/>
          <w:sz w:val="18"/>
        </w:rPr>
        <w:t xml:space="preserve">QMD 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: Questionnaire médical détaillé </w:t>
      </w:r>
      <w:r>
        <w:br/>
      </w:r>
      <w:r>
        <w:rPr>
          <w:rFonts w:ascii="Symbol" w:hAnsi="Symbol" w:eastAsia="Symbol"/>
          <w:b w:val="0"/>
          <w:i w:val="0"/>
          <w:color w:val="002337"/>
          <w:sz w:val="18"/>
        </w:rPr>
        <w:t>•</w:t>
      </w:r>
      <w:r>
        <w:tab/>
      </w:r>
      <w:r>
        <w:rPr>
          <w:rFonts w:ascii="Open Sans" w:hAnsi="Open Sans" w:eastAsia="Open Sans"/>
          <w:b/>
          <w:i w:val="0"/>
          <w:color w:val="002337"/>
          <w:sz w:val="18"/>
        </w:rPr>
        <w:t>RM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 : Rapport Médical, qui inclut l’analyse d’urine </w:t>
      </w:r>
      <w:r>
        <w:br/>
      </w:r>
      <w:r>
        <w:rPr>
          <w:rFonts w:ascii="Symbol" w:hAnsi="Symbol" w:eastAsia="Symbol"/>
          <w:b w:val="0"/>
          <w:i w:val="0"/>
          <w:color w:val="002337"/>
          <w:sz w:val="18"/>
        </w:rPr>
        <w:t>•</w:t>
      </w:r>
      <w:r>
        <w:tab/>
      </w:r>
      <w:r>
        <w:rPr>
          <w:rFonts w:ascii="Open Sans" w:hAnsi="Open Sans" w:eastAsia="Open Sans"/>
          <w:b/>
          <w:i w:val="0"/>
          <w:color w:val="002337"/>
          <w:sz w:val="18"/>
        </w:rPr>
        <w:t xml:space="preserve">PS 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: Profil sanguin </w:t>
      </w:r>
      <w:r>
        <w:br/>
      </w:r>
      <w:r>
        <w:tab/>
      </w:r>
      <w:r>
        <w:rPr>
          <w:rFonts w:ascii="Symbol" w:hAnsi="Symbol" w:eastAsia="Symbol"/>
          <w:b w:val="0"/>
          <w:i w:val="0"/>
          <w:color w:val="002337"/>
          <w:sz w:val="18"/>
        </w:rPr>
        <w:t>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La numération globulaire avec formule sanguine et plaquettes </w:t>
      </w:r>
      <w:r>
        <w:br/>
      </w:r>
      <w:r>
        <w:tab/>
      </w:r>
      <w:r>
        <w:rPr>
          <w:rFonts w:ascii="Symbol" w:hAnsi="Symbol" w:eastAsia="Symbol"/>
          <w:b w:val="0"/>
          <w:i w:val="0"/>
          <w:color w:val="002337"/>
          <w:sz w:val="18"/>
        </w:rPr>
        <w:t>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Dosage de la protéine C réactive (CRP) </w:t>
      </w:r>
      <w:r>
        <w:br/>
      </w:r>
      <w:r>
        <w:tab/>
      </w:r>
      <w:r>
        <w:rPr>
          <w:rFonts w:ascii="Symbol" w:hAnsi="Symbol" w:eastAsia="Symbol"/>
          <w:b w:val="0"/>
          <w:i w:val="0"/>
          <w:color w:val="002337"/>
          <w:sz w:val="18"/>
        </w:rPr>
        <w:t>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Dosage de la glycémie </w:t>
      </w:r>
      <w:r>
        <w:br/>
      </w:r>
      <w:r>
        <w:tab/>
      </w:r>
      <w:r>
        <w:rPr>
          <w:rFonts w:ascii="Symbol" w:hAnsi="Symbol" w:eastAsia="Symbol"/>
          <w:b w:val="0"/>
          <w:i w:val="0"/>
          <w:color w:val="002337"/>
          <w:sz w:val="18"/>
        </w:rPr>
        <w:t>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Le taux de créatinine </w:t>
      </w:r>
      <w:r>
        <w:br/>
      </w:r>
      <w:r>
        <w:tab/>
      </w:r>
      <w:r>
        <w:rPr>
          <w:rFonts w:ascii="Symbol" w:hAnsi="Symbol" w:eastAsia="Symbol"/>
          <w:b w:val="0"/>
          <w:i w:val="0"/>
          <w:color w:val="002337"/>
          <w:sz w:val="18"/>
        </w:rPr>
        <w:t>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Le taux d’uricémie </w:t>
      </w:r>
      <w:r>
        <w:br/>
      </w:r>
      <w:r>
        <w:tab/>
      </w:r>
      <w:r>
        <w:rPr>
          <w:rFonts w:ascii="Symbol" w:hAnsi="Symbol" w:eastAsia="Symbol"/>
          <w:b w:val="0"/>
          <w:i w:val="0"/>
          <w:color w:val="002337"/>
          <w:sz w:val="18"/>
        </w:rPr>
        <w:t>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Le taux de cholestérol total + HDL </w:t>
      </w:r>
      <w:r>
        <w:br/>
      </w:r>
      <w:r>
        <w:tab/>
      </w:r>
      <w:r>
        <w:rPr>
          <w:rFonts w:ascii="Symbol" w:hAnsi="Symbol" w:eastAsia="Symbol"/>
          <w:b w:val="0"/>
          <w:i w:val="0"/>
          <w:color w:val="002337"/>
          <w:sz w:val="18"/>
        </w:rPr>
        <w:t>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Le taux de triglycérides </w:t>
      </w:r>
      <w:r>
        <w:br/>
      </w:r>
      <w:r>
        <w:tab/>
      </w:r>
      <w:r>
        <w:rPr>
          <w:rFonts w:ascii="Symbol" w:hAnsi="Symbol" w:eastAsia="Symbol"/>
          <w:b w:val="0"/>
          <w:i w:val="0"/>
          <w:color w:val="002337"/>
          <w:sz w:val="18"/>
        </w:rPr>
        <w:t>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Les transaminases SGOT / SGPT </w:t>
      </w:r>
      <w:r>
        <w:br/>
      </w:r>
      <w:r>
        <w:tab/>
      </w:r>
      <w:r>
        <w:rPr>
          <w:rFonts w:ascii="Symbol" w:hAnsi="Symbol" w:eastAsia="Symbol"/>
          <w:b w:val="0"/>
          <w:i w:val="0"/>
          <w:color w:val="002337"/>
          <w:sz w:val="18"/>
        </w:rPr>
        <w:t>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Le taux de gamma GT </w:t>
      </w:r>
      <w:r>
        <w:br/>
      </w:r>
      <w:r>
        <w:tab/>
      </w:r>
      <w:r>
        <w:rPr>
          <w:rFonts w:ascii="Symbol" w:hAnsi="Symbol" w:eastAsia="Symbol"/>
          <w:b w:val="0"/>
          <w:i w:val="0"/>
          <w:color w:val="002337"/>
          <w:sz w:val="18"/>
        </w:rPr>
        <w:t>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Les anticorps anti VIH-1 et VIH-2 </w:t>
      </w:r>
      <w:r>
        <w:br/>
      </w:r>
      <w:r>
        <w:tab/>
      </w:r>
      <w:r>
        <w:rPr>
          <w:rFonts w:ascii="Symbol" w:hAnsi="Symbol" w:eastAsia="Symbol"/>
          <w:b w:val="0"/>
          <w:i w:val="0"/>
          <w:color w:val="002337"/>
          <w:sz w:val="18"/>
        </w:rPr>
        <w:t>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La sérologie hépatite B (antigène HBs – anticorps anti-HBs – anticorps anti-HBc) </w:t>
      </w:r>
      <w:r>
        <w:br/>
      </w:r>
      <w:r>
        <w:tab/>
      </w:r>
      <w:r>
        <w:rPr>
          <w:rFonts w:ascii="Symbol" w:hAnsi="Symbol" w:eastAsia="Symbol"/>
          <w:b w:val="0"/>
          <w:i w:val="0"/>
          <w:color w:val="002337"/>
          <w:sz w:val="18"/>
        </w:rPr>
        <w:t>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La sérologie hépatite C (anticorps anti-VHC) </w:t>
      </w:r>
      <w:r>
        <w:br/>
      </w:r>
      <w:r>
        <w:rPr>
          <w:rFonts w:ascii="Symbol" w:hAnsi="Symbol" w:eastAsia="Symbol"/>
          <w:b w:val="0"/>
          <w:i w:val="0"/>
          <w:color w:val="002337"/>
          <w:sz w:val="18"/>
        </w:rPr>
        <w:t>•</w:t>
      </w:r>
      <w:r>
        <w:tab/>
      </w:r>
      <w:r>
        <w:rPr>
          <w:rFonts w:ascii="Open Sans" w:hAnsi="Open Sans" w:eastAsia="Open Sans"/>
          <w:b/>
          <w:i w:val="0"/>
          <w:color w:val="002337"/>
          <w:sz w:val="18"/>
        </w:rPr>
        <w:t xml:space="preserve">PSA 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: Prostatic Specific Antigen (pour les hommes de plus de 50 ans) </w:t>
      </w:r>
      <w:r>
        <w:br/>
      </w:r>
      <w:r>
        <w:rPr>
          <w:rFonts w:ascii="Symbol" w:hAnsi="Symbol" w:eastAsia="Symbol"/>
          <w:b w:val="0"/>
          <w:i w:val="0"/>
          <w:color w:val="002337"/>
          <w:sz w:val="18"/>
        </w:rPr>
        <w:t>•</w:t>
      </w:r>
      <w:r>
        <w:tab/>
      </w:r>
      <w:r>
        <w:rPr>
          <w:rFonts w:ascii="Open Sans" w:hAnsi="Open Sans" w:eastAsia="Open Sans"/>
          <w:b/>
          <w:i w:val="0"/>
          <w:color w:val="002337"/>
          <w:sz w:val="18"/>
        </w:rPr>
        <w:t xml:space="preserve">ECV 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: Examen cardio-vasculaire, le compte rendu ainsi que le tracé d’un ECG </w:t>
      </w:r>
      <w:r>
        <w:br/>
      </w:r>
      <w:r>
        <w:rPr>
          <w:rFonts w:ascii="Symbol" w:hAnsi="Symbol" w:eastAsia="Symbol"/>
          <w:b w:val="0"/>
          <w:i w:val="0"/>
          <w:color w:val="002337"/>
          <w:sz w:val="18"/>
        </w:rPr>
        <w:t>•</w:t>
      </w:r>
      <w:r>
        <w:tab/>
      </w:r>
      <w:r>
        <w:rPr>
          <w:rFonts w:ascii="Open Sans" w:hAnsi="Open Sans" w:eastAsia="Open Sans"/>
          <w:b/>
          <w:i w:val="0"/>
          <w:color w:val="002337"/>
          <w:sz w:val="18"/>
        </w:rPr>
        <w:t>Echographie cardiaque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 :  pour les prêts supérieurs à 2 000 000€, demander la mesure chiffrée de l'épaisseur de </w:t>
      </w:r>
      <w:r>
        <w:tab/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l'intima-media </w:t>
      </w:r>
    </w:p>
    <w:p>
      <w:pPr>
        <w:autoSpaceDN w:val="0"/>
        <w:autoSpaceDE w:val="0"/>
        <w:widowControl/>
        <w:spacing w:line="230" w:lineRule="auto" w:before="370" w:after="0"/>
        <w:ind w:left="436" w:right="0" w:firstLine="0"/>
        <w:jc w:val="left"/>
      </w:pP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Les formalités médicales sont à transmettre : </w:t>
      </w:r>
    </w:p>
    <w:p>
      <w:pPr>
        <w:autoSpaceDN w:val="0"/>
        <w:tabs>
          <w:tab w:pos="1156" w:val="left"/>
        </w:tabs>
        <w:autoSpaceDE w:val="0"/>
        <w:widowControl/>
        <w:spacing w:line="250" w:lineRule="auto" w:before="188" w:after="680"/>
        <w:ind w:left="796" w:right="432" w:firstLine="0"/>
        <w:jc w:val="left"/>
      </w:pPr>
      <w:r>
        <w:rPr>
          <w:rFonts w:ascii="Wingdings" w:hAnsi="Wingdings" w:eastAsia="Wingdings"/>
          <w:b w:val="0"/>
          <w:i w:val="0"/>
          <w:color w:val="002337"/>
          <w:sz w:val="18"/>
        </w:rPr>
        <w:t></w:t>
      </w:r>
      <w:r>
        <w:tab/>
      </w:r>
      <w:r>
        <w:rPr>
          <w:u w:val="single" w:color="002237"/>
          <w:rFonts w:ascii="Open Sans" w:hAnsi="Open Sans" w:eastAsia="Open Sans"/>
          <w:b w:val="0"/>
          <w:i w:val="0"/>
          <w:color w:val="002337"/>
          <w:sz w:val="18"/>
        </w:rPr>
        <w:t>Adhésion papier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 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: sous enveloppe confidentielle à l'attention du Médecin Conseil de MULTI−IMPACT à l'adresse </w:t>
      </w:r>
      <w:r>
        <w:tab/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suivante : MULTI−IMPACT − À l'attention du médecin conseil − Service médical − 41/43 avenue Hoche − CS 110002 − </w:t>
      </w:r>
      <w:r>
        <w:tab/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51687 REIMS CEDEX.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3.99999999999999" w:type="dxa"/>
      </w:tblPr>
      <w:tblGrid>
        <w:gridCol w:w="5754"/>
        <w:gridCol w:w="5754"/>
      </w:tblGrid>
      <w:tr>
        <w:trPr>
          <w:trHeight w:hRule="exact" w:val="2838"/>
        </w:trPr>
        <w:tc>
          <w:tcPr>
            <w:tcW w:type="dxa" w:w="1942"/>
            <w:tcBorders>
              <w:top w:sz="8.0" w:val="single" w:color="#EEF4F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352" w:after="0"/>
              <w:ind w:left="442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902969" cy="266700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969" cy="266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168"/>
            <w:tcBorders>
              <w:top w:sz="8.0" w:val="single" w:color="#EEF4F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102" w:after="0"/>
              <w:ind w:left="102" w:right="144" w:firstLine="8402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5 / 5 </w:t>
            </w:r>
            <w:r>
              <w:rPr>
                <w:rFonts w:ascii="Open Sans" w:hAnsi="Open Sans" w:eastAsia="Open Sans"/>
                <w:b w:val="0"/>
                <w:i w:val="0"/>
                <w:color w:val="759AAB"/>
                <w:sz w:val="12"/>
              </w:rPr>
              <w:t>Siège social : 6 cours André Philip, 69100 Villeurbanne –</w:t>
            </w:r>
            <w:r>
              <w:rPr>
                <w:rFonts w:ascii="Open Sans" w:hAnsi="Open Sans" w:eastAsia="Open Sans"/>
                <w:b w:val="0"/>
                <w:i w:val="0"/>
                <w:color w:val="759AAB"/>
                <w:sz w:val="12"/>
              </w:rPr>
              <w:t xml:space="preserve"> </w:t>
            </w:r>
            <w:r>
              <w:rPr>
                <w:rFonts w:ascii="Open Sans" w:hAnsi="Open Sans" w:eastAsia="Open Sans"/>
                <w:b w:val="0"/>
                <w:i w:val="0"/>
                <w:color w:val="759AAB"/>
                <w:sz w:val="12"/>
                <w:u w:val="single"/>
              </w:rPr>
              <w:hyperlink r:id="rId10" w:history="1">
                <w:r>
                  <w:rPr>
                    <w:rStyle w:val="Hyperlink"/>
                  </w:rPr>
                  <w:t>www.zenioo.com</w:t>
                </w:r>
              </w:hyperlink>
            </w:r>
            <w:r>
              <w:rPr>
                <w:rFonts w:ascii="Open Sans" w:hAnsi="Open Sans" w:eastAsia="Open Sans"/>
                <w:b w:val="0"/>
                <w:i w:val="0"/>
                <w:color w:val="759AAB"/>
                <w:sz w:val="12"/>
              </w:rPr>
              <w:t xml:space="preserve"> </w:t>
            </w:r>
            <w:r>
              <w:br/>
            </w:r>
            <w:r>
              <w:rPr>
                <w:rFonts w:ascii="Open Sans" w:hAnsi="Open Sans" w:eastAsia="Open Sans"/>
                <w:b w:val="0"/>
                <w:i w:val="0"/>
                <w:color w:val="759AAB"/>
                <w:sz w:val="12"/>
              </w:rPr>
              <w:t xml:space="preserve">SAS au capital de 1.267.431 € euros, RCS de LYON n°884782582, intermédiaire en assurance immatriculé à l'ORIAS sous le n°200 058 79 (www.orias.fr) </w:t>
            </w:r>
            <w:r>
              <w:rPr>
                <w:rFonts w:ascii="Open Sans" w:hAnsi="Open Sans" w:eastAsia="Open Sans"/>
                <w:b w:val="0"/>
                <w:i w:val="0"/>
                <w:color w:val="759AAB"/>
                <w:sz w:val="12"/>
              </w:rPr>
              <w:t>Autorité de contrôle prudentiel et de résolution - 4 place de Budapest - CS 92459 - 75436 Paris Cedex 09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16.0" w:type="dxa"/>
      </w:tblPr>
      <w:tblGrid>
        <w:gridCol w:w="3836"/>
        <w:gridCol w:w="3836"/>
        <w:gridCol w:w="3836"/>
      </w:tblGrid>
      <w:tr>
        <w:trPr>
          <w:trHeight w:hRule="exact" w:val="330"/>
        </w:trPr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164" w:firstLine="0"/>
              <w:jc w:val="right"/>
            </w:pPr>
            <w:r>
              <w:rPr>
                <w:rFonts w:ascii="Wingdings" w:hAnsi="Wingdings" w:eastAsia="Wingdings"/>
                <w:b w:val="0"/>
                <w:i w:val="0"/>
                <w:color w:val="002337"/>
                <w:sz w:val="18"/>
              </w:rPr>
              <w:t></w:t>
            </w:r>
          </w:p>
        </w:tc>
        <w:tc>
          <w:tcPr>
            <w:tcW w:type="dxa" w:w="10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4" w:after="0"/>
              <w:ind w:left="140" w:right="0" w:firstLine="0"/>
              <w:jc w:val="left"/>
            </w:pPr>
            <w:r>
              <w:rPr>
                <w:u w:val="single" w:color="002237"/>
                <w:rFonts w:ascii="Open Sans" w:hAnsi="Open Sans" w:eastAsia="Open Sans"/>
                <w:b w:val="0"/>
                <w:i w:val="0"/>
                <w:color w:val="002337"/>
                <w:sz w:val="18"/>
              </w:rPr>
              <w:t>Adhésion en ligne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: possibilité pour l’assuré de déposer ses pièces médicales via son espace client sécurisé. </w:t>
            </w:r>
          </w:p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00" w:after="0"/>
              <w:ind w:left="0" w:right="32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19379" cy="1443990"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379" cy="14439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30" w:lineRule="auto" w:before="0" w:after="0"/>
              <w:ind w:left="148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759AAB"/>
                <w:sz w:val="16"/>
              </w:rPr>
              <w:t xml:space="preserve">FP_ADEAXA4082_190224 </w:t>
            </w:r>
          </w:p>
        </w:tc>
      </w:tr>
      <w:tr>
        <w:trPr>
          <w:trHeight w:hRule="exact" w:val="960"/>
        </w:trPr>
        <w:tc>
          <w:tcPr>
            <w:tcW w:type="dxa" w:w="10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08" w:after="0"/>
              <w:ind w:left="220" w:right="148" w:firstLine="0"/>
              <w:jc w:val="both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Lorsque le postulant se soumet aux formalités médicales demandées par l'assureur, il a le choix de les effectuer dans nos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centres prestataires ou bien auprès d'un praticien de son choix. </w:t>
            </w: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Le réseau des centres permet le regroupement des </w:t>
            </w: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>formalités médicales sans avance de fonds pour le postulant.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Les centres à contacter réalisant les bilans médicaux sont : </w:t>
            </w:r>
          </w:p>
        </w:tc>
        <w:tc>
          <w:tcPr>
            <w:tcW w:type="dxa" w:w="3836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146" w:after="0"/>
              <w:ind w:left="0" w:right="114" w:firstLine="0"/>
              <w:jc w:val="right"/>
            </w:pPr>
            <w:r>
              <w:rPr>
                <w:rFonts w:ascii="Courier New" w:hAnsi="Courier New" w:eastAsia="Courier New"/>
                <w:b w:val="0"/>
                <w:i w:val="0"/>
                <w:color w:val="002337"/>
                <w:sz w:val="18"/>
              </w:rPr>
              <w:t>o</w:t>
            </w:r>
          </w:p>
        </w:tc>
        <w:tc>
          <w:tcPr>
            <w:tcW w:type="dxa" w:w="10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04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>ARM (Analyse Risque Médical)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: présent dans 185 villes dont 14 adresses à Paris et 19 en région parisienne − 09 70 </w:t>
            </w:r>
          </w:p>
        </w:tc>
        <w:tc>
          <w:tcPr>
            <w:tcW w:type="dxa" w:w="3836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10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28" w:after="0"/>
              <w:ind w:left="934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72 72 72 −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</w:t>
            </w:r>
            <w:r>
              <w:rPr>
                <w:u w:val="single" w:color="002237"/>
                <w:rFonts w:ascii="Open Sans" w:hAnsi="Open Sans" w:eastAsia="Open Sans"/>
                <w:b w:val="0"/>
                <w:i w:val="0"/>
                <w:color w:val="002337"/>
                <w:sz w:val="18"/>
              </w:rPr>
              <w:hyperlink r:id="rId23" w:history="1">
                <w:r>
                  <w:rPr>
                    <w:rStyle w:val="Hyperlink"/>
                  </w:rPr>
                  <w:t>http://www.armfrance.com/</w:t>
                </w:r>
              </w:hyperlink>
            </w:r>
          </w:p>
        </w:tc>
        <w:tc>
          <w:tcPr>
            <w:tcW w:type="dxa" w:w="3836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94" w:after="0"/>
              <w:ind w:left="0" w:right="114" w:firstLine="0"/>
              <w:jc w:val="right"/>
            </w:pPr>
            <w:r>
              <w:rPr>
                <w:rFonts w:ascii="Courier New" w:hAnsi="Courier New" w:eastAsia="Courier New"/>
                <w:b w:val="0"/>
                <w:i w:val="0"/>
                <w:color w:val="002337"/>
                <w:sz w:val="18"/>
              </w:rPr>
              <w:t>o</w:t>
            </w:r>
          </w:p>
        </w:tc>
        <w:tc>
          <w:tcPr>
            <w:tcW w:type="dxa" w:w="10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52" w:after="0"/>
              <w:ind w:left="134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Montaigne santé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: présent à Paris 53 avenue Montaigne 75008 − 01 42 25 60 31−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</w:t>
            </w:r>
            <w:r>
              <w:rPr>
                <w:u w:val="single" w:color="002237"/>
                <w:rFonts w:ascii="Open Sans" w:hAnsi="Open Sans" w:eastAsia="Open Sans"/>
                <w:b w:val="0"/>
                <w:i w:val="0"/>
                <w:color w:val="002337"/>
                <w:sz w:val="18"/>
              </w:rPr>
              <w:hyperlink r:id="rId24" w:history="1">
                <w:r>
                  <w:rPr>
                    <w:rStyle w:val="Hyperlink"/>
                  </w:rPr>
                  <w:t>http://www.montaigne−sante.fr/</w:t>
                </w:r>
              </w:hyperlink>
            </w:r>
          </w:p>
        </w:tc>
        <w:tc>
          <w:tcPr>
            <w:tcW w:type="dxa" w:w="3836"/>
            <w:vMerge/>
            <w:tcBorders/>
          </w:tcPr>
          <w:p/>
        </w:tc>
      </w:tr>
      <w:tr>
        <w:trPr>
          <w:trHeight w:hRule="exact" w:val="490"/>
        </w:trPr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96" w:after="0"/>
              <w:ind w:left="0" w:right="114" w:firstLine="0"/>
              <w:jc w:val="right"/>
            </w:pPr>
            <w:r>
              <w:rPr>
                <w:rFonts w:ascii="Courier New" w:hAnsi="Courier New" w:eastAsia="Courier New"/>
                <w:b w:val="0"/>
                <w:i w:val="0"/>
                <w:color w:val="002337"/>
                <w:sz w:val="18"/>
              </w:rPr>
              <w:t>o</w:t>
            </w:r>
          </w:p>
        </w:tc>
        <w:tc>
          <w:tcPr>
            <w:tcW w:type="dxa" w:w="10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4" w:after="0"/>
              <w:ind w:left="134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ABCOS-CIVEM-CBSA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: présent dans 205 centres − 09 69 32 27 32 −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</w:t>
            </w:r>
            <w:r>
              <w:rPr>
                <w:u w:val="single" w:color="002237"/>
                <w:rFonts w:ascii="Open Sans" w:hAnsi="Open Sans" w:eastAsia="Open Sans"/>
                <w:b w:val="0"/>
                <w:i w:val="0"/>
                <w:color w:val="002337"/>
                <w:sz w:val="18"/>
              </w:rPr>
              <w:hyperlink r:id="rId25" w:history="1">
                <w:r>
                  <w:rPr>
                    <w:rStyle w:val="Hyperlink"/>
                  </w:rPr>
                  <w:t>http://www.abcossante.com/</w:t>
                </w:r>
              </w:hyperlink>
            </w:r>
          </w:p>
        </w:tc>
        <w:tc>
          <w:tcPr>
            <w:tcW w:type="dxa" w:w="3836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906" w:h="16838"/>
      <w:pgMar w:top="360" w:right="114" w:bottom="88" w:left="284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yperlink" Target="http://www.zenioo.com/" TargetMode="External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hyperlink" Target="mailto:lcb-ft.tracfin@zenioo.com" TargetMode="External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hyperlink" Target="http://www.armfrance.com/" TargetMode="External"/><Relationship Id="rId24" Type="http://schemas.openxmlformats.org/officeDocument/2006/relationships/hyperlink" Target="http://www.montaigne&#8722;sante.fr/" TargetMode="External"/><Relationship Id="rId25" Type="http://schemas.openxmlformats.org/officeDocument/2006/relationships/hyperlink" Target="http://www.abcossant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