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-946150</wp:posOffset>
            </wp:positionH>
            <wp:positionV relativeFrom="page">
              <wp:posOffset>-789940</wp:posOffset>
            </wp:positionV>
            <wp:extent cx="2874010" cy="2852602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85260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158750</wp:posOffset>
            </wp:positionH>
            <wp:positionV relativeFrom="page">
              <wp:posOffset>3601720</wp:posOffset>
            </wp:positionV>
            <wp:extent cx="2241550" cy="1648665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6486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2616200</wp:posOffset>
            </wp:positionH>
            <wp:positionV relativeFrom="page">
              <wp:posOffset>3611879</wp:posOffset>
            </wp:positionV>
            <wp:extent cx="2242820" cy="165277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65277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5082540</wp:posOffset>
            </wp:positionH>
            <wp:positionV relativeFrom="page">
              <wp:posOffset>3639820</wp:posOffset>
            </wp:positionV>
            <wp:extent cx="2242819" cy="1629477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2819" cy="162947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4686300</wp:posOffset>
            </wp:positionH>
            <wp:positionV relativeFrom="page">
              <wp:posOffset>2044700</wp:posOffset>
            </wp:positionV>
            <wp:extent cx="2527300" cy="5588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558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5730240</wp:posOffset>
            </wp:positionH>
            <wp:positionV relativeFrom="page">
              <wp:posOffset>619760</wp:posOffset>
            </wp:positionV>
            <wp:extent cx="628650" cy="187346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8734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5727700</wp:posOffset>
            </wp:positionH>
            <wp:positionV relativeFrom="page">
              <wp:posOffset>609600</wp:posOffset>
            </wp:positionV>
            <wp:extent cx="635000" cy="2032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0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50"/>
        <w:ind w:left="0" w:right="1438" w:firstLine="0"/>
        <w:jc w:val="right"/>
      </w:pPr>
      <w:r>
        <w:rPr>
          <w:rFonts w:ascii="Open Sans" w:hAnsi="Open Sans" w:eastAsia="Open Sans"/>
          <w:b/>
          <w:i w:val="0"/>
          <w:color w:val="759AAB"/>
          <w:sz w:val="20"/>
        </w:rPr>
        <w:t xml:space="preserve">FICHE PRODUIT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1480"/>
      </w:tblGrid>
      <w:tr>
        <w:trPr>
          <w:trHeight w:hRule="exact" w:val="1200"/>
        </w:trPr>
        <w:tc>
          <w:tcPr>
            <w:tcW w:type="dxa" w:w="9826"/>
            <w:tcBorders>
              <w:start w:sz="12.0" w:val="single" w:color="#E42D45"/>
              <w:top w:sz="12.0" w:val="single" w:color="#E42D45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4" w:val="left"/>
              </w:tabs>
              <w:autoSpaceDE w:val="0"/>
              <w:widowControl/>
              <w:spacing w:line="245" w:lineRule="auto" w:before="174" w:after="0"/>
              <w:ind w:left="216" w:right="115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36"/>
              </w:rPr>
              <w:t xml:space="preserve">Garantie Emprunteur – Harmonie Mutuelle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by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L’alternative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32"/>
              </w:rPr>
              <w:t>+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 économique et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32"/>
              </w:rPr>
              <w:t>+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 sécurisante face aux contrats bancaires </w:t>
            </w:r>
          </w:p>
        </w:tc>
      </w:tr>
    </w:tbl>
    <w:p>
      <w:pPr>
        <w:autoSpaceDN w:val="0"/>
        <w:autoSpaceDE w:val="0"/>
        <w:widowControl/>
        <w:spacing w:line="230" w:lineRule="auto" w:before="872" w:after="102"/>
        <w:ind w:left="490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Pourquoi choisir Garantie Emprunteur – Harmonie Mutuelle ? </w:t>
      </w:r>
    </w:p>
    <w:p>
      <w:pPr>
        <w:sectPr>
          <w:pgSz w:w="11906" w:h="16838"/>
          <w:pgMar w:top="160" w:right="196" w:bottom="88" w:left="2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84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6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20"/>
        </w:rPr>
        <w:t xml:space="preserve">Couverture des gros capitaux : jusqu’à 4 millions </w:t>
      </w:r>
      <w:r>
        <w:br/>
      </w:r>
      <w:r>
        <w:rPr>
          <w:rFonts w:ascii="Symbol" w:hAnsi="Symbol" w:eastAsia="Symbol"/>
          <w:b w:val="0"/>
          <w:i w:val="0"/>
          <w:color w:val="002337"/>
          <w:sz w:val="26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20"/>
        </w:rPr>
        <w:t xml:space="preserve">Couverture des prêts longues durées : jusqu’à 35 ans </w:t>
      </w:r>
      <w:r>
        <w:br/>
      </w:r>
      <w:r>
        <w:rPr>
          <w:rFonts w:ascii="Symbol" w:hAnsi="Symbol" w:eastAsia="Symbol"/>
          <w:b w:val="0"/>
          <w:i w:val="0"/>
          <w:color w:val="002337"/>
          <w:sz w:val="26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20"/>
        </w:rPr>
        <w:t>Questionnaire de santé simplifié jusqu’à 40 ans et 750 000 €</w:t>
      </w:r>
      <w:r>
        <w:rPr>
          <w:rFonts w:ascii="Symbol" w:hAnsi="Symbol" w:eastAsia="Symbol"/>
          <w:b w:val="0"/>
          <w:i w:val="0"/>
          <w:color w:val="002337"/>
          <w:sz w:val="26"/>
        </w:rPr>
        <w:t></w:t>
      </w:r>
      <w:r>
        <w:rPr>
          <w:rFonts w:ascii="Open Sans" w:hAnsi="Open Sans" w:eastAsia="Open Sans"/>
          <w:b w:val="0"/>
          <w:i w:val="0"/>
          <w:color w:val="002337"/>
          <w:sz w:val="20"/>
        </w:rPr>
        <w:t>Couverture des prêts en francs suisses (converti en €)</w:t>
      </w:r>
    </w:p>
    <w:p>
      <w:pPr>
        <w:autoSpaceDN w:val="0"/>
        <w:autoSpaceDE w:val="0"/>
        <w:widowControl/>
        <w:spacing w:line="230" w:lineRule="auto" w:before="358" w:after="0"/>
        <w:ind w:left="490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>En un clin d’œil</w:t>
      </w:r>
    </w:p>
    <w:p>
      <w:pPr>
        <w:sectPr>
          <w:type w:val="continuous"/>
          <w:pgSz w:w="11906" w:h="16838"/>
          <w:pgMar w:top="160" w:right="196" w:bottom="88" w:left="230" w:header="720" w:footer="720" w:gutter="0"/>
          <w:cols w:num="2" w:equalWidth="0">
            <w:col w:w="7134" w:space="0"/>
            <w:col w:w="434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32" w:right="576" w:firstLine="0"/>
        <w:jc w:val="center"/>
      </w:pPr>
      <w:r>
        <w:rPr>
          <w:rFonts w:ascii="Open Sans" w:hAnsi="Open Sans" w:eastAsia="Open Sans"/>
          <w:b/>
          <w:i w:val="0"/>
          <w:color w:val="002337"/>
          <w:sz w:val="21"/>
        </w:rPr>
        <w:t xml:space="preserve">Aucun questionnaire de santé </w:t>
      </w:r>
      <w:r>
        <w:rPr>
          <w:rFonts w:ascii="Open Sans" w:hAnsi="Open Sans" w:eastAsia="Open Sans"/>
          <w:b/>
          <w:i w:val="0"/>
          <w:color w:val="002337"/>
          <w:sz w:val="21"/>
        </w:rPr>
        <w:t xml:space="preserve">pour les prêts &lt; à 200 000 € * </w:t>
      </w:r>
    </w:p>
    <w:p>
      <w:pPr>
        <w:autoSpaceDN w:val="0"/>
        <w:autoSpaceDE w:val="0"/>
        <w:widowControl/>
        <w:spacing w:line="245" w:lineRule="auto" w:before="314" w:after="604"/>
        <w:ind w:left="348" w:right="288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4"/>
        </w:rPr>
        <w:t xml:space="preserve">* avec un terme antérieur aux 60 ans de l’emprunteur </w:t>
      </w:r>
      <w:r>
        <w:rPr>
          <w:rFonts w:ascii="Open Sans" w:hAnsi="Open Sans" w:eastAsia="Open Sans"/>
          <w:b w:val="0"/>
          <w:i w:val="0"/>
          <w:color w:val="002337"/>
          <w:sz w:val="14"/>
        </w:rPr>
        <w:t xml:space="preserve">et tenant compte de l’encours assuré des autres crédits </w:t>
      </w:r>
    </w:p>
    <w:p>
      <w:pPr>
        <w:sectPr>
          <w:type w:val="nextColumn"/>
          <w:pgSz w:w="11906" w:h="16838"/>
          <w:pgMar w:top="160" w:right="196" w:bottom="88" w:left="230" w:header="720" w:footer="720" w:gutter="0"/>
          <w:cols w:num="2" w:equalWidth="0">
            <w:col w:w="7134" w:space="0"/>
            <w:col w:w="4346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140"/>
        <w:ind w:left="490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20"/>
        </w:rPr>
        <w:t>Produit géré par Multi-Impact et assuré par Harmonie Mutuelle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13"/>
        <w:gridCol w:w="1913"/>
        <w:gridCol w:w="1913"/>
        <w:gridCol w:w="1913"/>
        <w:gridCol w:w="1913"/>
        <w:gridCol w:w="1913"/>
      </w:tblGrid>
      <w:tr>
        <w:trPr>
          <w:trHeight w:hRule="exact" w:val="410"/>
        </w:trPr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344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1"/>
              </w:rPr>
              <w:t xml:space="preserve">Pour vous </w:t>
            </w:r>
          </w:p>
        </w:tc>
        <w:tc>
          <w:tcPr>
            <w:tcW w:type="dxa" w:w="5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0" w:right="12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46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Pour votre client 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2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22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2"/>
              </w:rPr>
              <w:t xml:space="preserve">Formalités médicales </w:t>
            </w:r>
          </w:p>
        </w:tc>
      </w:tr>
      <w:tr>
        <w:trPr>
          <w:trHeight w:hRule="exact" w:val="278"/>
        </w:trPr>
        <w:tc>
          <w:tcPr>
            <w:tcW w:type="dxa" w:w="1913"/>
            <w:vMerge/>
            <w:tcBorders/>
          </w:tcPr>
          <w:p/>
        </w:tc>
        <w:tc>
          <w:tcPr>
            <w:tcW w:type="dxa" w:w="3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3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Différents modes de </w:t>
            </w:r>
          </w:p>
        </w:tc>
        <w:tc>
          <w:tcPr>
            <w:tcW w:type="dxa" w:w="1913"/>
            <w:vMerge/>
            <w:tcBorders/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1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Parcours de souscription en </w:t>
            </w:r>
          </w:p>
        </w:tc>
        <w:tc>
          <w:tcPr>
            <w:tcW w:type="dxa" w:w="1913"/>
            <w:vMerge/>
            <w:tcBorders/>
          </w:tcPr>
          <w:p/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Questionnaire de santé </w:t>
            </w:r>
          </w:p>
        </w:tc>
      </w:tr>
      <w:tr>
        <w:trPr>
          <w:trHeight w:hRule="exact" w:val="57"/>
        </w:trPr>
        <w:tc>
          <w:tcPr>
            <w:tcW w:type="dxa" w:w="1913"/>
            <w:vMerge/>
            <w:tcBorders/>
          </w:tcPr>
          <w:p/>
        </w:tc>
        <w:tc>
          <w:tcPr>
            <w:tcW w:type="dxa" w:w="3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3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commissions linéaires ou </w:t>
            </w:r>
          </w:p>
        </w:tc>
        <w:tc>
          <w:tcPr>
            <w:tcW w:type="dxa" w:w="1913"/>
            <w:vMerge/>
            <w:tcBorders/>
          </w:tcPr>
          <w:p/>
        </w:tc>
        <w:tc>
          <w:tcPr>
            <w:tcW w:type="dxa" w:w="1913"/>
            <w:vMerge/>
            <w:tcBorders/>
          </w:tcPr>
          <w:p/>
        </w:tc>
        <w:tc>
          <w:tcPr>
            <w:tcW w:type="dxa" w:w="1913"/>
            <w:vMerge/>
            <w:tcBorders/>
          </w:tcPr>
          <w:p/>
        </w:tc>
        <w:tc>
          <w:tcPr>
            <w:tcW w:type="dxa" w:w="1913"/>
            <w:vMerge/>
            <w:tcBorders/>
          </w:tcPr>
          <w:p/>
        </w:tc>
      </w:tr>
      <w:tr>
        <w:trPr>
          <w:trHeight w:hRule="exact" w:val="229"/>
        </w:trPr>
        <w:tc>
          <w:tcPr>
            <w:tcW w:type="dxa" w:w="390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13"/>
            <w:vMerge/>
            <w:tcBorders/>
          </w:tcPr>
          <w:p/>
        </w:tc>
        <w:tc>
          <w:tcPr>
            <w:tcW w:type="dxa" w:w="564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ligne y compris la sélection </w:t>
            </w:r>
          </w:p>
        </w:tc>
        <w:tc>
          <w:tcPr>
            <w:tcW w:type="dxa" w:w="560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4" w:after="0"/>
              <w:ind w:left="0" w:right="12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jusqu’à 45 ans et 750 000 € </w:t>
            </w:r>
          </w:p>
        </w:tc>
      </w:tr>
      <w:tr>
        <w:trPr>
          <w:trHeight w:hRule="exact" w:val="88"/>
        </w:trPr>
        <w:tc>
          <w:tcPr>
            <w:tcW w:type="dxa" w:w="1913"/>
            <w:vMerge/>
            <w:tcBorders>
              <w:bottom w:sz="8.0" w:val="single" w:color="#EEF4F5"/>
            </w:tcBorders>
          </w:tcPr>
          <w:p/>
        </w:tc>
        <w:tc>
          <w:tcPr>
            <w:tcW w:type="dxa" w:w="33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3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escomptés et précomptés </w:t>
            </w:r>
          </w:p>
        </w:tc>
        <w:tc>
          <w:tcPr>
            <w:tcW w:type="dxa" w:w="1913"/>
            <w:vMerge/>
            <w:tcBorders>
              <w:bottom w:sz="8.0" w:val="single" w:color="#EEF4F5"/>
            </w:tcBorders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médicale </w:t>
            </w:r>
          </w:p>
        </w:tc>
        <w:tc>
          <w:tcPr>
            <w:tcW w:type="dxa" w:w="1913"/>
            <w:vMerge/>
            <w:tcBorders>
              <w:bottom w:sz="8.0" w:val="single" w:color="#EEF4F5"/>
            </w:tcBorders>
          </w:tcPr>
          <w:p/>
        </w:tc>
        <w:tc>
          <w:tcPr>
            <w:tcW w:type="dxa" w:w="1913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913"/>
            <w:vMerge/>
            <w:tcBorders>
              <w:bottom w:sz="8.0" w:val="single" w:color="#EEF4F5"/>
            </w:tcBorders>
          </w:tcPr>
          <w:p/>
        </w:tc>
        <w:tc>
          <w:tcPr>
            <w:tcW w:type="dxa" w:w="1913"/>
            <w:vMerge/>
            <w:tcBorders/>
          </w:tcPr>
          <w:p/>
        </w:tc>
        <w:tc>
          <w:tcPr>
            <w:tcW w:type="dxa" w:w="1913"/>
            <w:vMerge/>
            <w:tcBorders>
              <w:bottom w:sz="8.0" w:val="single" w:color="#EEF4F5"/>
            </w:tcBorders>
          </w:tcPr>
          <w:p/>
        </w:tc>
        <w:tc>
          <w:tcPr>
            <w:tcW w:type="dxa" w:w="1913"/>
            <w:vMerge/>
            <w:tcBorders/>
          </w:tcPr>
          <w:p/>
        </w:tc>
        <w:tc>
          <w:tcPr>
            <w:tcW w:type="dxa" w:w="1913"/>
            <w:vMerge/>
            <w:tcBorders>
              <w:bottom w:sz="8.0" w:val="single" w:color="#EEF4F5"/>
            </w:tcBorders>
          </w:tcPr>
          <w:p/>
        </w:tc>
        <w:tc>
          <w:tcPr>
            <w:tcW w:type="dxa" w:w="3120"/>
            <w:vMerge w:val="restart"/>
            <w:tcBorders>
              <w:bottom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1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Partenariats avec les centres </w:t>
            </w:r>
          </w:p>
        </w:tc>
      </w:tr>
      <w:tr>
        <w:trPr>
          <w:trHeight w:hRule="exact" w:val="104"/>
        </w:trPr>
        <w:tc>
          <w:tcPr>
            <w:tcW w:type="dxa" w:w="1913"/>
            <w:vMerge/>
            <w:tcBorders>
              <w:bottom w:sz="8.0" w:val="single" w:color="#EEF4F5"/>
            </w:tcBorders>
          </w:tcPr>
          <w:p/>
        </w:tc>
        <w:tc>
          <w:tcPr>
            <w:tcW w:type="dxa" w:w="3316"/>
            <w:tcBorders>
              <w:bottom w:sz="8.0" w:val="single" w:color="#EEF4F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13"/>
            <w:vMerge/>
            <w:tcBorders>
              <w:bottom w:sz="8.0" w:val="single" w:color="#EEF4F5"/>
            </w:tcBorders>
          </w:tcPr>
          <w:p/>
        </w:tc>
        <w:tc>
          <w:tcPr>
            <w:tcW w:type="dxa" w:w="3320"/>
            <w:tcBorders>
              <w:bottom w:sz="8.0" w:val="single" w:color="#EEF4F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13"/>
            <w:vMerge/>
            <w:tcBorders>
              <w:bottom w:sz="8.0" w:val="single" w:color="#EEF4F5"/>
            </w:tcBorders>
          </w:tcPr>
          <w:p/>
        </w:tc>
        <w:tc>
          <w:tcPr>
            <w:tcW w:type="dxa" w:w="1913"/>
            <w:vMerge/>
            <w:tcBorders>
              <w:bottom w:sz="8.0" w:val="single" w:color="#EEF4F5"/>
            </w:tcBorders>
          </w:tcPr>
          <w:p/>
        </w:tc>
      </w:tr>
      <w:tr>
        <w:trPr>
          <w:trHeight w:hRule="exact" w:val="190"/>
        </w:trPr>
        <w:tc>
          <w:tcPr>
            <w:tcW w:type="dxa" w:w="390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316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3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Frais de courtage </w:t>
            </w:r>
          </w:p>
        </w:tc>
        <w:tc>
          <w:tcPr>
            <w:tcW w:type="dxa" w:w="564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320"/>
            <w:tcBorders>
              <w:top w:sz="8.0" w:val="single" w:color="#EE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Prise en charge des </w:t>
            </w:r>
          </w:p>
        </w:tc>
        <w:tc>
          <w:tcPr>
            <w:tcW w:type="dxa" w:w="560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vMerge w:val="restart"/>
            <w:tcBorders>
              <w:top w:sz="8.0" w:val="single" w:color="#EE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de santé CBSA, ARM et CIVEM </w:t>
            </w:r>
          </w:p>
        </w:tc>
      </w:tr>
      <w:tr>
        <w:trPr>
          <w:trHeight w:hRule="exact" w:val="281"/>
        </w:trPr>
        <w:tc>
          <w:tcPr>
            <w:tcW w:type="dxa" w:w="3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9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2337"/>
                <w:sz w:val="20"/>
              </w:rPr>
              <w:t></w:t>
            </w:r>
          </w:p>
        </w:tc>
        <w:tc>
          <w:tcPr>
            <w:tcW w:type="dxa" w:w="3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3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intégralement reversés jusqu’à </w:t>
            </w:r>
          </w:p>
        </w:tc>
        <w:tc>
          <w:tcPr>
            <w:tcW w:type="dxa" w:w="1913"/>
            <w:vMerge/>
            <w:tcBorders>
              <w:top w:sz="8.0" w:val="single" w:color="#EEF4F5"/>
            </w:tcBorders>
          </w:tcPr>
          <w:p/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démarches administratives en </w:t>
            </w:r>
          </w:p>
        </w:tc>
        <w:tc>
          <w:tcPr>
            <w:tcW w:type="dxa" w:w="1913"/>
            <w:vMerge/>
            <w:tcBorders>
              <w:top w:sz="8.0" w:val="single" w:color="#EEF4F5"/>
            </w:tcBorders>
          </w:tcPr>
          <w:p/>
        </w:tc>
        <w:tc>
          <w:tcPr>
            <w:tcW w:type="dxa" w:w="1913"/>
            <w:vMerge/>
            <w:tcBorders>
              <w:top w:sz="8.0" w:val="single" w:color="#EEF4F5"/>
            </w:tcBorders>
          </w:tcPr>
          <w:p/>
        </w:tc>
      </w:tr>
      <w:tr>
        <w:trPr>
          <w:trHeight w:hRule="exact" w:val="282"/>
        </w:trPr>
        <w:tc>
          <w:tcPr>
            <w:tcW w:type="dxa" w:w="1913"/>
            <w:vMerge/>
            <w:tcBorders/>
          </w:tcPr>
          <w:p/>
        </w:tc>
        <w:tc>
          <w:tcPr>
            <w:tcW w:type="dxa" w:w="3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3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500 € par assuré </w:t>
            </w:r>
          </w:p>
        </w:tc>
        <w:tc>
          <w:tcPr>
            <w:tcW w:type="dxa" w:w="1913"/>
            <w:vMerge/>
            <w:tcBorders>
              <w:top w:sz="8.0" w:val="single" w:color="#EEF4F5"/>
            </w:tcBorders>
          </w:tcPr>
          <w:p/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cas de reprise Hamon / </w:t>
            </w:r>
          </w:p>
        </w:tc>
        <w:tc>
          <w:tcPr>
            <w:tcW w:type="dxa" w:w="1913"/>
            <w:vMerge/>
            <w:tcBorders>
              <w:top w:sz="8.0" w:val="single" w:color="#EEF4F5"/>
            </w:tcBorders>
          </w:tcPr>
          <w:p/>
        </w:tc>
        <w:tc>
          <w:tcPr>
            <w:tcW w:type="dxa" w:w="1913"/>
            <w:vMerge/>
            <w:tcBorders>
              <w:top w:sz="8.0" w:val="single" w:color="#EEF4F5"/>
            </w:tcBorders>
          </w:tcPr>
          <w:p/>
        </w:tc>
      </w:tr>
      <w:tr>
        <w:trPr>
          <w:trHeight w:hRule="exact" w:val="273"/>
        </w:trPr>
        <w:tc>
          <w:tcPr>
            <w:tcW w:type="dxa" w:w="1913"/>
            <w:vMerge/>
            <w:tcBorders/>
          </w:tcPr>
          <w:p/>
        </w:tc>
        <w:tc>
          <w:tcPr>
            <w:tcW w:type="dxa" w:w="3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3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Gestion VIP automatique pour </w:t>
            </w:r>
          </w:p>
        </w:tc>
        <w:tc>
          <w:tcPr>
            <w:tcW w:type="dxa" w:w="1913"/>
            <w:vMerge/>
            <w:tcBorders>
              <w:top w:sz="8.0" w:val="single" w:color="#EEF4F5"/>
            </w:tcBorders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Bourquin </w:t>
            </w:r>
          </w:p>
        </w:tc>
        <w:tc>
          <w:tcPr>
            <w:tcW w:type="dxa" w:w="1913"/>
            <w:vMerge/>
            <w:tcBorders>
              <w:top w:sz="8.0" w:val="single" w:color="#EEF4F5"/>
            </w:tcBorders>
          </w:tcPr>
          <w:p/>
        </w:tc>
        <w:tc>
          <w:tcPr>
            <w:tcW w:type="dxa" w:w="1913"/>
            <w:vMerge/>
            <w:tcBorders>
              <w:top w:sz="8.0" w:val="single" w:color="#EEF4F5"/>
            </w:tcBorders>
          </w:tcPr>
          <w:p/>
        </w:tc>
      </w:tr>
      <w:tr>
        <w:trPr>
          <w:trHeight w:hRule="exact" w:val="314"/>
        </w:trPr>
        <w:tc>
          <w:tcPr>
            <w:tcW w:type="dxa" w:w="1913"/>
            <w:vMerge/>
            <w:tcBorders/>
          </w:tcPr>
          <w:p/>
        </w:tc>
        <w:tc>
          <w:tcPr>
            <w:tcW w:type="dxa" w:w="3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3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20"/>
              </w:rPr>
              <w:t xml:space="preserve">les dossiers dès 600 000 € </w:t>
            </w:r>
          </w:p>
        </w:tc>
        <w:tc>
          <w:tcPr>
            <w:tcW w:type="dxa" w:w="1913"/>
            <w:vMerge/>
            <w:tcBorders>
              <w:top w:sz="8.0" w:val="single" w:color="#EEF4F5"/>
            </w:tcBorders>
          </w:tcPr>
          <w:p/>
        </w:tc>
        <w:tc>
          <w:tcPr>
            <w:tcW w:type="dxa" w:w="1913"/>
            <w:vMerge/>
            <w:tcBorders/>
          </w:tcPr>
          <w:p/>
        </w:tc>
        <w:tc>
          <w:tcPr>
            <w:tcW w:type="dxa" w:w="1913"/>
            <w:vMerge/>
            <w:tcBorders>
              <w:top w:sz="8.0" w:val="single" w:color="#EEF4F5"/>
            </w:tcBorders>
          </w:tcPr>
          <w:p/>
        </w:tc>
        <w:tc>
          <w:tcPr>
            <w:tcW w:type="dxa" w:w="1913"/>
            <w:vMerge/>
            <w:tcBorders>
              <w:top w:sz="8.0" w:val="single" w:color="#EEF4F5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74" w:after="0"/>
        <w:ind w:left="490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Garanties </w:t>
      </w:r>
    </w:p>
    <w:p>
      <w:pPr>
        <w:autoSpaceDN w:val="0"/>
        <w:autoSpaceDE w:val="0"/>
        <w:widowControl/>
        <w:spacing w:line="245" w:lineRule="auto" w:before="104" w:after="136"/>
        <w:ind w:left="490" w:right="432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tant que distributeur de produits d’assurance, vous devez proposer des produits qui sont cohérents avec les exigences et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besoins du souscripteur éventuel ou de l’adhérent éventuel.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.00000000000001" w:type="dxa"/>
      </w:tblPr>
      <w:tblGrid>
        <w:gridCol w:w="2870"/>
        <w:gridCol w:w="2870"/>
        <w:gridCol w:w="2870"/>
        <w:gridCol w:w="2870"/>
      </w:tblGrid>
      <w:tr>
        <w:trPr>
          <w:trHeight w:hRule="exact" w:val="498"/>
        </w:trPr>
        <w:tc>
          <w:tcPr>
            <w:tcW w:type="dxa" w:w="2270"/>
            <w:tcBorders>
              <w:end w:sz="3.9999999999998863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Description </w:t>
            </w:r>
          </w:p>
        </w:tc>
        <w:tc>
          <w:tcPr>
            <w:tcW w:type="dxa" w:w="2130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432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Âge limite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à l’adhésion </w:t>
            </w:r>
          </w:p>
        </w:tc>
        <w:tc>
          <w:tcPr>
            <w:tcW w:type="dxa" w:w="2120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Âge limite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>à l’indemnisation</w:t>
            </w:r>
          </w:p>
        </w:tc>
      </w:tr>
      <w:tr>
        <w:trPr>
          <w:trHeight w:hRule="exact" w:val="746"/>
        </w:trPr>
        <w:tc>
          <w:tcPr>
            <w:tcW w:type="dxa" w:w="2270"/>
            <w:tcBorders>
              <w:start w:sz="3.200000000000003" w:val="single" w:color="#AEC5CF"/>
              <w:top w:sz="3.199999999999818" w:val="single" w:color="#AEC5CF"/>
              <w:end w:sz="3.9999999999998863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43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Décès Perte Totale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et Irréversible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d’Autonomie (PTIA)</w:t>
            </w:r>
          </w:p>
        </w:tc>
        <w:tc>
          <w:tcPr>
            <w:tcW w:type="dxa" w:w="4824"/>
            <w:tcBorders>
              <w:start w:sz="3.9999999999998863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du capital restant dû au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jour du décès ou de la PTIA dans la limite de la quotité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souscrite </w:t>
            </w:r>
          </w:p>
        </w:tc>
        <w:tc>
          <w:tcPr>
            <w:tcW w:type="dxa" w:w="2130"/>
            <w:tcBorders>
              <w:start w:sz="4.0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144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Si Décès seul : 79 ans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/ PTIA : 68 ans </w:t>
            </w:r>
          </w:p>
        </w:tc>
        <w:tc>
          <w:tcPr>
            <w:tcW w:type="dxa" w:w="2120"/>
            <w:tcBorders>
              <w:start w:sz="4.0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Décès / PTIA : jusqu’au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90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ème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anniversaire </w:t>
            </w:r>
          </w:p>
        </w:tc>
      </w:tr>
      <w:tr>
        <w:trPr>
          <w:trHeight w:hRule="exact" w:val="746"/>
        </w:trPr>
        <w:tc>
          <w:tcPr>
            <w:tcW w:type="dxa" w:w="2270"/>
            <w:tcBorders>
              <w:start w:sz="3.200000000000003" w:val="single" w:color="#AEC5CF"/>
              <w:top w:sz="3.199999999999818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Incapacité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Temporaire Totale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(ITT) </w:t>
            </w:r>
          </w:p>
        </w:tc>
        <w:tc>
          <w:tcPr>
            <w:tcW w:type="dxa" w:w="4824"/>
            <w:tcBorders>
              <w:start w:sz="3.9999999999998863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des échéances de prêt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dans la limite de la quotité souscrite </w:t>
            </w:r>
          </w:p>
        </w:tc>
        <w:tc>
          <w:tcPr>
            <w:tcW w:type="dxa" w:w="2130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68 ans </w:t>
            </w:r>
          </w:p>
        </w:tc>
        <w:tc>
          <w:tcPr>
            <w:tcW w:type="dxa" w:w="2120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4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69 ans </w:t>
            </w:r>
          </w:p>
        </w:tc>
      </w:tr>
      <w:tr>
        <w:trPr>
          <w:trHeight w:hRule="exact" w:val="746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Invalidité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Permanente Totale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(IP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T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) </w:t>
            </w:r>
          </w:p>
        </w:tc>
        <w:tc>
          <w:tcPr>
            <w:tcW w:type="dxa" w:w="4824"/>
            <w:tcBorders>
              <w:start w:sz="3.999999999999886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des échéances de prêt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dans la limite de la quotité souscrite </w:t>
            </w:r>
          </w:p>
        </w:tc>
        <w:tc>
          <w:tcPr>
            <w:tcW w:type="dxa" w:w="213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68 ans </w:t>
            </w:r>
          </w:p>
        </w:tc>
        <w:tc>
          <w:tcPr>
            <w:tcW w:type="dxa" w:w="212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69 ans </w:t>
            </w:r>
          </w:p>
        </w:tc>
      </w:tr>
      <w:tr>
        <w:trPr>
          <w:trHeight w:hRule="exact" w:val="744"/>
        </w:trPr>
        <w:tc>
          <w:tcPr>
            <w:tcW w:type="dxa" w:w="2270"/>
            <w:tcBorders>
              <w:start w:sz="3.200000000000003" w:val="single" w:color="#AEC5CF"/>
              <w:top w:sz="4.0" w:val="single" w:color="#AEC5CF"/>
              <w:end w:sz="3.9999999999998863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86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Invalidité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Permanente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Pa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r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tielle (IPP) </w:t>
            </w:r>
          </w:p>
        </w:tc>
        <w:tc>
          <w:tcPr>
            <w:tcW w:type="dxa" w:w="4824"/>
            <w:vMerge w:val="restart"/>
            <w:tcBorders>
              <w:start w:sz="3.20000000000000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</w:tabs>
              <w:autoSpaceDE w:val="0"/>
              <w:widowControl/>
              <w:spacing w:line="245" w:lineRule="auto" w:before="0" w:after="0"/>
              <w:ind w:left="0" w:right="0" w:firstLine="0"/>
              <w:jc w:val="left"/>
            </w:pP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Remboursement au prêteur de (N-33)/33 des </w:t>
            </w:r>
            <w:r>
              <w:br/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échéances dues dans la limite de la quotité souscrite </w:t>
            </w:r>
            <w:r>
              <w:tab/>
            </w:r>
            <w:r>
              <w:rPr>
                <w:rFonts w:ascii="Open Sans" w:hAnsi="Open Sans" w:eastAsia="Open Sans"/>
                <w:b w:val="0"/>
                <w:i/>
                <w:color w:val="002337"/>
                <w:sz w:val="18"/>
              </w:rPr>
              <w:t xml:space="preserve">N étant le taux d’incapacité reconnu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roduit vous pouvez vous référer au Document d’Information nor</w:t>
            </w:r>
          </w:p>
        </w:tc>
        <w:tc>
          <w:tcPr>
            <w:tcW w:type="dxa" w:w="2130"/>
            <w:vMerge w:val="restart"/>
            <w:tcBorders>
              <w:start w:sz="3.200000000000003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367" w:lineRule="auto" w:before="244" w:after="0"/>
              <w:ind w:left="0" w:right="0" w:firstLine="0"/>
              <w:jc w:val="left"/>
            </w:pP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68 ans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malisé sur le Produit (DIP) ou</w:t>
            </w:r>
          </w:p>
        </w:tc>
        <w:tc>
          <w:tcPr>
            <w:tcW w:type="dxa" w:w="212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69 ans </w:t>
            </w:r>
          </w:p>
        </w:tc>
      </w:tr>
      <w:tr>
        <w:trPr>
          <w:trHeight w:hRule="exact" w:val="228"/>
        </w:trPr>
        <w:tc>
          <w:tcPr>
            <w:tcW w:type="dxa" w:w="11344"/>
            <w:gridSpan w:val="4"/>
            <w:tcBorders>
              <w:start w:sz="3.200000000000003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Pour plus de détails sur le p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roduit vous pouvez vous référer au Document d’Information nor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malisé sur le Produit (DIP) ou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 à la notice d’informations</w:t>
            </w:r>
          </w:p>
        </w:tc>
      </w:tr>
    </w:tbl>
    <w:p>
      <w:pPr>
        <w:autoSpaceDN w:val="0"/>
        <w:autoSpaceDE w:val="0"/>
        <w:widowControl/>
        <w:spacing w:line="230" w:lineRule="auto" w:before="248" w:after="0"/>
        <w:ind w:left="490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Marché cible </w:t>
      </w:r>
    </w:p>
    <w:p>
      <w:pPr>
        <w:autoSpaceDN w:val="0"/>
        <w:autoSpaceDE w:val="0"/>
        <w:widowControl/>
        <w:spacing w:line="250" w:lineRule="auto" w:before="100" w:after="0"/>
        <w:ind w:left="490" w:right="474" w:firstLine="0"/>
        <w:jc w:val="both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Toute personne physique ou morale en cours de souscription d’un prêt ou ayant déjà souscrit un prêt, ayant le besoin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d’assurance pour couvrir le nouveau prêt ou celui déjà existant (reprise Hamon / Bourquin) sous réserve de répondre aux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limites fixées dans la notice d’information du produit. </w:t>
      </w:r>
    </w:p>
    <w:p>
      <w:pPr>
        <w:autoSpaceDN w:val="0"/>
        <w:autoSpaceDE w:val="0"/>
        <w:widowControl/>
        <w:spacing w:line="230" w:lineRule="auto" w:before="188" w:after="0"/>
        <w:ind w:left="490" w:right="0" w:firstLine="0"/>
        <w:jc w:val="left"/>
      </w:pPr>
      <w:r>
        <w:rPr>
          <w:rFonts w:ascii="Open Sans" w:hAnsi="Open Sans" w:eastAsia="Open Sans"/>
          <w:b/>
          <w:i w:val="0"/>
          <w:color w:val="759AAB"/>
          <w:sz w:val="18"/>
        </w:rPr>
        <w:t>Cœur de cible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: - 45 ans, CSP </w:t>
      </w:r>
      <w:r>
        <w:rPr>
          <w:rFonts w:ascii="Open Sans" w:hAnsi="Open Sans" w:eastAsia="Open Sans"/>
          <w:b w:val="0"/>
          <w:i w:val="0"/>
          <w:color w:val="002337"/>
          <w:sz w:val="22"/>
        </w:rPr>
        <w:t>+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, non-fumeur </w:t>
      </w:r>
    </w:p>
    <w:p>
      <w:pPr>
        <w:autoSpaceDN w:val="0"/>
        <w:autoSpaceDE w:val="0"/>
        <w:widowControl/>
        <w:spacing w:line="228" w:lineRule="auto" w:before="858" w:after="0"/>
        <w:ind w:left="0" w:right="474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1 / 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0.0" w:type="dxa"/>
      </w:tblPr>
      <w:tblGrid>
        <w:gridCol w:w="5740"/>
        <w:gridCol w:w="5740"/>
      </w:tblGrid>
      <w:tr>
        <w:trPr>
          <w:trHeight w:hRule="exact" w:val="522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3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Siège social : 6 cours André Philip, 69100 Villeurbanne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0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SAS au capital de 1.267.431 € euros, RCS de LYON n°884782582, intermédiaire en assurance immatriculé à l'ORIAS sous le n°200 058 79 (www.orias.fr)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 - 4 place de Budapest - CS 92459 - 75436 Paris Cedex 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160" w:right="196" w:bottom="88" w:left="2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152400</wp:posOffset>
            </wp:positionH>
            <wp:positionV relativeFrom="page">
              <wp:posOffset>381000</wp:posOffset>
            </wp:positionV>
            <wp:extent cx="7226300" cy="22733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2273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0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 Aucun questionnaire de santé pour les prêts &lt; à 200 000 € (Loi Lemoine) </w:t>
      </w:r>
    </w:p>
    <w:p>
      <w:pPr>
        <w:autoSpaceDN w:val="0"/>
        <w:autoSpaceDE w:val="0"/>
        <w:widowControl/>
        <w:spacing w:line="228" w:lineRule="auto" w:before="102" w:after="0"/>
        <w:ind w:left="0" w:right="0" w:firstLine="0"/>
        <w:jc w:val="center"/>
      </w:pPr>
      <w:r>
        <w:rPr>
          <w:rFonts w:ascii="Open Sans" w:hAnsi="Open Sans" w:eastAsia="Open Sans"/>
          <w:b/>
          <w:i w:val="0"/>
          <w:color w:val="002337"/>
          <w:sz w:val="18"/>
        </w:rPr>
        <w:t>Loi Lemoine · Nouveauté Juin 2022 :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Suppression du questionnaire de santé pour les prêts dont le montant assuré est </w:t>
      </w:r>
    </w:p>
    <w:p>
      <w:pPr>
        <w:autoSpaceDN w:val="0"/>
        <w:autoSpaceDE w:val="0"/>
        <w:widowControl/>
        <w:spacing w:line="230" w:lineRule="auto" w:before="1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inférieur à 200 000 € par assuré (en tenant compte de l’encours assuré de l’ensemble des contrats de crédit) et dont l’échéance </w:t>
      </w:r>
    </w:p>
    <w:p>
      <w:pPr>
        <w:autoSpaceDN w:val="0"/>
        <w:autoSpaceDE w:val="0"/>
        <w:widowControl/>
        <w:spacing w:line="228" w:lineRule="auto" w:before="10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>du prêt arrive avant le 60</w:t>
      </w:r>
      <w:r>
        <w:rPr>
          <w:rFonts w:ascii="Open Sans" w:hAnsi="Open Sans" w:eastAsia="Open Sans"/>
          <w:b w:val="0"/>
          <w:i w:val="0"/>
          <w:color w:val="002337"/>
          <w:sz w:val="12"/>
        </w:rPr>
        <w:t>ème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anniversaire de l'assuré. </w:t>
      </w:r>
    </w:p>
    <w:p>
      <w:pPr>
        <w:autoSpaceDN w:val="0"/>
        <w:autoSpaceDE w:val="0"/>
        <w:widowControl/>
        <w:spacing w:line="230" w:lineRule="auto" w:before="50" w:after="0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Conditions : </w:t>
      </w:r>
    </w:p>
    <w:p>
      <w:pPr>
        <w:autoSpaceDN w:val="0"/>
        <w:tabs>
          <w:tab w:pos="1152" w:val="left"/>
        </w:tabs>
        <w:autoSpaceDE w:val="0"/>
        <w:widowControl/>
        <w:spacing w:line="230" w:lineRule="auto" w:before="10" w:after="0"/>
        <w:ind w:left="792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Franchise minimale de 90 jours </w:t>
      </w:r>
    </w:p>
    <w:p>
      <w:pPr>
        <w:autoSpaceDN w:val="0"/>
        <w:tabs>
          <w:tab w:pos="1152" w:val="left"/>
        </w:tabs>
        <w:autoSpaceDE w:val="0"/>
        <w:widowControl/>
        <w:spacing w:line="230" w:lineRule="auto" w:before="30" w:after="0"/>
        <w:ind w:left="792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Prêts éligibles : prêt amortissable et relais </w:t>
      </w:r>
    </w:p>
    <w:p>
      <w:pPr>
        <w:autoSpaceDN w:val="0"/>
        <w:tabs>
          <w:tab w:pos="1146" w:val="left"/>
        </w:tabs>
        <w:autoSpaceDE w:val="0"/>
        <w:widowControl/>
        <w:spacing w:line="230" w:lineRule="auto" w:before="30" w:after="0"/>
        <w:ind w:left="790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Exercer une activité en temps plein au moment de l’adhésion </w:t>
      </w:r>
    </w:p>
    <w:p>
      <w:pPr>
        <w:autoSpaceDN w:val="0"/>
        <w:autoSpaceDE w:val="0"/>
        <w:widowControl/>
        <w:spacing w:line="228" w:lineRule="auto" w:before="106" w:after="0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Indemnisation : </w:t>
      </w:r>
    </w:p>
    <w:p>
      <w:pPr>
        <w:autoSpaceDN w:val="0"/>
        <w:tabs>
          <w:tab w:pos="1152" w:val="left"/>
        </w:tabs>
        <w:autoSpaceDE w:val="0"/>
        <w:widowControl/>
        <w:spacing w:line="230" w:lineRule="auto" w:before="12" w:after="0"/>
        <w:ind w:left="792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Exclusion des invalidités et des handicaps ayant donné lieu à une reconnaissance par le régime obligatoire avant la </w:t>
      </w:r>
    </w:p>
    <w:p>
      <w:pPr>
        <w:autoSpaceDN w:val="0"/>
        <w:autoSpaceDE w:val="0"/>
        <w:widowControl/>
        <w:spacing w:line="230" w:lineRule="auto" w:before="28" w:after="0"/>
        <w:ind w:left="115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date d’effet </w:t>
      </w:r>
    </w:p>
    <w:p>
      <w:pPr>
        <w:autoSpaceDN w:val="0"/>
        <w:tabs>
          <w:tab w:pos="1146" w:val="left"/>
        </w:tabs>
        <w:autoSpaceDE w:val="0"/>
        <w:widowControl/>
        <w:spacing w:line="230" w:lineRule="auto" w:before="28" w:after="0"/>
        <w:ind w:left="790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Prise en charge des pathologies antérieures à la date d’effet </w:t>
      </w:r>
    </w:p>
    <w:p>
      <w:pPr>
        <w:autoSpaceDN w:val="0"/>
        <w:autoSpaceDE w:val="0"/>
        <w:widowControl/>
        <w:spacing w:line="230" w:lineRule="auto" w:before="270" w:after="100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Conditions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79" w:type="dxa"/>
      </w:tblPr>
      <w:tblGrid>
        <w:gridCol w:w="5687"/>
        <w:gridCol w:w="5687"/>
      </w:tblGrid>
      <w:tr>
        <w:trPr>
          <w:trHeight w:hRule="exact" w:val="256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Délai d’attente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3.2000000000000455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Aucun </w:t>
            </w:r>
          </w:p>
        </w:tc>
      </w:tr>
      <w:tr>
        <w:trPr>
          <w:trHeight w:hRule="exact" w:val="254"/>
        </w:trPr>
        <w:tc>
          <w:tcPr>
            <w:tcW w:type="dxa" w:w="2270"/>
            <w:tcBorders>
              <w:start w:sz="4.0" w:val="single" w:color="#AEC5CF"/>
              <w:top w:sz="3.2000000000000455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Franchises (ITT / IPT) </w:t>
            </w:r>
          </w:p>
        </w:tc>
        <w:tc>
          <w:tcPr>
            <w:tcW w:type="dxa" w:w="9074"/>
            <w:tcBorders>
              <w:start w:sz="4.0" w:val="single" w:color="#AEC5CF"/>
              <w:top w:sz="3.2000000000000455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 choix : 30, 60, 90, 120, 180 jours </w:t>
            </w:r>
          </w:p>
        </w:tc>
      </w:tr>
      <w:tr>
        <w:trPr>
          <w:trHeight w:hRule="exact" w:val="500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du dos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En inclusion : couvert à partir de 5 jours d’hospitalisation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Rachetable des conditions avec l’option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« dos et psy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» </w:t>
            </w:r>
          </w:p>
        </w:tc>
      </w:tr>
      <w:tr>
        <w:trPr>
          <w:trHeight w:hRule="exact" w:val="500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du psy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En inclusion :  couvert à partir de 9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jours d'hospitalisation psychiatrique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Rachetable avec l’option «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dos et psy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» </w:t>
            </w:r>
          </w:p>
        </w:tc>
      </w:tr>
      <w:tr>
        <w:trPr>
          <w:trHeight w:hRule="exact" w:val="3716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3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Couverture des sports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de montagne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couverture des sports de montagne en dessous de 2 500 mètres. Exclu 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au-delà de 2 500 mètres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de neige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couverture du ski alpin et surf des neiges sur piste balisée. Exclusion des 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sports de neige hors-piste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2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Sports avec engins à moteur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: exclusion tout sport nécessitant l’usage d’engins à moteur (terre, </w:t>
            </w:r>
          </w:p>
          <w:p>
            <w:pPr>
              <w:autoSpaceDN w:val="0"/>
              <w:autoSpaceDE w:val="0"/>
              <w:widowControl/>
              <w:spacing w:line="230" w:lineRule="auto" w:before="22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mer au- delà de 6 milles des côtes et air)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24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Sports subaquatiques :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couverture si en deçà de 40 mètres de profondeur, sous réserve de </w:t>
            </w:r>
          </w:p>
          <w:p>
            <w:pPr>
              <w:autoSpaceDN w:val="0"/>
              <w:autoSpaceDE w:val="0"/>
              <w:widowControl/>
              <w:spacing w:line="236" w:lineRule="exact" w:before="8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justifier d’un équipement technique ainsi que d’un diplôme</w:t>
            </w:r>
            <w:r>
              <w:rPr>
                <w:rFonts w:ascii="Arial" w:hAnsi="Arial" w:eastAsia="Arial"/>
                <w:b/>
                <w:i w:val="0"/>
                <w:color w:val="58595B"/>
                <w:sz w:val="20"/>
              </w:rPr>
              <w:t xml:space="preserve">.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Exclusion au-delà de 40 mètres de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profondeur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8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équestres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couverture des sports équestres sauf voltige ou acrobaties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28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de combat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exclusion des sports de combat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Sports aériens sans moteur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: exclusion du base jump, sky surfing, sky fying, saut à l’élastique, </w:t>
            </w:r>
          </w:p>
          <w:p>
            <w:pPr>
              <w:autoSpaceDN w:val="0"/>
              <w:autoSpaceDE w:val="0"/>
              <w:widowControl/>
              <w:spacing w:line="230" w:lineRule="auto" w:before="12" w:after="0"/>
              <w:ind w:left="82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zorbing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8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Exclusion du VTT de descente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517586"/>
                <w:sz w:val="18"/>
              </w:rPr>
              <w:t>Rachat des exclusions possibles sous étude</w:t>
            </w:r>
          </w:p>
        </w:tc>
      </w:tr>
      <w:tr>
        <w:trPr>
          <w:trHeight w:hRule="exact" w:val="502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72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Mi-temps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thérapeutique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50 % du montant garanti en ITT pendant 180 jours</w:t>
            </w:r>
          </w:p>
        </w:tc>
      </w:tr>
      <w:tr>
        <w:trPr>
          <w:trHeight w:hRule="exact" w:val="500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576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Exonération des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cotisations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Non </w:t>
            </w:r>
          </w:p>
        </w:tc>
      </w:tr>
      <w:tr>
        <w:trPr>
          <w:trHeight w:hRule="exact" w:val="394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Territorialité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Couverture dans le monde entier </w:t>
            </w:r>
          </w:p>
        </w:tc>
      </w:tr>
      <w:tr>
        <w:trPr>
          <w:trHeight w:hRule="exact" w:val="254"/>
        </w:trPr>
        <w:tc>
          <w:tcPr>
            <w:tcW w:type="dxa" w:w="2270"/>
            <w:tcBorders>
              <w:start w:sz="4.0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Lieu de résidence </w:t>
            </w:r>
          </w:p>
        </w:tc>
        <w:tc>
          <w:tcPr>
            <w:tcW w:type="dxa" w:w="9074"/>
            <w:tcBorders>
              <w:start w:sz="4.0" w:val="single" w:color="#AEC5CF"/>
              <w:top w:sz="3.199999999999818" w:val="single" w:color="#AEC5CF"/>
              <w:end w:sz="4.0" w:val="single" w:color="#AEC5CF"/>
              <w:bottom w:sz="3.199999999999818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Résidence en France Métropolitaine ou DROM (hors Mayotte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)</w:t>
            </w:r>
          </w:p>
        </w:tc>
      </w:tr>
      <w:tr>
        <w:trPr>
          <w:trHeight w:hRule="exact" w:val="258"/>
        </w:trPr>
        <w:tc>
          <w:tcPr>
            <w:tcW w:type="dxa" w:w="2270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Prêt en devise </w:t>
            </w:r>
          </w:p>
        </w:tc>
        <w:tc>
          <w:tcPr>
            <w:tcW w:type="dxa" w:w="9074"/>
            <w:tcBorders>
              <w:start w:sz="4.0" w:val="single" w:color="#AEC5CF"/>
              <w:top w:sz="3.199999999999818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Prêt en francs suisses (converti en euros) </w:t>
            </w:r>
          </w:p>
        </w:tc>
      </w:tr>
      <w:tr>
        <w:trPr>
          <w:trHeight w:hRule="exact" w:val="744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864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Modalités de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paiement des 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cotisations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4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Prélèvement automatique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8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Périodicité mensuelle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2"/>
              </w:rPr>
              <w:t>(*)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, trimestrielle, semestrielle ou annuelle au choix de l’assuré 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84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>(*) sous réserve d’un montant minimum de 12 €</w:t>
            </w:r>
          </w:p>
        </w:tc>
      </w:tr>
      <w:tr>
        <w:trPr>
          <w:trHeight w:hRule="exact" w:val="256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Association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12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€ en une seule fois </w:t>
            </w:r>
          </w:p>
        </w:tc>
      </w:tr>
      <w:tr>
        <w:trPr>
          <w:trHeight w:hRule="exact" w:val="254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Frais de dossier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4.0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25 € par assuré </w:t>
            </w:r>
          </w:p>
        </w:tc>
      </w:tr>
      <w:tr>
        <w:trPr>
          <w:trHeight w:hRule="exact" w:val="500"/>
        </w:trPr>
        <w:tc>
          <w:tcPr>
            <w:tcW w:type="dxa" w:w="2270"/>
            <w:tcBorders>
              <w:start w:sz="4.0" w:val="single" w:color="#AEC5CF"/>
              <w:top w:sz="4.0" w:val="single" w:color="#AEC5CF"/>
              <w:end w:sz="4.0" w:val="single" w:color="#AEC5CF"/>
              <w:bottom w:sz="3.2000000000007276" w:val="single" w:color="#AEC5CF"/>
            </w:tcBorders>
            <w:shd w:fill="edf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 xml:space="preserve">Frais de courtage </w:t>
            </w:r>
          </w:p>
        </w:tc>
        <w:tc>
          <w:tcPr>
            <w:tcW w:type="dxa" w:w="9074"/>
            <w:tcBorders>
              <w:start w:sz="4.0" w:val="single" w:color="#AEC5CF"/>
              <w:top w:sz="4.0" w:val="single" w:color="#AEC5CF"/>
              <w:end w:sz="4.0" w:val="single" w:color="#AEC5CF"/>
              <w:bottom w:sz="3.2000000000007276" w:val="single" w:color="#AEC5C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28" w:lineRule="auto" w:before="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Jusqu’à 500 € par assuré à votre main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auto" w:before="10" w:after="0"/>
              <w:ind w:left="464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2337"/>
                <w:sz w:val="18"/>
              </w:rPr>
              <w:t xml:space="preserve">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Ces frais vous sont intégralement versés </w:t>
            </w:r>
          </w:p>
        </w:tc>
      </w:tr>
    </w:tbl>
    <w:p>
      <w:pPr>
        <w:autoSpaceDN w:val="0"/>
        <w:autoSpaceDE w:val="0"/>
        <w:widowControl/>
        <w:spacing w:line="230" w:lineRule="auto" w:before="240" w:after="0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Rémunération </w:t>
      </w:r>
    </w:p>
    <w:p>
      <w:pPr>
        <w:autoSpaceDN w:val="0"/>
        <w:autoSpaceDE w:val="0"/>
        <w:widowControl/>
        <w:spacing w:line="230" w:lineRule="auto" w:before="102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tant que distributeur de produits d’assurance, il vous appartient de vérifier que les modalités de rémunération prévues </w:t>
      </w:r>
    </w:p>
    <w:p>
      <w:pPr>
        <w:autoSpaceDN w:val="0"/>
        <w:autoSpaceDE w:val="0"/>
        <w:widowControl/>
        <w:spacing w:line="228" w:lineRule="auto" w:before="10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ne sont pas de nature à créer un risque de conflit d’intérêts qui serait préjudiciable à votre client. </w:t>
      </w:r>
    </w:p>
    <w:p>
      <w:pPr>
        <w:autoSpaceDN w:val="0"/>
        <w:autoSpaceDE w:val="0"/>
        <w:widowControl/>
        <w:spacing w:line="230" w:lineRule="auto" w:before="10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Commissionnement au choix : </w:t>
      </w:r>
    </w:p>
    <w:p>
      <w:pPr>
        <w:autoSpaceDN w:val="0"/>
        <w:tabs>
          <w:tab w:pos="1152" w:val="left"/>
        </w:tabs>
        <w:autoSpaceDE w:val="0"/>
        <w:widowControl/>
        <w:spacing w:line="230" w:lineRule="auto" w:before="8" w:after="0"/>
        <w:ind w:left="792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Linéaire : 8 %, 10 %, 12 %, 15 % </w:t>
      </w:r>
    </w:p>
    <w:p>
      <w:pPr>
        <w:autoSpaceDN w:val="0"/>
        <w:tabs>
          <w:tab w:pos="1146" w:val="left"/>
        </w:tabs>
        <w:autoSpaceDE w:val="0"/>
        <w:widowControl/>
        <w:spacing w:line="230" w:lineRule="auto" w:before="28" w:after="0"/>
        <w:ind w:left="790" w:right="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Escompté et précompté : 20/10, 30/10, 40/10, 50/10 </w:t>
      </w:r>
    </w:p>
    <w:p>
      <w:pPr>
        <w:autoSpaceDN w:val="0"/>
        <w:autoSpaceDE w:val="0"/>
        <w:widowControl/>
        <w:spacing w:line="228" w:lineRule="auto" w:before="32" w:after="0"/>
        <w:ind w:left="43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 tarif du produit est basé sur un taux de commissionnement de 40/10. </w:t>
      </w:r>
    </w:p>
    <w:p>
      <w:pPr>
        <w:autoSpaceDN w:val="0"/>
        <w:autoSpaceDE w:val="0"/>
        <w:widowControl/>
        <w:spacing w:line="228" w:lineRule="auto" w:before="78" w:after="0"/>
        <w:ind w:left="0" w:right="426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2 / 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.0" w:type="dxa"/>
      </w:tblPr>
      <w:tblGrid>
        <w:gridCol w:w="5687"/>
        <w:gridCol w:w="5687"/>
      </w:tblGrid>
      <w:tr>
        <w:trPr>
          <w:trHeight w:hRule="exact" w:val="52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Siège social : 6 cours André Philip, 69100 Villeurbanne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0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SAS au capital de 1.267.431 € euros, RCS de LYON n°884782582, intermédiaire en assurance immatriculé à l'ORIAS sous le n°200 058 79 (www.orias.fr)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 - 4 place de Budapest - CS 92459 - 75436 Paris Cedex 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60" w:right="244" w:bottom="88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444500</wp:posOffset>
            </wp:positionH>
            <wp:positionV relativeFrom="page">
              <wp:posOffset>609600</wp:posOffset>
            </wp:positionV>
            <wp:extent cx="6642100" cy="75819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581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0"/>
        <w:ind w:left="5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La conformité en toute simplicité ! </w:t>
      </w:r>
    </w:p>
    <w:p>
      <w:pPr>
        <w:autoSpaceDN w:val="0"/>
        <w:autoSpaceDE w:val="0"/>
        <w:widowControl/>
        <w:spacing w:line="245" w:lineRule="auto" w:before="202" w:after="0"/>
        <w:ind w:left="52" w:right="72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La gouvernance produit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Dans le cadre de notre démarche d’amélioration continue de la qualité de nos produits, faites-nous part de vos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retours si vous constatez que soit : </w:t>
      </w:r>
    </w:p>
    <w:p>
      <w:pPr>
        <w:autoSpaceDN w:val="0"/>
        <w:tabs>
          <w:tab w:pos="772" w:val="left"/>
        </w:tabs>
        <w:autoSpaceDE w:val="0"/>
        <w:widowControl/>
        <w:spacing w:line="245" w:lineRule="auto" w:before="10" w:after="0"/>
        <w:ind w:left="41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le produit n’est pas en adéquation avec les intérêts, objectifs et caractéristiques du marché cible précisé ci-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dessus ; </w:t>
      </w:r>
    </w:p>
    <w:p>
      <w:pPr>
        <w:autoSpaceDN w:val="0"/>
        <w:tabs>
          <w:tab w:pos="772" w:val="left"/>
        </w:tabs>
        <w:autoSpaceDE w:val="0"/>
        <w:widowControl/>
        <w:spacing w:line="245" w:lineRule="auto" w:before="8" w:after="0"/>
        <w:ind w:left="41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des circonstances relatives au produit sont susceptibles d’avoir des répercussions défavorables pour le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client ; </w:t>
      </w:r>
    </w:p>
    <w:p>
      <w:pPr>
        <w:autoSpaceDN w:val="0"/>
        <w:tabs>
          <w:tab w:pos="408" w:val="left"/>
          <w:tab w:pos="764" w:val="left"/>
        </w:tabs>
        <w:autoSpaceDE w:val="0"/>
        <w:widowControl/>
        <w:spacing w:line="245" w:lineRule="auto" w:before="8" w:after="0"/>
        <w:ind w:left="52" w:right="720" w:firstLine="0"/>
        <w:jc w:val="left"/>
      </w:pPr>
      <w:r>
        <w:rPr>
          <w:rFonts w:ascii="Courier New" w:hAnsi="Courier New" w:eastAsia="Courier New"/>
          <w:b w:val="0"/>
          <w:i w:val="0"/>
          <w:color w:val="002337"/>
          <w:sz w:val="18"/>
        </w:rPr>
        <w:t xml:space="preserve">o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les modalités de rémunération proposées pour le produit vous placent dans une situation de conflit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d’intérêt vis-à-vis du client ;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à partir de la messagerie instantanée mise à disposition depuis notre plateforme de vente, ou via votre délégué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régional. </w:t>
      </w:r>
    </w:p>
    <w:p>
      <w:pPr>
        <w:autoSpaceDN w:val="0"/>
        <w:autoSpaceDE w:val="0"/>
        <w:widowControl/>
        <w:spacing w:line="245" w:lineRule="auto" w:before="414" w:after="0"/>
        <w:ind w:left="52" w:right="72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La réglementation LCBFT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Au regard du risque faible du produit, vous devez appliquer a minima un niveau de </w:t>
      </w:r>
      <w:r>
        <w:rPr>
          <w:rFonts w:ascii="Open Sans" w:hAnsi="Open Sans" w:eastAsia="Open Sans"/>
          <w:b/>
          <w:i w:val="0"/>
          <w:color w:val="002337"/>
          <w:sz w:val="18"/>
        </w:rPr>
        <w:t>vigilance simplifiée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au titre du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titre VI du livre V du code monétaire et financier. </w:t>
      </w:r>
    </w:p>
    <w:p>
      <w:pPr>
        <w:autoSpaceDN w:val="0"/>
        <w:autoSpaceDE w:val="0"/>
        <w:widowControl/>
        <w:spacing w:line="230" w:lineRule="auto" w:before="28" w:after="180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Concrètement cela signifie que vous devez collecter les informations d’identification suivants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479"/>
        <w:gridCol w:w="3479"/>
        <w:gridCol w:w="3479"/>
      </w:tblGrid>
      <w:tr>
        <w:trPr>
          <w:trHeight w:hRule="exact" w:val="310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Client potentiel 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666" w:firstLine="0"/>
              <w:jc w:val="righ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Client personne physique 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80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Client personne morale </w:t>
            </w:r>
          </w:p>
        </w:tc>
      </w:tr>
      <w:tr>
        <w:trPr>
          <w:trHeight w:hRule="exact" w:val="286"/>
        </w:trPr>
        <w:tc>
          <w:tcPr>
            <w:tcW w:type="dxa" w:w="3479"/>
            <w:vMerge/>
            <w:tcBorders/>
          </w:tcPr>
          <w:p/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41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28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Forme juridique, dénomination sociale, </w:t>
            </w:r>
          </w:p>
        </w:tc>
      </w:tr>
      <w:tr>
        <w:trPr>
          <w:trHeight w:hRule="exact" w:val="236"/>
        </w:trPr>
        <w:tc>
          <w:tcPr>
            <w:tcW w:type="dxa" w:w="3479"/>
            <w:vMerge/>
            <w:tcBorders/>
          </w:tcPr>
          <w:p/>
        </w:tc>
        <w:tc>
          <w:tcPr>
            <w:tcW w:type="dxa" w:w="3479"/>
            <w:vMerge/>
            <w:tcBorders/>
          </w:tcPr>
          <w:p/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7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numéro SIREN, adresse du siège et du lieu </w:t>
            </w:r>
          </w:p>
        </w:tc>
      </w:tr>
    </w:tbl>
    <w:p>
      <w:pPr>
        <w:autoSpaceDN w:val="0"/>
        <w:autoSpaceDE w:val="0"/>
        <w:widowControl/>
        <w:spacing w:line="230" w:lineRule="auto" w:before="12" w:after="26"/>
        <w:ind w:left="0" w:right="1324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de direction effective si différent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479"/>
        <w:gridCol w:w="3479"/>
        <w:gridCol w:w="3479"/>
      </w:tblGrid>
      <w:tr>
        <w:trPr>
          <w:trHeight w:hRule="exact" w:val="25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Bénéficiaire effectif 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20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 </w:t>
            </w:r>
          </w:p>
        </w:tc>
      </w:tr>
      <w:tr>
        <w:trPr>
          <w:trHeight w:hRule="exact" w:val="30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Personne agissant pour le 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8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naissance, 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8" w:after="0"/>
              <w:ind w:left="18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Nom, prénoms, date et lieu de naissance, </w:t>
            </w:r>
          </w:p>
        </w:tc>
      </w:tr>
      <w:tr>
        <w:trPr>
          <w:trHeight w:hRule="exact" w:val="180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compte du Client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(ex : payeur </w:t>
            </w:r>
          </w:p>
        </w:tc>
        <w:tc>
          <w:tcPr>
            <w:tcW w:type="dxa" w:w="3479"/>
            <w:vMerge/>
            <w:tcBorders/>
          </w:tcPr>
          <w:p/>
        </w:tc>
        <w:tc>
          <w:tcPr>
            <w:tcW w:type="dxa" w:w="3479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479"/>
            <w:vMerge/>
            <w:tcBorders/>
          </w:tcPr>
          <w:p/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lien avec la personne représentée 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41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 xml:space="preserve">fonction de représentation exercée </w:t>
            </w:r>
          </w:p>
        </w:tc>
      </w:tr>
      <w:tr>
        <w:trPr>
          <w:trHeight w:hRule="exact" w:val="326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6"/>
              </w:rPr>
              <w:t>de prime, représentant légal)</w:t>
            </w:r>
          </w:p>
        </w:tc>
        <w:tc>
          <w:tcPr>
            <w:tcW w:type="dxa" w:w="3479"/>
            <w:vMerge/>
            <w:tcBorders/>
          </w:tcPr>
          <w:p/>
        </w:tc>
        <w:tc>
          <w:tcPr>
            <w:tcW w:type="dxa" w:w="3479"/>
            <w:vMerge/>
            <w:tcBorders/>
          </w:tcPr>
          <w:p/>
        </w:tc>
      </w:tr>
    </w:tbl>
    <w:p>
      <w:pPr>
        <w:autoSpaceDN w:val="0"/>
        <w:tabs>
          <w:tab w:pos="412" w:val="left"/>
          <w:tab w:pos="772" w:val="left"/>
        </w:tabs>
        <w:autoSpaceDE w:val="0"/>
        <w:widowControl/>
        <w:spacing w:line="252" w:lineRule="auto" w:before="282" w:after="0"/>
        <w:ind w:left="52" w:right="72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cas d’opération atypique au sens de l’article L561-10-2 du code monétaire et financier, vous devez, en plus de la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collecte des informations d’identification 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Effectuer la vérification d’identité conformément aux articles R561-5-1 et suivants du code monétaire et </w:t>
      </w:r>
      <w:r>
        <w:tab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financier </w:t>
      </w:r>
    </w:p>
    <w:p>
      <w:pPr>
        <w:autoSpaceDN w:val="0"/>
        <w:tabs>
          <w:tab w:pos="772" w:val="left"/>
        </w:tabs>
        <w:autoSpaceDE w:val="0"/>
        <w:widowControl/>
        <w:spacing w:line="254" w:lineRule="auto" w:before="32" w:after="0"/>
        <w:ind w:left="412" w:right="720" w:firstLine="0"/>
        <w:jc w:val="left"/>
      </w:pP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Collecter et actualiser, au moins une fois par an, les informations pertinentes au titre de la relation d’affaires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et de la connaissance de la situation professionnelle, économique et financière du client et, le cas échéant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de son bénéficiaire effectif, afin d’éliminer ou de réduire le risque de blanchiment d’argent et de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financement du terrorisme </w:t>
      </w:r>
      <w:r>
        <w:br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Recueillir une seconde pièce d’identité </w:t>
      </w:r>
      <w:r>
        <w:br/>
      </w:r>
      <w:r>
        <w:rPr>
          <w:rFonts w:ascii="Wingdings" w:hAnsi="Wingdings" w:eastAsia="Wingdings"/>
          <w:b w:val="0"/>
          <w:i w:val="0"/>
          <w:color w:val="C2E812"/>
          <w:sz w:val="24"/>
        </w:rPr>
        <w:t>✓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S’assurer que le premier paiement soit effectué en provenance d’un compte situé en UE et ouvert au nom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du Client ou de son représentant. </w:t>
      </w:r>
    </w:p>
    <w:p>
      <w:pPr>
        <w:autoSpaceDN w:val="0"/>
        <w:tabs>
          <w:tab w:pos="536" w:val="left"/>
        </w:tabs>
        <w:autoSpaceDE w:val="0"/>
        <w:widowControl/>
        <w:spacing w:line="245" w:lineRule="auto" w:before="482" w:after="0"/>
        <w:ind w:left="52" w:right="72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En cas de question, vous pouvez vous adresser au correspondant TRACFIN de notre société à l’adresse mail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suivante :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hyperlink r:id="rId19" w:history="1">
          <w:r>
            <w:rPr>
              <w:rStyle w:val="Hyperlink"/>
            </w:rPr>
            <w:t xml:space="preserve"> lcb-ft.tracfin@zenioo.com.</w:t>
          </w:r>
        </w:hyperlink>
      </w:r>
    </w:p>
    <w:p>
      <w:pPr>
        <w:autoSpaceDN w:val="0"/>
        <w:autoSpaceDE w:val="0"/>
        <w:widowControl/>
        <w:spacing w:line="228" w:lineRule="auto" w:before="3330" w:after="6"/>
        <w:ind w:left="0" w:right="20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3 / 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8"/>
        <w:gridCol w:w="5218"/>
      </w:tblGrid>
      <w:tr>
        <w:trPr>
          <w:trHeight w:hRule="exact" w:val="46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Siège social : 6 cours André Philip, 69100 Villeurbanne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0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SAS au capital de 1.267.431 € euros, RCS de LYON n°884782582, intermédiaire en assurance immatriculé à l'ORIAS sous le n°200 058 79 (www.orias.fr)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 - 4 place de Budapest - CS 92459 - 75436 Paris Cedex 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650" w:right="650" w:bottom="88" w:left="8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7289800</wp:posOffset>
            </wp:positionH>
            <wp:positionV relativeFrom="page">
              <wp:posOffset>461009</wp:posOffset>
            </wp:positionV>
            <wp:extent cx="118109" cy="6804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109" cy="68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30" w:lineRule="auto" w:before="0" w:after="142"/>
        <w:ind w:left="432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6"/>
        </w:rPr>
        <w:t xml:space="preserve">Formalités médicales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93" w:type="dxa"/>
      </w:tblPr>
      <w:tblGrid>
        <w:gridCol w:w="3807"/>
        <w:gridCol w:w="3807"/>
        <w:gridCol w:w="3807"/>
      </w:tblGrid>
      <w:tr>
        <w:trPr>
          <w:trHeight w:hRule="exact" w:val="298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177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NOUVEAU :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Aucune formalité médicale demandée pour les prêts inférieurs à 200 000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€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, avec un terme antérieur aux 60 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80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6"/>
              </w:rPr>
              <w:t xml:space="preserve">FP_ADEHARMONIE0721_190224 </w:t>
            </w:r>
          </w:p>
        </w:tc>
      </w:tr>
      <w:tr>
        <w:trPr>
          <w:trHeight w:hRule="exact" w:val="320"/>
        </w:trPr>
        <w:tc>
          <w:tcPr>
            <w:tcW w:type="dxa" w:w="3807"/>
            <w:vMerge/>
            <w:tcBorders/>
          </w:tcPr>
          <w:p/>
        </w:tc>
        <w:tc>
          <w:tcPr>
            <w:tcW w:type="dxa" w:w="10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0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ans de l’emprunteur et tenant compte de l’encours assuré des autres crédits </w:t>
            </w:r>
          </w:p>
        </w:tc>
        <w:tc>
          <w:tcPr>
            <w:tcW w:type="dxa" w:w="3807"/>
            <w:vMerge/>
            <w:tcBorders/>
          </w:tcPr>
          <w:p/>
        </w:tc>
      </w:tr>
      <w:tr>
        <w:trPr>
          <w:trHeight w:hRule="exact" w:val="5418"/>
        </w:trPr>
        <w:tc>
          <w:tcPr>
            <w:tcW w:type="dxa" w:w="3807"/>
            <w:vMerge/>
            <w:tcBorders/>
          </w:tcPr>
          <w:p/>
        </w:tc>
        <w:tc>
          <w:tcPr>
            <w:tcW w:type="dxa" w:w="10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.99999999999997" w:type="dxa"/>
            </w:tblPr>
            <w:tblGrid>
              <w:gridCol w:w="2148"/>
              <w:gridCol w:w="2148"/>
              <w:gridCol w:w="2148"/>
              <w:gridCol w:w="2148"/>
              <w:gridCol w:w="2148"/>
            </w:tblGrid>
            <w:tr>
              <w:trPr>
                <w:trHeight w:hRule="exact" w:val="260"/>
              </w:trPr>
              <w:tc>
                <w:tcPr>
                  <w:tcW w:type="dxa" w:w="2438"/>
                  <w:tcBorders>
                    <w:end w:sz="4.0" w:val="single" w:color="#AEC5CF"/>
                    <w:bottom w:sz="4.0" w:val="single" w:color="#AEC5CF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166"/>
                  <w:gridSpan w:val="4"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edf3f5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18"/>
                    </w:rPr>
                    <w:t xml:space="preserve">Âge assuré 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tcW w:type="dxa" w:w="2438"/>
                  <w:tcBorders>
                    <w:start w:sz="3.1999999999999886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edf3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104" w:right="864" w:firstLine="0"/>
                    <w:jc w:val="left"/>
                  </w:pP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18"/>
                    </w:rPr>
                    <w:t xml:space="preserve">Capital assuré </w:t>
                  </w: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18"/>
                    </w:rPr>
                    <w:t xml:space="preserve">(dont en cours) </w:t>
                  </w:r>
                </w:p>
              </w:tc>
              <w:tc>
                <w:tcPr>
                  <w:tcW w:type="dxa" w:w="2102"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edf3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4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18"/>
                    </w:rPr>
                    <w:t>18 à 45 ans</w:t>
                  </w:r>
                </w:p>
              </w:tc>
              <w:tc>
                <w:tcPr>
                  <w:tcW w:type="dxa" w:w="1984"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edf3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4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18"/>
                    </w:rPr>
                    <w:t>46 à 55 ans</w:t>
                  </w:r>
                </w:p>
              </w:tc>
              <w:tc>
                <w:tcPr>
                  <w:tcW w:type="dxa" w:w="1986"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edf3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4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18"/>
                    </w:rPr>
                    <w:t xml:space="preserve">56 à 69 ans </w:t>
                  </w:r>
                </w:p>
              </w:tc>
              <w:tc>
                <w:tcPr>
                  <w:tcW w:type="dxa" w:w="2094"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edf3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4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/>
                      <w:i w:val="0"/>
                      <w:color w:val="002337"/>
                      <w:sz w:val="18"/>
                    </w:rPr>
                    <w:t>70 à 79 ans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tcW w:type="dxa" w:w="2438"/>
                  <w:tcBorders>
                    <w:start w:sz="3.1999999999999886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edf3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122" w:after="0"/>
                    <w:ind w:left="104" w:right="0" w:firstLine="0"/>
                    <w:jc w:val="left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>&lt; 75 000 €</w:t>
                  </w:r>
                </w:p>
              </w:tc>
              <w:tc>
                <w:tcPr>
                  <w:tcW w:type="dxa" w:w="2102"/>
                  <w:vMerge w:val="restart"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d0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372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QSS </w:t>
                  </w:r>
                </w:p>
              </w:tc>
              <w:tc>
                <w:tcPr>
                  <w:tcW w:type="dxa" w:w="1984"/>
                  <w:vMerge w:val="restart"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d0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22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QSS </w:t>
                  </w:r>
                </w:p>
              </w:tc>
              <w:tc>
                <w:tcPr>
                  <w:tcW w:type="dxa" w:w="1986"/>
                  <w:vMerge w:val="restart"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d0ec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70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QSS </w:t>
                  </w:r>
                </w:p>
              </w:tc>
              <w:tc>
                <w:tcPr>
                  <w:tcW w:type="dxa" w:w="2094"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f8f3f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122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QS + RM + BIO + ECBU 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tcW w:type="dxa" w:w="2438"/>
                  <w:tcBorders>
                    <w:start w:sz="3.1999999999999886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edf3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2" w:after="0"/>
                    <w:ind w:left="104" w:right="0" w:firstLine="0"/>
                    <w:jc w:val="left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de 75 001 à 150 000 € </w:t>
                  </w:r>
                </w:p>
              </w:tc>
              <w:tc>
                <w:tcPr>
                  <w:tcW w:type="dxa" w:w="2148"/>
                  <w:vMerge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</w:tcPr>
                <w:p/>
              </w:tc>
              <w:tc>
                <w:tcPr>
                  <w:tcW w:type="dxa" w:w="2148"/>
                  <w:vMerge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</w:tcPr>
                <w:p/>
              </w:tc>
              <w:tc>
                <w:tcPr>
                  <w:tcW w:type="dxa" w:w="2148"/>
                  <w:vMerge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</w:tcPr>
                <w:p/>
              </w:tc>
              <w:tc>
                <w:tcPr>
                  <w:tcW w:type="dxa" w:w="2094"/>
                  <w:vMerge w:val="restart"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f3face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50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QS + RM + BIO + ECBU </w:t>
                  </w: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+ ECG 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tcW w:type="dxa" w:w="2438"/>
                  <w:tcBorders>
                    <w:start w:sz="3.1999999999999886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edf3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2" w:after="0"/>
                    <w:ind w:left="104" w:right="0" w:firstLine="0"/>
                    <w:jc w:val="left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de 150 001 à 300 000 € </w:t>
                  </w:r>
                </w:p>
              </w:tc>
              <w:tc>
                <w:tcPr>
                  <w:tcW w:type="dxa" w:w="2148"/>
                  <w:vMerge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</w:tcPr>
                <w:p/>
              </w:tc>
              <w:tc>
                <w:tcPr>
                  <w:tcW w:type="dxa" w:w="2148"/>
                  <w:vMerge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</w:tcPr>
                <w:p/>
              </w:tc>
              <w:tc>
                <w:tcPr>
                  <w:tcW w:type="dxa" w:w="1986"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f8f3fa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2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QS + RM + BIO </w:t>
                  </w:r>
                </w:p>
              </w:tc>
              <w:tc>
                <w:tcPr>
                  <w:tcW w:type="dxa" w:w="2148"/>
                  <w:vMerge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2438"/>
                  <w:tcBorders>
                    <w:start w:sz="3.1999999999999886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edf3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122" w:after="0"/>
                    <w:ind w:left="104" w:right="0" w:firstLine="0"/>
                    <w:jc w:val="left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de 300 001 à 400 000 € </w:t>
                  </w:r>
                </w:p>
              </w:tc>
              <w:tc>
                <w:tcPr>
                  <w:tcW w:type="dxa" w:w="2148"/>
                  <w:vMerge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</w:tcPr>
                <w:p/>
              </w:tc>
              <w:tc>
                <w:tcPr>
                  <w:tcW w:type="dxa" w:w="1984"/>
                  <w:vMerge w:val="restart"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f4efec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370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QS + RM + BIO + TN </w:t>
                  </w:r>
                </w:p>
              </w:tc>
              <w:tc>
                <w:tcPr>
                  <w:tcW w:type="dxa" w:w="1986"/>
                  <w:vMerge w:val="restart"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fdeff9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48" w:after="0"/>
                    <w:ind w:left="288" w:right="288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QS + RM + BIO </w:t>
                  </w: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+ ECG + TN </w:t>
                  </w:r>
                </w:p>
              </w:tc>
              <w:tc>
                <w:tcPr>
                  <w:tcW w:type="dxa" w:w="2094"/>
                  <w:vMerge w:val="restart"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fcf9d4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54" w:after="0"/>
                    <w:ind w:left="144" w:right="0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QS + RM + BIO + ECG </w:t>
                  </w: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+ ECHO </w:t>
                  </w:r>
                  <w:r>
                    <w:br/>
                  </w: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CARDIAQUE </w:t>
                  </w:r>
                  <w:r>
                    <w:br/>
                  </w: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+ ECBU + TN </w:t>
                  </w:r>
                </w:p>
              </w:tc>
            </w:tr>
            <w:tr>
              <w:trPr>
                <w:trHeight w:hRule="exact" w:val="502"/>
              </w:trPr>
              <w:tc>
                <w:tcPr>
                  <w:tcW w:type="dxa" w:w="2438"/>
                  <w:tcBorders>
                    <w:start w:sz="3.1999999999999886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edf3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2" w:after="0"/>
                    <w:ind w:left="104" w:right="0" w:firstLine="0"/>
                    <w:jc w:val="left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de 400 001 à 500 000 € </w:t>
                  </w:r>
                </w:p>
              </w:tc>
              <w:tc>
                <w:tcPr>
                  <w:tcW w:type="dxa" w:w="2148"/>
                  <w:vMerge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</w:tcPr>
                <w:p/>
              </w:tc>
              <w:tc>
                <w:tcPr>
                  <w:tcW w:type="dxa" w:w="2148"/>
                  <w:vMerge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</w:tcPr>
                <w:p/>
              </w:tc>
              <w:tc>
                <w:tcPr>
                  <w:tcW w:type="dxa" w:w="2148"/>
                  <w:vMerge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</w:tcPr>
                <w:p/>
              </w:tc>
              <w:tc>
                <w:tcPr>
                  <w:tcW w:type="dxa" w:w="2148"/>
                  <w:vMerge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2438"/>
                  <w:tcBorders>
                    <w:start w:sz="3.1999999999999886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edf3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2" w:after="0"/>
                    <w:ind w:left="104" w:right="0" w:firstLine="0"/>
                    <w:jc w:val="left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de 500 001 à 750 000 € </w:t>
                  </w:r>
                </w:p>
              </w:tc>
              <w:tc>
                <w:tcPr>
                  <w:tcW w:type="dxa" w:w="2148"/>
                  <w:vMerge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</w:tcPr>
                <w:p/>
              </w:tc>
              <w:tc>
                <w:tcPr>
                  <w:tcW w:type="dxa" w:w="3970"/>
                  <w:gridSpan w:val="2"/>
                  <w:vMerge w:val="restart"/>
                  <w:tcBorders>
                    <w:top w:sz="4.0" w:val="single" w:color="#AEC5CF"/>
                    <w:bottom w:sz="4.0" w:val="single" w:color="#AEC5CF"/>
                    <w:start w:sz="4.0" w:val="single" w:color="#AEC5CF"/>
                    <w:end w:sz="4.0" w:val="single" w:color="#AEC5CF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.0000000000009095" w:type="dxa"/>
                  </w:tblPr>
                  <w:tblGrid>
                    <w:gridCol w:w="3970"/>
                  </w:tblGrid>
                  <w:tr>
                    <w:trPr>
                      <w:trHeight w:hRule="exact" w:val="1490"/>
                    </w:trPr>
                    <w:tc>
                      <w:tcPr>
                        <w:tcW w:type="dxa" w:w="3960"/>
                        <w:tcBorders/>
                        <w:shd w:fill="ffe8ca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62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Open Sans" w:hAnsi="Open Sans" w:eastAsia="Open Sans"/>
                            <w:b w:val="0"/>
                            <w:i w:val="0"/>
                            <w:color w:val="002337"/>
                            <w:sz w:val="18"/>
                          </w:rPr>
                          <w:t xml:space="preserve">QS + RM + BIO + ECG + ECBU + TN </w:t>
                        </w:r>
                      </w:p>
                    </w:tc>
                  </w:tr>
                </w:tbl>
                <w:p>
                  <w:pPr>
                    <w:autoSpaceDN w:val="0"/>
                    <w:tabs>
                      <w:tab w:pos="50" w:val="left"/>
                    </w:tabs>
                    <w:autoSpaceDE w:val="0"/>
                    <w:widowControl/>
                    <w:spacing w:line="245" w:lineRule="auto" w:before="10" w:after="0"/>
                    <w:ind w:left="0" w:right="0" w:firstLine="0"/>
                    <w:jc w:val="left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 formalités médicales et le questionnaire financ </w:t>
                  </w: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>nt à demander au service médical de Multi-Imp</w:t>
                  </w:r>
                </w:p>
              </w:tc>
              <w:tc>
                <w:tcPr>
                  <w:tcW w:type="dxa" w:w="2148"/>
                  <w:vMerge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2438"/>
                  <w:tcBorders>
                    <w:start w:sz="3.1999999999999886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edf3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2" w:after="0"/>
                    <w:ind w:left="104" w:right="0" w:firstLine="0"/>
                    <w:jc w:val="left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de 750 001 à 1 000 000 € </w:t>
                  </w:r>
                </w:p>
              </w:tc>
              <w:tc>
                <w:tcPr>
                  <w:tcW w:type="dxa" w:w="2102"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ebd1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2" w:after="0"/>
                    <w:ind w:left="0" w:right="0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QS + BIO + TN </w:t>
                  </w:r>
                </w:p>
              </w:tc>
              <w:tc>
                <w:tcPr>
                  <w:tcW w:type="dxa" w:w="4296"/>
                  <w:gridSpan w:val="2"/>
                  <w:vMerge/>
                  <w:tcBorders>
                    <w:top w:sz="4.0" w:val="single" w:color="#AEC5CF"/>
                    <w:bottom w:sz="4.0" w:val="single" w:color="#AEC5CF"/>
                  </w:tcBorders>
                </w:tcPr>
                <w:p/>
              </w:tc>
              <w:tc>
                <w:tcPr>
                  <w:tcW w:type="dxa" w:w="2148"/>
                  <w:vMerge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</w:tcPr>
                <w:p/>
              </w:tc>
            </w:tr>
            <w:tr>
              <w:trPr>
                <w:trHeight w:hRule="exact" w:val="500"/>
              </w:trPr>
              <w:tc>
                <w:tcPr>
                  <w:tcW w:type="dxa" w:w="2438"/>
                  <w:tcBorders>
                    <w:start w:sz="3.1999999999999886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edf3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124" w:after="0"/>
                    <w:ind w:left="104" w:right="0" w:firstLine="0"/>
                    <w:jc w:val="left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&gt; 1 000 000 € </w:t>
                  </w:r>
                </w:p>
              </w:tc>
              <w:tc>
                <w:tcPr>
                  <w:tcW w:type="dxa" w:w="2102"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f8d4d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144" w:right="0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QS + RM + BIO + ECG </w:t>
                  </w: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+ ECBU + TN </w:t>
                  </w:r>
                </w:p>
              </w:tc>
              <w:tc>
                <w:tcPr>
                  <w:tcW w:type="dxa" w:w="4296"/>
                  <w:gridSpan w:val="2"/>
                  <w:vMerge/>
                  <w:tcBorders>
                    <w:top w:sz="4.0" w:val="single" w:color="#AEC5CF"/>
                    <w:bottom w:sz="4.0" w:val="single" w:color="#AEC5CF"/>
                  </w:tcBorders>
                </w:tcPr>
                <w:p/>
              </w:tc>
              <w:tc>
                <w:tcPr>
                  <w:tcW w:type="dxa" w:w="2148"/>
                  <w:vMerge/>
                  <w:tcBorders>
                    <w:start w:sz="4.0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</w:tcPr>
                <w:p/>
              </w:tc>
            </w:tr>
            <w:tr>
              <w:trPr>
                <w:trHeight w:hRule="exact" w:val="480"/>
              </w:trPr>
              <w:tc>
                <w:tcPr>
                  <w:tcW w:type="dxa" w:w="2438"/>
                  <w:tcBorders>
                    <w:start w:sz="3.1999999999999886" w:val="single" w:color="#AEC5CF"/>
                    <w:top w:sz="4.0" w:val="single" w:color="#AEC5CF"/>
                    <w:end w:sz="4.0" w:val="single" w:color="#AEC5CF"/>
                    <w:bottom w:sz="4.0" w:val="single" w:color="#AEC5CF"/>
                  </w:tcBorders>
                  <w:shd w:fill="edf3f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22" w:after="0"/>
                    <w:ind w:left="104" w:right="0" w:firstLine="0"/>
                    <w:jc w:val="left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À partir de 1 250 001 € </w:t>
                  </w:r>
                </w:p>
              </w:tc>
              <w:tc>
                <w:tcPr>
                  <w:tcW w:type="dxa" w:w="8166"/>
                  <w:gridSpan w:val="4"/>
                  <w:tcBorders>
                    <w:start w:sz="4.0" w:val="single" w:color="#AEC5CF"/>
                    <w:end w:sz="4.0" w:val="single" w:color="#AEC5CF"/>
                    <w:bottom w:sz="4.0" w:val="single" w:color="#AEC5CF"/>
                  </w:tcBorders>
                  <w:shd w:fill="d2dffd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" w:after="0"/>
                    <w:ind w:left="1728" w:right="1728" w:firstLine="0"/>
                    <w:jc w:val="center"/>
                  </w:pP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Les formalités médicales et le questionnaire financ ier </w:t>
                  </w:r>
                  <w:r>
                    <w:rPr>
                      <w:rFonts w:ascii="Open Sans" w:hAnsi="Open Sans" w:eastAsia="Open Sans"/>
                      <w:b w:val="0"/>
                      <w:i w:val="0"/>
                      <w:color w:val="002337"/>
                      <w:sz w:val="18"/>
                    </w:rPr>
                    <w:t xml:space="preserve">sont à demander au service médical de Multi-Impact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4" w:after="0"/>
        <w:ind w:left="432" w:right="864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Les prêts relais d’une durée inférieure à 24 mois ne doivent pas être pris en compte dans le cumul des capitaux </w:t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calculés pour déterminer le niveau de sélection médicale. </w:t>
      </w:r>
    </w:p>
    <w:p>
      <w:pPr>
        <w:autoSpaceDN w:val="0"/>
        <w:autoSpaceDE w:val="0"/>
        <w:widowControl/>
        <w:spacing w:line="310" w:lineRule="auto" w:before="130" w:after="182"/>
        <w:ind w:left="432" w:right="576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8"/>
        </w:rPr>
        <w:t xml:space="preserve">QSS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Questionnaire de santé simplifié / </w:t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QS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Questionnaire de santé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RM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Rapport médical à compléter par un médecin examinateur après examen clinique de l’assuré et avec examen d’urines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sur bandelette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ECG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Compte rendu d’un examen cardio-vasculaire avec tracé d’ECG (de repos) établi par un cardiologue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ECBU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Examen cytobactériologique des urines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TN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Test de nicotine pour les non-fumeurs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BIO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Analyses biologiques (hémogramme, glycémie, cholestérol total, cholestérol HDL + LDL, triglycérides, transaminases,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gamma GT, test VIH, antigène HBS, sérologie de l’hépatite C, vitesse de sédimentation globulaire, uricémie, créatinine) +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dosage PSA (pour les hommes de 56 ans et plus) </w:t>
      </w:r>
      <w:r>
        <w:br/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ECHO CARDIAQUE :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Echocardiographie + compte-rendu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11"/>
        <w:gridCol w:w="5711"/>
      </w:tblGrid>
      <w:tr>
        <w:trPr>
          <w:trHeight w:hRule="exact" w:val="424"/>
        </w:trPr>
        <w:tc>
          <w:tcPr>
            <w:tcW w:type="dxa" w:w="11306"/>
            <w:gridSpan w:val="2"/>
            <w:tcBorders/>
            <w:shd w:fill="eef4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432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20"/>
              </w:rPr>
              <w:t>Les formalités médicales sont à transmettre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: </w:t>
            </w:r>
          </w:p>
        </w:tc>
      </w:tr>
      <w:tr>
        <w:trPr>
          <w:trHeight w:hRule="exact" w:val="348"/>
        </w:trPr>
        <w:tc>
          <w:tcPr>
            <w:tcW w:type="dxa" w:w="992"/>
            <w:tcBorders/>
            <w:shd w:fill="ee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144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2337"/>
                <w:sz w:val="18"/>
              </w:rPr>
              <w:t></w:t>
            </w:r>
          </w:p>
        </w:tc>
        <w:tc>
          <w:tcPr>
            <w:tcW w:type="dxa" w:w="10314"/>
            <w:tcBorders/>
            <w:shd w:fill="ee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160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t>Adhésion papier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: sous enveloppe confidentielle à l'attention du Médecin Conseil de MULTI−IMPACT à l'adresse </w:t>
            </w:r>
          </w:p>
        </w:tc>
      </w:tr>
    </w:tbl>
    <w:p>
      <w:pPr>
        <w:autoSpaceDN w:val="0"/>
        <w:autoSpaceDE w:val="0"/>
        <w:widowControl/>
        <w:spacing w:line="230" w:lineRule="auto" w:before="14" w:after="14"/>
        <w:ind w:left="1152" w:right="0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suivante : MULTI−IMPACT − À l'attention du médecin conseil − Service médical − 41/43 avenue Hoche − CS 110002 −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2.0" w:type="dxa"/>
      </w:tblPr>
      <w:tblGrid>
        <w:gridCol w:w="5711"/>
        <w:gridCol w:w="5711"/>
      </w:tblGrid>
      <w:tr>
        <w:trPr>
          <w:trHeight w:hRule="exact" w:val="576"/>
        </w:trPr>
        <w:tc>
          <w:tcPr>
            <w:tcW w:type="dxa" w:w="600"/>
            <w:tcBorders/>
            <w:shd w:fill="ee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0" w:after="0"/>
              <w:ind w:left="0" w:right="146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2337"/>
                <w:sz w:val="18"/>
              </w:rPr>
              <w:t></w:t>
            </w:r>
          </w:p>
        </w:tc>
        <w:tc>
          <w:tcPr>
            <w:tcW w:type="dxa" w:w="9780"/>
            <w:tcBorders/>
            <w:shd w:fill="ee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6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51687 REIMS CEDEX. </w:t>
            </w:r>
          </w:p>
          <w:p>
            <w:pPr>
              <w:autoSpaceDN w:val="0"/>
              <w:autoSpaceDE w:val="0"/>
              <w:widowControl/>
              <w:spacing w:line="230" w:lineRule="auto" w:before="28" w:after="0"/>
              <w:ind w:left="154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 w:val="0"/>
                <w:i w:val="0"/>
                <w:color w:val="002337"/>
                <w:sz w:val="18"/>
              </w:rPr>
              <w:t>Adhésion en ligne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: possibilité pour l’assuré de déposer ses pièces médicales via son espace client sécurisé. </w:t>
            </w:r>
          </w:p>
        </w:tc>
      </w:tr>
    </w:tbl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2.0" w:type="dxa"/>
      </w:tblPr>
      <w:tblGrid>
        <w:gridCol w:w="11422"/>
      </w:tblGrid>
      <w:tr>
        <w:trPr>
          <w:trHeight w:hRule="exact" w:val="310"/>
        </w:trPr>
        <w:tc>
          <w:tcPr>
            <w:tcW w:type="dxa" w:w="10960"/>
            <w:tcBorders/>
            <w:shd w:fill="ee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Lorsque le postulant se soumet aux formalités médicales demandées par l'assureur, il a le choix de les effectuer dans nos </w:t>
            </w:r>
          </w:p>
        </w:tc>
      </w:tr>
    </w:tbl>
    <w:p>
      <w:pPr>
        <w:autoSpaceDN w:val="0"/>
        <w:autoSpaceDE w:val="0"/>
        <w:widowControl/>
        <w:spacing w:line="230" w:lineRule="auto" w:before="14" w:after="14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centres prestataires ou bien auprès d'un praticien de son choix. </w:t>
      </w:r>
      <w:r>
        <w:rPr>
          <w:rFonts w:ascii="Open Sans" w:hAnsi="Open Sans" w:eastAsia="Open Sans"/>
          <w:b/>
          <w:i w:val="0"/>
          <w:color w:val="002337"/>
          <w:sz w:val="18"/>
        </w:rPr>
        <w:t xml:space="preserve">Le réseau des centres permet le regroupement des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2.0" w:type="dxa"/>
      </w:tblPr>
      <w:tblGrid>
        <w:gridCol w:w="11422"/>
      </w:tblGrid>
      <w:tr>
        <w:trPr>
          <w:trHeight w:hRule="exact" w:val="310"/>
        </w:trPr>
        <w:tc>
          <w:tcPr>
            <w:tcW w:type="dxa" w:w="10940"/>
            <w:tcBorders/>
            <w:shd w:fill="ee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8"/>
              </w:rPr>
              <w:t>formalités médicales sans avance de fonds pour le postulant.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 Les centres à contacter réalisant les bilans médicaux sont : </w:t>
            </w:r>
          </w:p>
        </w:tc>
      </w:tr>
    </w:tbl>
    <w:p>
      <w:pPr>
        <w:autoSpaceDN w:val="0"/>
        <w:autoSpaceDE w:val="0"/>
        <w:widowControl/>
        <w:spacing w:line="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2.0" w:type="dxa"/>
      </w:tblPr>
      <w:tblGrid>
        <w:gridCol w:w="11422"/>
      </w:tblGrid>
      <w:tr>
        <w:trPr>
          <w:trHeight w:hRule="exact" w:val="310"/>
        </w:trPr>
        <w:tc>
          <w:tcPr>
            <w:tcW w:type="dxa" w:w="10960"/>
            <w:tcBorders/>
            <w:shd w:fill="ee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>•</w:t>
            </w:r>
            <w:r>
              <w:rPr>
                <w:rFonts w:ascii="Open Sans" w:hAnsi="Open Sans" w:eastAsia="Open Sans"/>
                <w:b w:val="0"/>
                <w:i w:val="0"/>
                <w:color w:val="002337"/>
                <w:sz w:val="18"/>
              </w:rPr>
              <w:t xml:space="preserve">ARM (Analyse Risque Médical) : est présent pour réaliser les bilans médicaux dans 185 villes dont 14 adresses à Paris et 19 </w:t>
            </w:r>
          </w:p>
        </w:tc>
      </w:tr>
    </w:tbl>
    <w:p>
      <w:pPr>
        <w:autoSpaceDN w:val="0"/>
        <w:autoSpaceDE w:val="0"/>
        <w:widowControl/>
        <w:spacing w:line="276" w:lineRule="auto" w:before="14" w:after="0"/>
        <w:ind w:left="432" w:right="432" w:firstLine="0"/>
        <w:jc w:val="lef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>en Région parisienne − 09 70 72 72 72 −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  <w:r>
        <w:rPr>
          <w:u w:val="single" w:color="002237"/>
          <w:rFonts w:ascii="Open Sans" w:hAnsi="Open Sans" w:eastAsia="Open Sans"/>
          <w:b w:val="0"/>
          <w:i w:val="0"/>
          <w:color w:val="002337"/>
          <w:sz w:val="18"/>
        </w:rPr>
        <w:hyperlink r:id="rId22" w:history="1">
          <w:r>
            <w:rPr>
              <w:rStyle w:val="Hyperlink"/>
            </w:rPr>
            <w:t>http://www.armfrance.com</w:t>
          </w:r>
        </w:hyperlink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• CBSA (Centre de Bilans de Santé et d'Assurances) est présent pour réaliser les bilans médicaux, en un seul rendez−vous, dans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>son centre de Paris − 09 69 32 34 43 −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  <w:r>
        <w:rPr>
          <w:u w:val="single" w:color="002237"/>
          <w:rFonts w:ascii="Open Sans" w:hAnsi="Open Sans" w:eastAsia="Open Sans"/>
          <w:b w:val="0"/>
          <w:i w:val="0"/>
          <w:color w:val="002337"/>
          <w:sz w:val="18"/>
        </w:rPr>
        <w:hyperlink r:id="rId23" w:history="1">
          <w:r>
            <w:rPr>
              <w:rStyle w:val="Hyperlink"/>
            </w:rPr>
            <w:t>http://www.cbsa.fr</w:t>
          </w:r>
        </w:hyperlink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• ABCOS−CIVEM : est présent pour réaliser les bilans médicaux, en un seul rendez−vous et en un seul lieu, dans ses centres 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sur Paris Ile de France et en Région − 09 69 32 27 32 − </w:t>
      </w:r>
      <w:r>
        <w:rPr>
          <w:u w:val="single" w:color="002237"/>
          <w:rFonts w:ascii="Open Sans" w:hAnsi="Open Sans" w:eastAsia="Open Sans"/>
          <w:b w:val="0"/>
          <w:i w:val="0"/>
          <w:color w:val="002337"/>
          <w:sz w:val="18"/>
        </w:rPr>
        <w:t>http://www.abcossante.com</w:t>
      </w: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 </w:t>
      </w:r>
    </w:p>
    <w:p>
      <w:pPr>
        <w:autoSpaceDN w:val="0"/>
        <w:autoSpaceDE w:val="0"/>
        <w:widowControl/>
        <w:spacing w:line="228" w:lineRule="auto" w:before="188" w:after="0"/>
        <w:ind w:left="0" w:right="474" w:firstLine="0"/>
        <w:jc w:val="right"/>
      </w:pPr>
      <w:r>
        <w:rPr>
          <w:rFonts w:ascii="Open Sans" w:hAnsi="Open Sans" w:eastAsia="Open Sans"/>
          <w:b w:val="0"/>
          <w:i w:val="0"/>
          <w:color w:val="002337"/>
          <w:sz w:val="18"/>
        </w:rPr>
        <w:t xml:space="preserve">4 / 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.0" w:type="dxa"/>
      </w:tblPr>
      <w:tblGrid>
        <w:gridCol w:w="5711"/>
        <w:gridCol w:w="5711"/>
      </w:tblGrid>
      <w:tr>
        <w:trPr>
          <w:trHeight w:hRule="exact" w:val="52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2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02969" cy="2667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6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Siège social : 6 cours André Philip, 69100 Villeurbanne –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  <w:u w:val="single"/>
              </w:rPr>
              <w:hyperlink r:id="rId10" w:history="1">
                <w:r>
                  <w:rPr>
                    <w:rStyle w:val="Hyperlink"/>
                  </w:rPr>
                  <w:t>www.zenioo.com</w:t>
                </w:r>
              </w:hyperlink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 xml:space="preserve">SAS au capital de 1.267.431 € euros, RCS de LYON n°884782582, intermédiaire en assurance immatriculé à l'ORIAS sous le n°200 058 79 (www.orias.fr) </w:t>
            </w:r>
            <w:r>
              <w:rPr>
                <w:rFonts w:ascii="Open Sans" w:hAnsi="Open Sans" w:eastAsia="Open Sans"/>
                <w:b w:val="0"/>
                <w:i w:val="0"/>
                <w:color w:val="759AAB"/>
                <w:sz w:val="12"/>
              </w:rPr>
              <w:t>Autorité de contrôle prudentiel et de résolution - 4 place de Budapest - CS 92459 - 75436 Paris Cedex 09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60" w:right="196" w:bottom="88" w:left="28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zenioo.com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mailto:lcb-ft.tracfin@zenioo.com" TargetMode="Externa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yperlink" Target="http://www.armfrance.com/" TargetMode="External"/><Relationship Id="rId23" Type="http://schemas.openxmlformats.org/officeDocument/2006/relationships/hyperlink" Target="http://www.cbsa.fr/" TargetMode="External"/><Relationship Id="rId2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