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6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-946150</wp:posOffset>
            </wp:positionH>
            <wp:positionV relativeFrom="page">
              <wp:posOffset>-789940</wp:posOffset>
            </wp:positionV>
            <wp:extent cx="2874010" cy="2852602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285260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147320</wp:posOffset>
            </wp:positionH>
            <wp:positionV relativeFrom="page">
              <wp:posOffset>3422650</wp:posOffset>
            </wp:positionV>
            <wp:extent cx="2284730" cy="773786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77378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2606040</wp:posOffset>
            </wp:positionH>
            <wp:positionV relativeFrom="page">
              <wp:posOffset>3427729</wp:posOffset>
            </wp:positionV>
            <wp:extent cx="2284730" cy="769208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76920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5072380</wp:posOffset>
            </wp:positionH>
            <wp:positionV relativeFrom="page">
              <wp:posOffset>3444240</wp:posOffset>
            </wp:positionV>
            <wp:extent cx="2286000" cy="760473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6047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4749800</wp:posOffset>
            </wp:positionH>
            <wp:positionV relativeFrom="page">
              <wp:posOffset>1638300</wp:posOffset>
            </wp:positionV>
            <wp:extent cx="2527300" cy="5080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508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2654300</wp:posOffset>
            </wp:positionH>
            <wp:positionV relativeFrom="page">
              <wp:posOffset>571500</wp:posOffset>
            </wp:positionV>
            <wp:extent cx="635000" cy="1905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2661920</wp:posOffset>
            </wp:positionH>
            <wp:positionV relativeFrom="page">
              <wp:posOffset>576580</wp:posOffset>
            </wp:positionV>
            <wp:extent cx="627380" cy="186968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7380" cy="18696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393700</wp:posOffset>
            </wp:positionH>
            <wp:positionV relativeFrom="page">
              <wp:posOffset>4944110</wp:posOffset>
            </wp:positionV>
            <wp:extent cx="923290" cy="525636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3290" cy="52563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495300</wp:posOffset>
            </wp:positionH>
            <wp:positionV relativeFrom="page">
              <wp:posOffset>5219700</wp:posOffset>
            </wp:positionV>
            <wp:extent cx="292100" cy="1524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457200</wp:posOffset>
            </wp:positionH>
            <wp:positionV relativeFrom="page">
              <wp:posOffset>5041900</wp:posOffset>
            </wp:positionV>
            <wp:extent cx="787400" cy="3302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3302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.0" w:type="dxa"/>
      </w:tblPr>
      <w:tblGrid>
        <w:gridCol w:w="5741"/>
        <w:gridCol w:w="5741"/>
      </w:tblGrid>
      <w:tr>
        <w:trPr>
          <w:trHeight w:hRule="exact" w:val="1448"/>
        </w:trPr>
        <w:tc>
          <w:tcPr>
            <w:tcW w:type="dxa" w:w="9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178" w:firstLine="0"/>
              <w:jc w:val="right"/>
            </w:pPr>
            <w:r>
              <w:rPr>
                <w:rFonts w:ascii="Open Sans" w:hAnsi="Open Sans" w:eastAsia="Open Sans"/>
                <w:b/>
                <w:i w:val="0"/>
                <w:color w:val="759AAB"/>
                <w:sz w:val="20"/>
              </w:rPr>
              <w:t xml:space="preserve">FICHE PRODUIT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0.0" w:type="dxa"/>
            </w:tblPr>
            <w:tblGrid>
              <w:gridCol w:w="9240"/>
            </w:tblGrid>
            <w:tr>
              <w:trPr>
                <w:trHeight w:hRule="exact" w:val="1180"/>
              </w:trPr>
              <w:tc>
                <w:tcPr>
                  <w:tcW w:type="dxa" w:w="8840"/>
                  <w:tcBorders>
                    <w:start w:sz="12.0" w:val="single" w:color="#E42D45"/>
                    <w:top w:sz="12.0" w:val="single" w:color="#E42D45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98" w:after="0"/>
                    <w:ind w:left="216" w:right="432" w:hanging="10"/>
                    <w:jc w:val="left"/>
                  </w:pPr>
                  <w:r>
                    <w:rPr>
                      <w:rFonts w:ascii="Open Sans" w:hAnsi="Open Sans" w:eastAsia="Open Sans"/>
                      <w:b/>
                      <w:i w:val="0"/>
                      <w:color w:val="002337"/>
                      <w:sz w:val="36"/>
                    </w:rPr>
                    <w:t xml:space="preserve">MNCAP ADE 0124 </w:t>
                  </w:r>
                  <w:r>
                    <w:rPr>
                      <w:rFonts w:ascii="Open Sans" w:hAnsi="Open Sans" w:eastAsia="Open Sans"/>
                      <w:b/>
                      <w:i w:val="0"/>
                      <w:color w:val="002337"/>
                      <w:sz w:val="22"/>
                    </w:rPr>
                    <w:t xml:space="preserve">by </w:t>
                  </w:r>
                  <w:r>
                    <w:br/>
                  </w:r>
                  <w:r>
                    <w:rPr>
                      <w:rFonts w:ascii="Open Sans" w:hAnsi="Open Sans" w:eastAsia="Open Sans"/>
                      <w:b/>
                      <w:i w:val="0"/>
                      <w:color w:val="002337"/>
                      <w:sz w:val="22"/>
                    </w:rPr>
                    <w:t xml:space="preserve">L’alternative </w:t>
                  </w:r>
                  <w:r>
                    <w:rPr>
                      <w:rFonts w:ascii="Open Sans" w:hAnsi="Open Sans" w:eastAsia="Open Sans"/>
                      <w:b/>
                      <w:i w:val="0"/>
                      <w:color w:val="002337"/>
                      <w:sz w:val="32"/>
                    </w:rPr>
                    <w:t>+</w:t>
                  </w:r>
                  <w:r>
                    <w:rPr>
                      <w:rFonts w:ascii="Open Sans" w:hAnsi="Open Sans" w:eastAsia="Open Sans"/>
                      <w:b/>
                      <w:i w:val="0"/>
                      <w:color w:val="002337"/>
                      <w:sz w:val="22"/>
                    </w:rPr>
                    <w:t xml:space="preserve"> économique et </w:t>
                  </w:r>
                  <w:r>
                    <w:rPr>
                      <w:rFonts w:ascii="Open Sans" w:hAnsi="Open Sans" w:eastAsia="Open Sans"/>
                      <w:b/>
                      <w:i w:val="0"/>
                      <w:color w:val="002337"/>
                      <w:sz w:val="32"/>
                    </w:rPr>
                    <w:t>+</w:t>
                  </w:r>
                  <w:r>
                    <w:rPr>
                      <w:rFonts w:ascii="Open Sans" w:hAnsi="Open Sans" w:eastAsia="Open Sans"/>
                      <w:b/>
                      <w:i w:val="0"/>
                      <w:color w:val="002337"/>
                      <w:sz w:val="22"/>
                    </w:rPr>
                    <w:t xml:space="preserve"> sécurisante face aux contrats bancaires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69340" cy="37719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340" cy="3771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910"/>
        <w:ind w:left="0" w:right="0"/>
      </w:pPr>
    </w:p>
    <w:p>
      <w:pPr>
        <w:sectPr>
          <w:pgSz w:w="11906" w:h="16838"/>
          <w:pgMar w:top="160" w:right="212" w:bottom="88" w:left="212" w:header="720" w:footer="720" w:gutter="0"/>
          <w:cols/>
          <w:docGrid w:linePitch="360"/>
        </w:sectPr>
      </w:pPr>
    </w:p>
    <w:p>
      <w:pPr>
        <w:autoSpaceDN w:val="0"/>
        <w:tabs>
          <w:tab w:pos="868" w:val="left"/>
          <w:tab w:pos="1228" w:val="left"/>
        </w:tabs>
        <w:autoSpaceDE w:val="0"/>
        <w:widowControl/>
        <w:spacing w:line="271" w:lineRule="auto" w:before="0" w:after="0"/>
        <w:ind w:left="508" w:right="1152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 xml:space="preserve">Pourquoi choisir MNCAP ADE 0124 ? </w:t>
      </w:r>
      <w:r>
        <w:tab/>
      </w:r>
      <w:r>
        <w:rPr>
          <w:rFonts w:ascii="Symbol" w:hAnsi="Symbol" w:eastAsia="Symbol"/>
          <w:b w:val="0"/>
          <w:i w:val="0"/>
          <w:color w:val="002337"/>
          <w:sz w:val="20"/>
        </w:rPr>
        <w:t>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20"/>
        </w:rPr>
        <w:t xml:space="preserve">Couverture des capitaux jusqu’à 10 millions </w:t>
      </w:r>
    </w:p>
    <w:p>
      <w:pPr>
        <w:sectPr>
          <w:type w:val="continuous"/>
          <w:pgSz w:w="11906" w:h="16838"/>
          <w:pgMar w:top="160" w:right="212" w:bottom="88" w:left="212" w:header="720" w:footer="720" w:gutter="0"/>
          <w:cols w:num="2" w:equalWidth="0">
            <w:col w:w="6560" w:space="0"/>
            <w:col w:w="4922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158"/>
        <w:ind w:left="1152" w:right="432" w:firstLine="0"/>
        <w:jc w:val="center"/>
      </w:pPr>
      <w:r>
        <w:rPr>
          <w:rFonts w:ascii="Open Sans" w:hAnsi="Open Sans" w:eastAsia="Open Sans"/>
          <w:b/>
          <w:i w:val="0"/>
          <w:color w:val="002337"/>
          <w:sz w:val="21"/>
        </w:rPr>
        <w:t xml:space="preserve">Aucun questionnaire de santé </w:t>
      </w:r>
      <w:r>
        <w:rPr>
          <w:rFonts w:ascii="Open Sans" w:hAnsi="Open Sans" w:eastAsia="Open Sans"/>
          <w:b/>
          <w:i w:val="0"/>
          <w:color w:val="002337"/>
          <w:sz w:val="21"/>
        </w:rPr>
        <w:t xml:space="preserve">pour les prêts &lt; à 200 000 € * </w:t>
      </w:r>
    </w:p>
    <w:p>
      <w:pPr>
        <w:sectPr>
          <w:type w:val="nextColumn"/>
          <w:pgSz w:w="11906" w:h="16838"/>
          <w:pgMar w:top="160" w:right="212" w:bottom="88" w:left="212" w:header="720" w:footer="720" w:gutter="0"/>
          <w:cols w:num="2" w:equalWidth="0">
            <w:col w:w="6560" w:space="0"/>
            <w:col w:w="492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28.0" w:type="dxa"/>
      </w:tblPr>
      <w:tblGrid>
        <w:gridCol w:w="3827"/>
        <w:gridCol w:w="3827"/>
        <w:gridCol w:w="3827"/>
      </w:tblGrid>
      <w:tr>
        <w:trPr>
          <w:trHeight w:hRule="exact" w:val="252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11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2337"/>
                <w:sz w:val="20"/>
              </w:rPr>
              <w:t>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4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Remboursement de la mensualité jusqu’à 15 000 € 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8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4"/>
              </w:rPr>
              <w:t xml:space="preserve">* avec un terme antérieur aux 60 ans de l’emprunteur </w:t>
            </w:r>
          </w:p>
        </w:tc>
      </w:tr>
      <w:tr>
        <w:trPr>
          <w:trHeight w:hRule="exact" w:val="342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11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2337"/>
                <w:sz w:val="20"/>
              </w:rPr>
              <w:t>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13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>Versement de l’IPT en rente ou en capital, au choix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8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4"/>
              </w:rPr>
              <w:t xml:space="preserve">et tenant compte de l’encours assuré des autres crédits </w:t>
            </w:r>
          </w:p>
        </w:tc>
      </w:tr>
    </w:tbl>
    <w:p>
      <w:pPr>
        <w:autoSpaceDN w:val="0"/>
        <w:autoSpaceDE w:val="0"/>
        <w:widowControl/>
        <w:spacing w:line="230" w:lineRule="auto" w:before="550" w:after="0"/>
        <w:ind w:left="508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>En un clin d’œil</w:t>
      </w:r>
    </w:p>
    <w:p>
      <w:pPr>
        <w:autoSpaceDN w:val="0"/>
        <w:autoSpaceDE w:val="0"/>
        <w:widowControl/>
        <w:spacing w:line="230" w:lineRule="auto" w:before="44" w:after="100"/>
        <w:ind w:left="508" w:right="0" w:firstLine="0"/>
        <w:jc w:val="left"/>
      </w:pPr>
      <w:r>
        <w:rPr>
          <w:rFonts w:ascii="Open Sans" w:hAnsi="Open Sans" w:eastAsia="Open Sans"/>
          <w:b/>
          <w:i w:val="0"/>
          <w:color w:val="002337"/>
          <w:sz w:val="20"/>
        </w:rPr>
        <w:t>Produit géré et assuré par MNCAP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27"/>
        <w:gridCol w:w="3827"/>
        <w:gridCol w:w="3827"/>
      </w:tblGrid>
      <w:tr>
        <w:trPr>
          <w:trHeight w:hRule="exact" w:val="350"/>
        </w:trPr>
        <w:tc>
          <w:tcPr>
            <w:tcW w:type="dxa" w:w="37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21"/>
              </w:rPr>
              <w:t xml:space="preserve">Pour vous </w:t>
            </w:r>
          </w:p>
        </w:tc>
        <w:tc>
          <w:tcPr>
            <w:tcW w:type="dxa" w:w="38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908" w:firstLine="0"/>
              <w:jc w:val="righ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22"/>
              </w:rPr>
              <w:t xml:space="preserve">Pour votre client </w:t>
            </w:r>
          </w:p>
        </w:tc>
        <w:tc>
          <w:tcPr>
            <w:tcW w:type="dxa" w:w="388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83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22"/>
              </w:rPr>
              <w:t xml:space="preserve">Formalités médicales </w:t>
            </w:r>
          </w:p>
        </w:tc>
      </w:tr>
      <w:tr>
        <w:trPr>
          <w:trHeight w:hRule="exact" w:val="72"/>
        </w:trPr>
        <w:tc>
          <w:tcPr>
            <w:tcW w:type="dxa" w:w="3706"/>
            <w:vMerge w:val="restart"/>
            <w:tcBorders>
              <w:bottom w:sz="8.0" w:val="single" w:color="#EEF4F5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Différents modes de commissions </w:t>
            </w:r>
          </w:p>
        </w:tc>
        <w:tc>
          <w:tcPr>
            <w:tcW w:type="dxa" w:w="3870"/>
            <w:vMerge w:val="restart"/>
            <w:tcBorders>
              <w:bottom w:sz="8.0" w:val="single" w:color="#EEF4F5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8" w:after="0"/>
              <w:ind w:left="43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Parcours de souscription en ligne </w:t>
            </w:r>
          </w:p>
        </w:tc>
        <w:tc>
          <w:tcPr>
            <w:tcW w:type="dxa" w:w="3827"/>
            <w:vMerge/>
            <w:tcBorders/>
          </w:tcPr>
          <w:p/>
        </w:tc>
      </w:tr>
      <w:tr>
        <w:trPr>
          <w:trHeight w:hRule="exact" w:val="287"/>
        </w:trPr>
        <w:tc>
          <w:tcPr>
            <w:tcW w:type="dxa" w:w="3827"/>
            <w:vMerge/>
            <w:tcBorders>
              <w:bottom w:sz="8.0" w:val="single" w:color="#EEF4F5"/>
            </w:tcBorders>
          </w:tcPr>
          <w:p/>
        </w:tc>
        <w:tc>
          <w:tcPr>
            <w:tcW w:type="dxa" w:w="3827"/>
            <w:vMerge/>
            <w:tcBorders>
              <w:bottom w:sz="8.0" w:val="single" w:color="#EEF4F5"/>
            </w:tcBorders>
          </w:tcPr>
          <w:p/>
        </w:tc>
        <w:tc>
          <w:tcPr>
            <w:tcW w:type="dxa" w:w="3886"/>
            <w:tcBorders>
              <w:bottom w:sz="8.0" w:val="single" w:color="#EEF4F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91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Questionnaire de santé </w:t>
            </w:r>
          </w:p>
        </w:tc>
      </w:tr>
      <w:tr>
        <w:trPr>
          <w:trHeight w:hRule="exact" w:val="241"/>
        </w:trPr>
        <w:tc>
          <w:tcPr>
            <w:tcW w:type="dxa" w:w="3706"/>
            <w:tcBorders>
              <w:top w:sz="8.0" w:val="single" w:color="#EEF4F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linéaires ou escomptés </w:t>
            </w:r>
          </w:p>
        </w:tc>
        <w:tc>
          <w:tcPr>
            <w:tcW w:type="dxa" w:w="3870"/>
            <w:vMerge w:val="restart"/>
            <w:tcBorders>
              <w:top w:sz="8.0" w:val="single" w:color="#EEF4F5"/>
              <w:bottom w:sz="18.0" w:val="single" w:color="#EEF4F5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53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y compris la sélection médicale </w:t>
            </w:r>
          </w:p>
        </w:tc>
        <w:tc>
          <w:tcPr>
            <w:tcW w:type="dxa" w:w="3886"/>
            <w:vMerge w:val="restart"/>
            <w:tcBorders>
              <w:top w:sz="8.0" w:val="single" w:color="#EEF4F5"/>
              <w:bottom w:sz="18.0" w:val="single" w:color="#EEF4F5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66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jusqu’à 45 ans et 1 000 000 € </w:t>
            </w:r>
          </w:p>
        </w:tc>
      </w:tr>
      <w:tr>
        <w:trPr>
          <w:trHeight w:hRule="exact" w:val="944"/>
        </w:trPr>
        <w:tc>
          <w:tcPr>
            <w:tcW w:type="dxa" w:w="3706"/>
            <w:tcBorders>
              <w:bottom w:sz="18.0" w:val="single" w:color="#EEF4F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et précomptés </w:t>
            </w:r>
          </w:p>
        </w:tc>
        <w:tc>
          <w:tcPr>
            <w:tcW w:type="dxa" w:w="3827"/>
            <w:vMerge/>
            <w:tcBorders>
              <w:top w:sz="8.0" w:val="single" w:color="#EEF4F5"/>
              <w:bottom w:sz="18.0" w:val="single" w:color="#EEF4F5"/>
            </w:tcBorders>
          </w:tcPr>
          <w:p/>
        </w:tc>
        <w:tc>
          <w:tcPr>
            <w:tcW w:type="dxa" w:w="3827"/>
            <w:vMerge/>
            <w:tcBorders>
              <w:top w:sz="8.0" w:val="single" w:color="#EEF4F5"/>
              <w:bottom w:sz="18.0" w:val="single" w:color="#EEF4F5"/>
            </w:tcBorders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11482"/>
      </w:tblGrid>
      <w:tr>
        <w:trPr>
          <w:trHeight w:hRule="exact" w:val="1504"/>
        </w:trPr>
        <w:tc>
          <w:tcPr>
            <w:tcW w:type="dxa" w:w="11390"/>
            <w:tcBorders>
              <w:start w:sz="18.0" w:val="single" w:color="#EEF4F5"/>
              <w:bottom w:sz="18.0" w:val="single" w:color="#EEF4F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86" w:val="left"/>
                <w:tab w:pos="1904" w:val="left"/>
                <w:tab w:pos="1916" w:val="left"/>
              </w:tabs>
              <w:autoSpaceDE w:val="0"/>
              <w:widowControl/>
              <w:spacing w:line="266" w:lineRule="auto" w:before="182" w:after="0"/>
              <w:ind w:left="456" w:right="576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E52E45"/>
                <w:sz w:val="26"/>
              </w:rPr>
              <w:t xml:space="preserve">Changez simplement et sereinement d’assurance de prêt avec RésiliZen </w:t>
            </w:r>
            <w:r>
              <w:tab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RésiliZen est à votre service pour prendre en charge toutes les démarches administratives à votre </w:t>
            </w:r>
            <w:r>
              <w:tab/>
            </w:r>
            <w:r>
              <w:tab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place pour tous les produits MNCAP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: envois des courriers à la banque, relances, traitements des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objections jusqu’à la réception des avenants de substitution. </w:t>
            </w:r>
          </w:p>
        </w:tc>
      </w:tr>
    </w:tbl>
    <w:p>
      <w:pPr>
        <w:autoSpaceDN w:val="0"/>
        <w:autoSpaceDE w:val="0"/>
        <w:widowControl/>
        <w:spacing w:line="230" w:lineRule="auto" w:before="514" w:after="0"/>
        <w:ind w:left="508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 xml:space="preserve">Garanties </w:t>
      </w:r>
    </w:p>
    <w:p>
      <w:pPr>
        <w:autoSpaceDN w:val="0"/>
        <w:autoSpaceDE w:val="0"/>
        <w:widowControl/>
        <w:spacing w:line="230" w:lineRule="auto" w:before="102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En tant que distributeur de produits d’assurance, vous devez proposer des produits qui sont cohérents avec les exigences et </w:t>
      </w:r>
    </w:p>
    <w:p>
      <w:pPr>
        <w:autoSpaceDN w:val="0"/>
        <w:autoSpaceDE w:val="0"/>
        <w:widowControl/>
        <w:spacing w:line="230" w:lineRule="auto" w:before="8" w:after="136"/>
        <w:ind w:left="508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besoins du souscripteur éventuel ou de l’adhérent éventuel.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2870"/>
        <w:gridCol w:w="2870"/>
        <w:gridCol w:w="2870"/>
        <w:gridCol w:w="2870"/>
      </w:tblGrid>
      <w:tr>
        <w:trPr>
          <w:trHeight w:hRule="exact" w:val="500"/>
        </w:trPr>
        <w:tc>
          <w:tcPr>
            <w:tcW w:type="dxa" w:w="2270"/>
            <w:tcBorders>
              <w:end w:sz="3.9999999999998863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824"/>
            <w:tcBorders>
              <w:start w:sz="3.9999999999998863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2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Description </w:t>
            </w:r>
          </w:p>
        </w:tc>
        <w:tc>
          <w:tcPr>
            <w:tcW w:type="dxa" w:w="213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Âge limite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à l’adhésion </w:t>
            </w:r>
          </w:p>
        </w:tc>
        <w:tc>
          <w:tcPr>
            <w:tcW w:type="dxa" w:w="212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 xml:space="preserve">Âge limite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>à l’indemnisation</w:t>
            </w:r>
          </w:p>
        </w:tc>
      </w:tr>
      <w:tr>
        <w:trPr>
          <w:trHeight w:hRule="exact" w:val="992"/>
        </w:trPr>
        <w:tc>
          <w:tcPr>
            <w:tcW w:type="dxa" w:w="2270"/>
            <w:tcBorders>
              <w:start w:sz="3.200000000000003" w:val="single" w:color="#AEC5CF"/>
              <w:top w:sz="4.0" w:val="single" w:color="#AEC5CF"/>
              <w:end w:sz="3.9999999999998863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104" w:right="432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Décès Perte Totale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et Irréversible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d’Autonomie (PTIA)</w:t>
            </w:r>
          </w:p>
        </w:tc>
        <w:tc>
          <w:tcPr>
            <w:tcW w:type="dxa" w:w="4824"/>
            <w:tcBorders>
              <w:start w:sz="3.9999999999998863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Remboursement au prêteur du capital restant dû au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jour du décès ou de la PTIA dans la limite de la quotité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souscrite </w:t>
            </w:r>
          </w:p>
        </w:tc>
        <w:tc>
          <w:tcPr>
            <w:tcW w:type="dxa" w:w="213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Décès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: le jour de son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80ème anniversaire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PTIA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: le jour de son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70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ème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anniversaire </w:t>
            </w:r>
          </w:p>
        </w:tc>
        <w:tc>
          <w:tcPr>
            <w:tcW w:type="dxa" w:w="212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Décès :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le jour de son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86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ème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anniversaire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PTIA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: le jour de son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72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ème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anniversaire </w:t>
            </w:r>
          </w:p>
        </w:tc>
      </w:tr>
      <w:tr>
        <w:trPr>
          <w:trHeight w:hRule="exact" w:val="742"/>
        </w:trPr>
        <w:tc>
          <w:tcPr>
            <w:tcW w:type="dxa" w:w="2270"/>
            <w:tcBorders>
              <w:start w:sz="3.200000000000003" w:val="single" w:color="#AEC5CF"/>
              <w:top w:sz="4.0" w:val="single" w:color="#AEC5CF"/>
              <w:end w:sz="3.9999999999998863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432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Incapacité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Temporaire Totale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(ITT) </w:t>
            </w:r>
          </w:p>
        </w:tc>
        <w:tc>
          <w:tcPr>
            <w:tcW w:type="dxa" w:w="4824"/>
            <w:tcBorders>
              <w:start w:sz="3.9999999999998863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288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Remboursement au prêteur des échéances de prêt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dans la limite de la quotité souscrite, jusqu’ 15 000 €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par mois </w:t>
            </w:r>
          </w:p>
        </w:tc>
        <w:tc>
          <w:tcPr>
            <w:tcW w:type="dxa" w:w="213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288" w:right="144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Le jour de son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70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ème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anniversaire </w:t>
            </w:r>
          </w:p>
        </w:tc>
        <w:tc>
          <w:tcPr>
            <w:tcW w:type="dxa" w:w="212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144" w:right="144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Le jour de son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72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ème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anniversaire </w:t>
            </w:r>
          </w:p>
        </w:tc>
      </w:tr>
      <w:tr>
        <w:trPr>
          <w:trHeight w:hRule="exact" w:val="748"/>
        </w:trPr>
        <w:tc>
          <w:tcPr>
            <w:tcW w:type="dxa" w:w="2270"/>
            <w:tcBorders>
              <w:start w:sz="3.200000000000003" w:val="single" w:color="#AEC5CF"/>
              <w:top w:sz="4.0" w:val="single" w:color="#AEC5CF"/>
              <w:end w:sz="3.9999999999998863" w:val="single" w:color="#AEC5CF"/>
              <w:bottom w:sz="3.199999999999818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288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Invalidité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Permanente Totale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(IP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T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) </w:t>
            </w:r>
          </w:p>
        </w:tc>
        <w:tc>
          <w:tcPr>
            <w:tcW w:type="dxa" w:w="4824"/>
            <w:tcBorders>
              <w:start w:sz="3.9999999999998863" w:val="single" w:color="#AEC5CF"/>
              <w:top w:sz="4.0" w:val="single" w:color="#AEC5CF"/>
              <w:end w:sz="4.0" w:val="single" w:color="#AEC5CF"/>
              <w:bottom w:sz="3.199999999999818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102" w:right="288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Remboursement au prêteur des échéances de prêt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dans la limite de la quotité souscrite </w:t>
            </w:r>
          </w:p>
        </w:tc>
        <w:tc>
          <w:tcPr>
            <w:tcW w:type="dxa" w:w="2130"/>
            <w:tcBorders>
              <w:start w:sz="4.0" w:val="single" w:color="#AEC5CF"/>
              <w:top w:sz="4.0" w:val="single" w:color="#AEC5CF"/>
              <w:end w:sz="4.0" w:val="single" w:color="#AEC5CF"/>
              <w:bottom w:sz="3.199999999999818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288" w:right="144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Le jour de son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70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ème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anniversaire </w:t>
            </w:r>
          </w:p>
        </w:tc>
        <w:tc>
          <w:tcPr>
            <w:tcW w:type="dxa" w:w="2120"/>
            <w:tcBorders>
              <w:start w:sz="4.0" w:val="single" w:color="#AEC5CF"/>
              <w:top w:sz="4.0" w:val="single" w:color="#AEC5CF"/>
              <w:end w:sz="4.0" w:val="single" w:color="#AEC5CF"/>
              <w:bottom w:sz="3.199999999999818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144" w:right="144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Le jour de son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72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ème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anniversaire </w:t>
            </w:r>
          </w:p>
        </w:tc>
      </w:tr>
      <w:tr>
        <w:trPr>
          <w:trHeight w:hRule="exact" w:val="1236"/>
        </w:trPr>
        <w:tc>
          <w:tcPr>
            <w:tcW w:type="dxa" w:w="2270"/>
            <w:tcBorders>
              <w:start w:sz="3.200000000000003" w:val="single" w:color="#AEC5CF"/>
              <w:top w:sz="3.199999999999818" w:val="single" w:color="#AEC5CF"/>
              <w:end w:sz="3.9999999999998863" w:val="single" w:color="#AEC5CF"/>
              <w:bottom w:sz="3.199999999999818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288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Invalidité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Permanente Totale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Capital (IPT)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(hors segment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Lemoine)</w:t>
            </w:r>
          </w:p>
        </w:tc>
        <w:tc>
          <w:tcPr>
            <w:tcW w:type="dxa" w:w="4824"/>
            <w:tcBorders>
              <w:start w:sz="3.9999999999998863" w:val="single" w:color="#AEC5CF"/>
              <w:top w:sz="3.199999999999818" w:val="single" w:color="#AEC5CF"/>
              <w:end w:sz="4.0" w:val="single" w:color="#AEC5CF"/>
              <w:bottom w:sz="3.199999999999818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6" w:after="0"/>
              <w:ind w:left="102" w:right="144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Remboursement au prêteur du capital restant dû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à la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date de reconnaissance de l’IPT, dans la limite de la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quotité souscrite. </w:t>
            </w:r>
          </w:p>
        </w:tc>
        <w:tc>
          <w:tcPr>
            <w:tcW w:type="dxa" w:w="2130"/>
            <w:tcBorders>
              <w:start w:sz="4.0" w:val="single" w:color="#AEC5CF"/>
              <w:top w:sz="3.199999999999818" w:val="single" w:color="#AEC5CF"/>
              <w:end w:sz="4.0" w:val="single" w:color="#AEC5CF"/>
              <w:bottom w:sz="3.199999999999818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68" w:after="0"/>
              <w:ind w:left="288" w:right="144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Le jour de son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70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ème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anniversaire </w:t>
            </w:r>
          </w:p>
        </w:tc>
        <w:tc>
          <w:tcPr>
            <w:tcW w:type="dxa" w:w="2120"/>
            <w:tcBorders>
              <w:start w:sz="4.0" w:val="single" w:color="#AEC5CF"/>
              <w:top w:sz="3.199999999999818" w:val="single" w:color="#AEC5CF"/>
              <w:end w:sz="4.0" w:val="single" w:color="#AEC5CF"/>
              <w:bottom w:sz="3.199999999999818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68" w:after="0"/>
              <w:ind w:left="144" w:right="144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Le jour de son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72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ème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anniversaire </w:t>
            </w:r>
          </w:p>
        </w:tc>
      </w:tr>
      <w:tr>
        <w:trPr>
          <w:trHeight w:hRule="exact" w:val="744"/>
        </w:trPr>
        <w:tc>
          <w:tcPr>
            <w:tcW w:type="dxa" w:w="2270"/>
            <w:tcBorders>
              <w:start w:sz="3.200000000000003" w:val="single" w:color="#AEC5CF"/>
              <w:top w:sz="3.199999999999818" w:val="single" w:color="#AEC5CF"/>
              <w:end w:sz="3.9999999999998863" w:val="single" w:color="#AEC5CF"/>
              <w:bottom w:sz="3.199999999999818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864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Invalidité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Permanente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Pa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r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tielle (IPP) </w:t>
            </w:r>
          </w:p>
        </w:tc>
        <w:tc>
          <w:tcPr>
            <w:tcW w:type="dxa" w:w="4824"/>
            <w:vMerge w:val="restart"/>
            <w:tcBorders>
              <w:start w:sz="3.200000000000003" w:val="single" w:color="#AEC5CF"/>
              <w:top w:sz="3.199999999999818" w:val="single" w:color="#AEC5CF"/>
              <w:end w:sz="4.0" w:val="single" w:color="#AEC5CF"/>
              <w:bottom w:sz="3.199999999999818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" w:val="left"/>
              </w:tabs>
              <w:autoSpaceDE w:val="0"/>
              <w:widowControl/>
              <w:spacing w:line="245" w:lineRule="auto" w:before="0" w:after="0"/>
              <w:ind w:left="0" w:right="0" w:firstLine="0"/>
              <w:jc w:val="left"/>
            </w:pP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Remboursement au prêteur de (N-33)/66 des </w:t>
            </w:r>
            <w:r>
              <w:br/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échéances dues dans la limite de la quotité souscrite </w:t>
            </w:r>
            <w:r>
              <w:tab/>
            </w:r>
            <w:r>
              <w:rPr>
                <w:rFonts w:ascii="Open Sans" w:hAnsi="Open Sans" w:eastAsia="Open Sans"/>
                <w:b w:val="0"/>
                <w:i/>
                <w:color w:val="002337"/>
                <w:sz w:val="18"/>
              </w:rPr>
              <w:t xml:space="preserve">N étant le taux d’incapacité reconnu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>roduit vous pouvez vous référer au Document d’Information nor</w:t>
            </w:r>
          </w:p>
        </w:tc>
        <w:tc>
          <w:tcPr>
            <w:tcW w:type="dxa" w:w="2130"/>
            <w:vMerge w:val="restart"/>
            <w:tcBorders>
              <w:start w:sz="3.200000000000003" w:val="single" w:color="#AEC5CF"/>
              <w:top w:sz="3.199999999999818" w:val="single" w:color="#AEC5CF"/>
              <w:end w:sz="4.0" w:val="single" w:color="#AEC5CF"/>
              <w:bottom w:sz="3.199999999999818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288" w:right="144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Le jour de son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70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ème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anniversaire </w:t>
            </w:r>
          </w:p>
          <w:p>
            <w:pPr>
              <w:autoSpaceDN w:val="0"/>
              <w:autoSpaceDE w:val="0"/>
              <w:widowControl/>
              <w:spacing w:line="230" w:lineRule="auto" w:before="14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>malisé sur le Produit (DIP) ou</w:t>
            </w:r>
          </w:p>
        </w:tc>
        <w:tc>
          <w:tcPr>
            <w:tcW w:type="dxa" w:w="2120"/>
            <w:tcBorders>
              <w:start w:sz="4.0" w:val="single" w:color="#AEC5CF"/>
              <w:top w:sz="3.199999999999818" w:val="single" w:color="#AEC5CF"/>
              <w:end w:sz="4.0" w:val="single" w:color="#AEC5CF"/>
              <w:bottom w:sz="3.199999999999818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144" w:right="144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Le jour de son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72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ème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anniversaire </w:t>
            </w:r>
          </w:p>
        </w:tc>
      </w:tr>
      <w:tr>
        <w:trPr>
          <w:trHeight w:hRule="exact" w:val="228"/>
        </w:trPr>
        <w:tc>
          <w:tcPr>
            <w:tcW w:type="dxa" w:w="11344"/>
            <w:gridSpan w:val="4"/>
            <w:tcBorders>
              <w:start w:sz="3.200000000000003" w:val="single" w:color="#AEC5CF"/>
              <w:end w:sz="4.0" w:val="single" w:color="#AEC5CF"/>
              <w:bottom w:sz="3.199999999999818" w:val="single" w:color="#AEC5C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>Pour plus de détails sur le produit vous pouvez vous référer au Document d’Information normalisé sur le Produit (DIP) ou à la notice d’informations</w:t>
            </w:r>
          </w:p>
        </w:tc>
      </w:tr>
    </w:tbl>
    <w:p>
      <w:pPr>
        <w:autoSpaceDN w:val="0"/>
        <w:autoSpaceDE w:val="0"/>
        <w:widowControl/>
        <w:spacing w:line="228" w:lineRule="auto" w:before="490" w:after="0"/>
        <w:ind w:left="0" w:right="458" w:firstLine="0"/>
        <w:jc w:val="righ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1 / 4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8.0" w:type="dxa"/>
      </w:tblPr>
      <w:tblGrid>
        <w:gridCol w:w="5741"/>
        <w:gridCol w:w="5741"/>
      </w:tblGrid>
      <w:tr>
        <w:trPr>
          <w:trHeight w:hRule="exact" w:val="522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3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02969" cy="2667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969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288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>Siège social : 6 cours André Philip – 69100 Villeurbanne. SAS au capital de 1.267.431 €, RCS de Lyon n°884 782 582 –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  <w:u w:val="single"/>
              </w:rPr>
              <w:hyperlink r:id="rId11" w:history="1">
                <w:r>
                  <w:rPr>
                    <w:rStyle w:val="Hyperlink"/>
                  </w:rPr>
                  <w:t xml:space="preserve">www.zenioo.com </w:t>
                </w:r>
              </w:hyperlink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SAS au capital de 1.267.431 € euros, RCS de LYON n°884782582, intermédiaire en assurance immatriculé à l'ORIAS sous le n°200 058 79 (www.orias.fr)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>Autorité de contrôle prudentiel et de résolution - 4 place de Budapest - CS 92459 - 75436 Paris Cedex 09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160" w:right="212" w:bottom="88" w:left="2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257" w:lineRule="auto" w:before="0" w:after="128"/>
        <w:ind w:left="460" w:right="288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 xml:space="preserve">Marché cible </w:t>
      </w:r>
      <w:r>
        <w:br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Toute personne physique ou morale en cours de souscription d’un prêt ou ayant déjà souscrit un prêt, ayant le besoin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d’assurance pour couvrir le nouveau prêt ou celui déjà existant sous réserve de répondre aux limites fixées dans la notice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d’information du produit.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1402"/>
      </w:tblGrid>
      <w:tr>
        <w:trPr>
          <w:trHeight w:hRule="exact" w:val="2116"/>
        </w:trPr>
        <w:tc>
          <w:tcPr>
            <w:tcW w:type="dxa" w:w="11324"/>
            <w:tcBorders>
              <w:start w:sz="8.0" w:val="single" w:color="#F9D4DA"/>
              <w:bottom w:sz="8.0" w:val="single" w:color="#F9D4DA"/>
            </w:tcBorders>
            <w:shd w:fill="fdf4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2" w:after="0"/>
              <w:ind w:left="440" w:right="288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E52E45"/>
                <w:sz w:val="26"/>
              </w:rPr>
              <w:t xml:space="preserve">Spécial Loi Lemoine pour les prêts inférieurs à 200 000 €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Fin de la sélection médicale :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Suppression du questionnaire de santé pour les prêts finançant une habitation dont le montant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assuré est inférieur à 200 000 € par assuré (en tenant compte de l’encours assuré de l’ensemble des contrats de crédit) et dont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l’échéance du prêt arrive avant le 60ème anniversaire de l'assuré.</w:t>
            </w:r>
          </w:p>
          <w:p>
            <w:pPr>
              <w:autoSpaceDN w:val="0"/>
              <w:autoSpaceDE w:val="0"/>
              <w:widowControl/>
              <w:spacing w:line="230" w:lineRule="auto" w:before="130" w:after="4"/>
              <w:ind w:left="440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Conditions 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80.0" w:type="dxa"/>
            </w:tblPr>
            <w:tblGrid>
              <w:gridCol w:w="2831"/>
              <w:gridCol w:w="2831"/>
              <w:gridCol w:w="2831"/>
              <w:gridCol w:w="2831"/>
            </w:tblGrid>
            <w:tr>
              <w:trPr>
                <w:trHeight w:hRule="exact" w:val="226"/>
              </w:trPr>
              <w:tc>
                <w:tcPr>
                  <w:tcW w:type="dxa" w:w="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auto" w:before="42" w:after="0"/>
                    <w:ind w:left="0" w:right="112" w:firstLine="0"/>
                    <w:jc w:val="right"/>
                  </w:pPr>
                  <w:r>
                    <w:rPr>
                      <w:rFonts w:ascii="Courier New" w:hAnsi="Courier New" w:eastAsia="Courier New"/>
                      <w:b w:val="0"/>
                      <w:i w:val="0"/>
                      <w:color w:val="002337"/>
                      <w:sz w:val="18"/>
                    </w:rPr>
                    <w:t>o</w:t>
                  </w:r>
                </w:p>
              </w:tc>
              <w:tc>
                <w:tcPr>
                  <w:tcW w:type="dxa" w:w="4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0" w:after="0"/>
                    <w:ind w:left="140" w:right="0" w:firstLine="0"/>
                    <w:jc w:val="left"/>
                  </w:pPr>
                  <w:r>
                    <w:rPr>
                      <w:rFonts w:ascii="Open Sans" w:hAnsi="Open Sans" w:eastAsia="Open Sans"/>
                      <w:b w:val="0"/>
                      <w:i w:val="0"/>
                      <w:color w:val="002337"/>
                      <w:sz w:val="18"/>
                    </w:rPr>
                    <w:t xml:space="preserve">Franchise minimale de 90 jours </w:t>
                  </w:r>
                </w:p>
              </w:tc>
              <w:tc>
                <w:tcPr>
                  <w:tcW w:type="dxa" w:w="9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auto" w:before="46" w:after="0"/>
                    <w:ind w:left="0" w:right="124" w:firstLine="0"/>
                    <w:jc w:val="right"/>
                  </w:pPr>
                  <w:r>
                    <w:rPr>
                      <w:rFonts w:ascii="Courier New" w:hAnsi="Courier New" w:eastAsia="Courier New"/>
                      <w:b w:val="0"/>
                      <w:i w:val="0"/>
                      <w:color w:val="002337"/>
                      <w:sz w:val="18"/>
                    </w:rPr>
                    <w:t>o</w:t>
                  </w:r>
                </w:p>
              </w:tc>
              <w:tc>
                <w:tcPr>
                  <w:tcW w:type="dxa" w:w="40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" w:after="0"/>
                    <w:ind w:left="128" w:right="0" w:firstLine="0"/>
                    <w:jc w:val="left"/>
                  </w:pPr>
                  <w:r>
                    <w:rPr>
                      <w:rFonts w:ascii="Open Sans" w:hAnsi="Open Sans" w:eastAsia="Open Sans"/>
                      <w:b w:val="0"/>
                      <w:i w:val="0"/>
                      <w:color w:val="002337"/>
                      <w:sz w:val="18"/>
                    </w:rPr>
                    <w:t xml:space="preserve">Durée des prêts de minimum 120 mois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auto" w:before="84" w:after="0"/>
                    <w:ind w:left="0" w:right="112" w:firstLine="0"/>
                    <w:jc w:val="right"/>
                  </w:pPr>
                  <w:r>
                    <w:rPr>
                      <w:rFonts w:ascii="Courier New" w:hAnsi="Courier New" w:eastAsia="Courier New"/>
                      <w:b w:val="0"/>
                      <w:i w:val="0"/>
                      <w:color w:val="002337"/>
                      <w:sz w:val="18"/>
                    </w:rPr>
                    <w:t>o</w:t>
                  </w:r>
                </w:p>
              </w:tc>
              <w:tc>
                <w:tcPr>
                  <w:tcW w:type="dxa" w:w="4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2" w:after="0"/>
                    <w:ind w:left="140" w:right="0" w:firstLine="0"/>
                    <w:jc w:val="left"/>
                  </w:pPr>
                  <w:r>
                    <w:rPr>
                      <w:rFonts w:ascii="Open Sans" w:hAnsi="Open Sans" w:eastAsia="Open Sans"/>
                      <w:b w:val="0"/>
                      <w:i w:val="0"/>
                      <w:color w:val="002337"/>
                      <w:sz w:val="18"/>
                    </w:rPr>
                    <w:t xml:space="preserve">Achat de la résidence principale uniquement </w:t>
                  </w:r>
                </w:p>
              </w:tc>
              <w:tc>
                <w:tcPr>
                  <w:tcW w:type="dxa" w:w="2831"/>
                  <w:vMerge/>
                  <w:tcBorders/>
                </w:tcPr>
                <w:p/>
              </w:tc>
              <w:tc>
                <w:tcPr>
                  <w:tcW w:type="dxa" w:w="2831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30" w:lineRule="auto" w:before="98" w:after="64"/>
        <w:ind w:left="460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 xml:space="preserve">Conditions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3.999999999999986" w:type="dxa"/>
      </w:tblPr>
      <w:tblGrid>
        <w:gridCol w:w="5701"/>
        <w:gridCol w:w="5701"/>
      </w:tblGrid>
      <w:tr>
        <w:trPr>
          <w:trHeight w:hRule="exact" w:val="252"/>
        </w:trPr>
        <w:tc>
          <w:tcPr>
            <w:tcW w:type="dxa" w:w="2836"/>
            <w:tcBorders>
              <w:start w:sz="4.0" w:val="single" w:color="#AEC5CF"/>
              <w:top w:sz="4.0" w:val="single" w:color="#AEC5CF"/>
              <w:end w:sz="3.199999999999818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Délai d’attente </w:t>
            </w:r>
          </w:p>
        </w:tc>
        <w:tc>
          <w:tcPr>
            <w:tcW w:type="dxa" w:w="8508"/>
            <w:tcBorders>
              <w:start w:sz="3.199999999999818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Aucun </w:t>
            </w:r>
          </w:p>
        </w:tc>
      </w:tr>
      <w:tr>
        <w:trPr>
          <w:trHeight w:hRule="exact" w:val="364"/>
        </w:trPr>
        <w:tc>
          <w:tcPr>
            <w:tcW w:type="dxa" w:w="2836"/>
            <w:tcBorders>
              <w:start w:sz="4.0" w:val="single" w:color="#AEC5CF"/>
              <w:top w:sz="4.0" w:val="single" w:color="#AEC5CF"/>
              <w:end w:sz="3.199999999999818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Franchises (ITT / IPT) </w:t>
            </w:r>
          </w:p>
        </w:tc>
        <w:tc>
          <w:tcPr>
            <w:tcW w:type="dxa" w:w="8508"/>
            <w:tcBorders>
              <w:start w:sz="3.199999999999818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Au choix : 30, 60, 90, 120, 180 jours </w:t>
            </w:r>
          </w:p>
        </w:tc>
      </w:tr>
      <w:tr>
        <w:trPr>
          <w:trHeight w:hRule="exact" w:val="500"/>
        </w:trPr>
        <w:tc>
          <w:tcPr>
            <w:tcW w:type="dxa" w:w="2836"/>
            <w:tcBorders>
              <w:start w:sz="4.0" w:val="single" w:color="#AEC5CF"/>
              <w:top w:sz="4.0" w:val="single" w:color="#AEC5CF"/>
              <w:end w:sz="3.199999999999818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Couverture du dos </w:t>
            </w:r>
          </w:p>
        </w:tc>
        <w:tc>
          <w:tcPr>
            <w:tcW w:type="dxa" w:w="8508"/>
            <w:tcBorders>
              <w:start w:sz="3.199999999999818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0" w:right="1872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>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En inclusion, couvert à partir de 8 jours d’hospitalisation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>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Couverture sans condition d’hospitalisation avec l’optio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n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«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Do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s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et P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s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y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» </w:t>
            </w:r>
          </w:p>
        </w:tc>
      </w:tr>
      <w:tr>
        <w:trPr>
          <w:trHeight w:hRule="exact" w:val="500"/>
        </w:trPr>
        <w:tc>
          <w:tcPr>
            <w:tcW w:type="dxa" w:w="2836"/>
            <w:tcBorders>
              <w:start w:sz="4.0" w:val="single" w:color="#AEC5CF"/>
              <w:top w:sz="4.0" w:val="single" w:color="#AEC5CF"/>
              <w:end w:sz="3.199999999999818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Couverture du psy </w:t>
            </w:r>
          </w:p>
        </w:tc>
        <w:tc>
          <w:tcPr>
            <w:tcW w:type="dxa" w:w="8508"/>
            <w:tcBorders>
              <w:start w:sz="3.199999999999818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0" w:right="1872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>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En inclusion :  couvert à partir de 8 jours d'hospitalisation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>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Couverture sans condition d’hospitalisation avec l’optio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n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«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Do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s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&amp;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P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s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y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» </w:t>
            </w:r>
          </w:p>
        </w:tc>
      </w:tr>
      <w:tr>
        <w:trPr>
          <w:trHeight w:hRule="exact" w:val="5132"/>
        </w:trPr>
        <w:tc>
          <w:tcPr>
            <w:tcW w:type="dxa" w:w="2836"/>
            <w:tcBorders>
              <w:start w:sz="4.0" w:val="single" w:color="#AEC5CF"/>
              <w:top w:sz="4.0" w:val="single" w:color="#AEC5CF"/>
              <w:end w:sz="3.199999999999818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38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Couverture des sports * </w:t>
            </w:r>
          </w:p>
        </w:tc>
        <w:tc>
          <w:tcPr>
            <w:tcW w:type="dxa" w:w="8508"/>
            <w:tcBorders>
              <w:start w:sz="3.199999999999818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4" w:val="left"/>
                <w:tab w:pos="568" w:val="left"/>
              </w:tabs>
              <w:autoSpaceDE w:val="0"/>
              <w:widowControl/>
              <w:spacing w:line="245" w:lineRule="auto" w:before="0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517586"/>
                <w:sz w:val="18"/>
              </w:rPr>
              <w:t xml:space="preserve">Exclusion sans possibilité de rachat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18"/>
              </w:rPr>
              <w:t>o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Des sports professionnels ou non représentés par une fédération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Des sports de navigation aérienne </w:t>
            </w:r>
            <w:r>
              <w:rPr>
                <w:rFonts w:ascii="Open Sans" w:hAnsi="Open Sans" w:eastAsia="Open Sans"/>
                <w:b w:val="0"/>
                <w:i/>
                <w:color w:val="000000"/>
                <w:sz w:val="14"/>
              </w:rPr>
              <w:t xml:space="preserve">(sauf si l’Assuré se trouve à bord d’un appareil muni d’un certificat valable de </w:t>
            </w:r>
            <w:r>
              <w:tab/>
            </w:r>
            <w:r>
              <w:rPr>
                <w:rFonts w:ascii="Open Sans" w:hAnsi="Open Sans" w:eastAsia="Open Sans"/>
                <w:b w:val="0"/>
                <w:i/>
                <w:color w:val="000000"/>
                <w:sz w:val="14"/>
              </w:rPr>
              <w:t xml:space="preserve">navigabilité et conduit par un pilote possédant un brevet valable pour l’appareil utilisé et une licence non périmée)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18"/>
              </w:rPr>
              <w:t>o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Des exhibitions, records, tentatives de records, de paris, d’essai sur prototype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18"/>
              </w:rPr>
              <w:t>o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Le saut à l'élastique, le sky flying, le sky surfing, le zorbing, le base jump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517586"/>
                <w:sz w:val="18"/>
              </w:rPr>
              <w:t xml:space="preserve">Exclusion avec possibilité de rachat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18"/>
              </w:rPr>
              <w:t>o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Sports aériens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18"/>
              </w:rPr>
              <w:t>o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Sports avec engins terrestre à moteur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18"/>
              </w:rPr>
              <w:t>o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Sports de neige ou de glace. </w:t>
            </w:r>
            <w:r>
              <w:rPr>
                <w:rFonts w:ascii="Open Sans" w:hAnsi="Open Sans" w:eastAsia="Open Sans"/>
                <w:b w:val="0"/>
                <w:i w:val="0"/>
                <w:color w:val="0070C0"/>
                <w:sz w:val="18"/>
              </w:rPr>
              <w:t>Sauf le ski de piste et hors-piste</w:t>
            </w:r>
            <w:r>
              <w:rPr>
                <w:rFonts w:ascii="Open Sans" w:hAnsi="Open Sans" w:eastAsia="Open Sans"/>
                <w:b w:val="0"/>
                <w:i w:val="0"/>
                <w:color w:val="0070C0"/>
                <w:sz w:val="18"/>
              </w:rPr>
              <w:t>qui sont couverts !</w:t>
            </w:r>
          </w:p>
          <w:p>
            <w:pPr>
              <w:autoSpaceDN w:val="0"/>
              <w:tabs>
                <w:tab w:pos="284" w:val="left"/>
                <w:tab w:pos="568" w:val="left"/>
              </w:tabs>
              <w:autoSpaceDE w:val="0"/>
              <w:widowControl/>
              <w:spacing w:line="245" w:lineRule="auto" w:before="24" w:after="0"/>
              <w:ind w:left="104" w:right="0" w:firstLine="0"/>
              <w:jc w:val="left"/>
            </w:pP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18"/>
              </w:rPr>
              <w:t>o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Alpinisme, randonnées de montagne au-delà de 2500 mètres, trekking et l’escalade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18"/>
              </w:rPr>
              <w:t>o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Sports de navigation au-delà de 20 milles des côtes et activité sub-aquatique au-delà de 40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mètres de profondeur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18"/>
              </w:rPr>
              <w:t>o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Sports ou activités fluviales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18"/>
              </w:rPr>
              <w:t>o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Spéléologie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18"/>
              </w:rPr>
              <w:t>o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Rallyes-raids, courses de survie, activités sportives en zone désertique, épreuves combinées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18"/>
              </w:rPr>
              <w:t>o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VTT de descente, freeride, bicross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18"/>
              </w:rPr>
              <w:t>o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Toutes activités de voltiges ou acrobaties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517586"/>
                <w:sz w:val="18"/>
              </w:rPr>
              <w:t xml:space="preserve">Dans le cadre d’une pratique ponctuelle, d’une initiation ou d’un baptême, les exclusions </w:t>
            </w:r>
            <w:r>
              <w:rPr>
                <w:rFonts w:ascii="Open Sans" w:hAnsi="Open Sans" w:eastAsia="Open Sans"/>
                <w:b/>
                <w:i w:val="0"/>
                <w:color w:val="517586"/>
                <w:sz w:val="18"/>
              </w:rPr>
              <w:t xml:space="preserve">sportives ci-dessus ne s’appliquent pas. </w:t>
            </w:r>
          </w:p>
          <w:p>
            <w:pPr>
              <w:autoSpaceDN w:val="0"/>
              <w:autoSpaceDE w:val="0"/>
              <w:widowControl/>
              <w:spacing w:line="230" w:lineRule="auto" w:before="8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>* Liste non exhaustive, se référer à la notice d’information</w:t>
            </w:r>
          </w:p>
        </w:tc>
      </w:tr>
      <w:tr>
        <w:trPr>
          <w:trHeight w:hRule="exact" w:val="256"/>
        </w:trPr>
        <w:tc>
          <w:tcPr>
            <w:tcW w:type="dxa" w:w="2836"/>
            <w:tcBorders>
              <w:start w:sz="4.0" w:val="single" w:color="#AEC5CF"/>
              <w:top w:sz="4.0" w:val="single" w:color="#AEC5CF"/>
              <w:end w:sz="3.199999999999818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Mi-temps thérapeutique </w:t>
            </w:r>
          </w:p>
        </w:tc>
        <w:tc>
          <w:tcPr>
            <w:tcW w:type="dxa" w:w="8508"/>
            <w:tcBorders>
              <w:start w:sz="3.199999999999818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>50 % du montant garanti en ITT pendant 180 jours</w:t>
            </w:r>
          </w:p>
        </w:tc>
      </w:tr>
      <w:tr>
        <w:trPr>
          <w:trHeight w:hRule="exact" w:val="256"/>
        </w:trPr>
        <w:tc>
          <w:tcPr>
            <w:tcW w:type="dxa" w:w="2836"/>
            <w:tcBorders>
              <w:start w:sz="4.0" w:val="single" w:color="#AEC5CF"/>
              <w:top w:sz="4.0" w:val="single" w:color="#AEC5CF"/>
              <w:end w:sz="3.199999999999818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Exonération des cotisations </w:t>
            </w:r>
          </w:p>
        </w:tc>
        <w:tc>
          <w:tcPr>
            <w:tcW w:type="dxa" w:w="8508"/>
            <w:tcBorders>
              <w:start w:sz="3.199999999999818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Non </w:t>
            </w:r>
          </w:p>
        </w:tc>
      </w:tr>
      <w:tr>
        <w:trPr>
          <w:trHeight w:hRule="exact" w:val="394"/>
        </w:trPr>
        <w:tc>
          <w:tcPr>
            <w:tcW w:type="dxa" w:w="2836"/>
            <w:tcBorders>
              <w:start w:sz="4.0" w:val="single" w:color="#AEC5CF"/>
              <w:top w:sz="4.0" w:val="single" w:color="#AEC5CF"/>
              <w:end w:sz="3.199999999999818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Territorialité </w:t>
            </w:r>
          </w:p>
        </w:tc>
        <w:tc>
          <w:tcPr>
            <w:tcW w:type="dxa" w:w="8508"/>
            <w:tcBorders>
              <w:start w:sz="3.199999999999818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Couverture dans le monde entier </w:t>
            </w:r>
          </w:p>
        </w:tc>
      </w:tr>
      <w:tr>
        <w:trPr>
          <w:trHeight w:hRule="exact" w:val="746"/>
        </w:trPr>
        <w:tc>
          <w:tcPr>
            <w:tcW w:type="dxa" w:w="2836"/>
            <w:tcBorders>
              <w:start w:sz="4.0" w:val="single" w:color="#AEC5CF"/>
              <w:top w:sz="4.0" w:val="single" w:color="#AEC5CF"/>
              <w:end w:sz="3.199999999999818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2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Lieu de résidence </w:t>
            </w:r>
          </w:p>
        </w:tc>
        <w:tc>
          <w:tcPr>
            <w:tcW w:type="dxa" w:w="8508"/>
            <w:tcBorders>
              <w:start w:sz="3.199999999999818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0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France continentale, Corse et DROM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8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France continentale exclusivement pour les dossiers éligibles à l’absence de formalités </w:t>
            </w:r>
          </w:p>
          <w:p>
            <w:pPr>
              <w:autoSpaceDN w:val="0"/>
              <w:autoSpaceDE w:val="0"/>
              <w:widowControl/>
              <w:spacing w:line="228" w:lineRule="auto" w:before="10" w:after="0"/>
              <w:ind w:left="82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médicales (Lemoine) </w:t>
            </w:r>
          </w:p>
        </w:tc>
      </w:tr>
      <w:tr>
        <w:trPr>
          <w:trHeight w:hRule="exact" w:val="254"/>
        </w:trPr>
        <w:tc>
          <w:tcPr>
            <w:tcW w:type="dxa" w:w="2836"/>
            <w:tcBorders>
              <w:start w:sz="4.0" w:val="single" w:color="#AEC5CF"/>
              <w:top w:sz="4.0" w:val="single" w:color="#AEC5CF"/>
              <w:end w:sz="3.199999999999818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Organisme prêteur </w:t>
            </w:r>
          </w:p>
        </w:tc>
        <w:tc>
          <w:tcPr>
            <w:tcW w:type="dxa" w:w="8508"/>
            <w:tcBorders>
              <w:start w:sz="3.199999999999818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Situé en France Continentale, en Corse ou dans les DROM (ho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rs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M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ayo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t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t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et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Guyane) </w:t>
            </w:r>
          </w:p>
        </w:tc>
      </w:tr>
      <w:tr>
        <w:trPr>
          <w:trHeight w:hRule="exact" w:val="254"/>
        </w:trPr>
        <w:tc>
          <w:tcPr>
            <w:tcW w:type="dxa" w:w="2836"/>
            <w:tcBorders>
              <w:start w:sz="4.0" w:val="single" w:color="#AEC5CF"/>
              <w:top w:sz="4.0" w:val="single" w:color="#AEC5CF"/>
              <w:end w:sz="3.199999999999818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Prêt en devise </w:t>
            </w:r>
          </w:p>
        </w:tc>
        <w:tc>
          <w:tcPr>
            <w:tcW w:type="dxa" w:w="8508"/>
            <w:tcBorders>
              <w:start w:sz="3.199999999999818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Non </w:t>
            </w:r>
          </w:p>
        </w:tc>
      </w:tr>
      <w:tr>
        <w:trPr>
          <w:trHeight w:hRule="exact" w:val="746"/>
        </w:trPr>
        <w:tc>
          <w:tcPr>
            <w:tcW w:type="dxa" w:w="2836"/>
            <w:tcBorders>
              <w:start w:sz="4.0" w:val="single" w:color="#AEC5CF"/>
              <w:top w:sz="4.0" w:val="single" w:color="#AEC5CF"/>
              <w:end w:sz="3.199999999999818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102" w:right="144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Modalités de paiement des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cotisations </w:t>
            </w:r>
          </w:p>
        </w:tc>
        <w:tc>
          <w:tcPr>
            <w:tcW w:type="dxa" w:w="8508"/>
            <w:tcBorders>
              <w:start w:sz="3.199999999999818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2" w:val="left"/>
              </w:tabs>
              <w:autoSpaceDE w:val="0"/>
              <w:widowControl/>
              <w:spacing w:line="245" w:lineRule="auto" w:before="0" w:after="0"/>
              <w:ind w:left="280" w:right="864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>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Prélèvement automatique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>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Périodicité mensuelle (*), trimestrielle, semestrielle ou annuelle au choix de l’assuré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(*) sous réserve d’un montant minimum de 12 € </w:t>
            </w:r>
          </w:p>
        </w:tc>
      </w:tr>
      <w:tr>
        <w:trPr>
          <w:trHeight w:hRule="exact" w:val="256"/>
        </w:trPr>
        <w:tc>
          <w:tcPr>
            <w:tcW w:type="dxa" w:w="2836"/>
            <w:tcBorders>
              <w:start w:sz="4.0" w:val="single" w:color="#AEC5CF"/>
              <w:top w:sz="4.0" w:val="single" w:color="#AEC5CF"/>
              <w:end w:sz="3.199999999999818" w:val="single" w:color="#AEC5CF"/>
              <w:bottom w:sz="3.199999999999818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Association </w:t>
            </w:r>
          </w:p>
        </w:tc>
        <w:tc>
          <w:tcPr>
            <w:tcW w:type="dxa" w:w="8508"/>
            <w:tcBorders>
              <w:start w:sz="3.199999999999818" w:val="single" w:color="#AEC5CF"/>
              <w:top w:sz="4.0" w:val="single" w:color="#AEC5CF"/>
              <w:end w:sz="4.0" w:val="single" w:color="#AEC5CF"/>
              <w:bottom w:sz="3.199999999999818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3 € par assuré, prélevé à la 1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ère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cotisation puis une fois par an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à l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a d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at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d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’anniver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s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ai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r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e du contrat </w:t>
            </w:r>
          </w:p>
        </w:tc>
      </w:tr>
      <w:tr>
        <w:trPr>
          <w:trHeight w:hRule="exact" w:val="498"/>
        </w:trPr>
        <w:tc>
          <w:tcPr>
            <w:tcW w:type="dxa" w:w="2836"/>
            <w:tcBorders>
              <w:start w:sz="4.0" w:val="single" w:color="#AEC5CF"/>
              <w:top w:sz="3.199999999999818" w:val="single" w:color="#AEC5CF"/>
              <w:end w:sz="3.199999999999818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Frais de dossier </w:t>
            </w:r>
          </w:p>
        </w:tc>
        <w:tc>
          <w:tcPr>
            <w:tcW w:type="dxa" w:w="8508"/>
            <w:tcBorders>
              <w:start w:sz="3.199999999999818" w:val="single" w:color="#AEC5CF"/>
              <w:top w:sz="3.199999999999818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2592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25 € par assuré, payable lors de la 1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ère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cotisation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2 € par assuré de frais de mutualité, payable lors de la 1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ère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co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t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i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sat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i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n </w:t>
            </w:r>
          </w:p>
        </w:tc>
      </w:tr>
      <w:tr>
        <w:trPr>
          <w:trHeight w:hRule="exact" w:val="746"/>
        </w:trPr>
        <w:tc>
          <w:tcPr>
            <w:tcW w:type="dxa" w:w="2836"/>
            <w:tcBorders>
              <w:start w:sz="4.0" w:val="single" w:color="#AEC5CF"/>
              <w:top w:sz="4.0" w:val="single" w:color="#AEC5CF"/>
              <w:end w:sz="3.199999999999818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6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Frais de courtage </w:t>
            </w:r>
          </w:p>
        </w:tc>
        <w:tc>
          <w:tcPr>
            <w:tcW w:type="dxa" w:w="8508"/>
            <w:tcBorders>
              <w:start w:sz="3.199999999999818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280" w:right="1152" w:hanging="176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Jusqu'à 3 000 € par assuré et qui vous sont intégralement restitués. Prélevé au choix : </w:t>
            </w: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>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avec la 1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ère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cotisation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>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ou fractionné la 1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ère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année selon la périodicité du client </w:t>
            </w:r>
          </w:p>
        </w:tc>
      </w:tr>
    </w:tbl>
    <w:p>
      <w:pPr>
        <w:autoSpaceDN w:val="0"/>
        <w:autoSpaceDE w:val="0"/>
        <w:widowControl/>
        <w:spacing w:line="228" w:lineRule="auto" w:before="140" w:after="0"/>
        <w:ind w:left="0" w:right="426" w:firstLine="0"/>
        <w:jc w:val="righ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2 / 5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5701"/>
        <w:gridCol w:w="5701"/>
      </w:tblGrid>
      <w:tr>
        <w:trPr>
          <w:trHeight w:hRule="exact" w:val="522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2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02969" cy="2667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969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576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>Zenioo, siège social : 6 cours André Philip – 69100 Villeurbanne. SAS au capital de 1.267.431 €, RCS de Lyon n°884 782 582 –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  <w:u w:val="single"/>
              </w:rPr>
              <w:hyperlink r:id="rId11" w:history="1">
                <w:r>
                  <w:rPr>
                    <w:rStyle w:val="Hyperlink"/>
                  </w:rPr>
                  <w:t>www.zenioo.com</w:t>
                </w:r>
              </w:hyperlink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Intermédiaire en assurance immatriculé à l’ORIAS sous le n°20 005 879 (www.orias.fr). </w:t>
            </w:r>
          </w:p>
          <w:p>
            <w:pPr>
              <w:autoSpaceDN w:val="0"/>
              <w:autoSpaceDE w:val="0"/>
              <w:widowControl/>
              <w:spacing w:line="228" w:lineRule="auto" w:before="6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>Autorité de Contrôle Prudentiel et de Résolution, 4 place de Budapest, CS 92459, 75436 Paris Cedex 09.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60" w:right="244" w:bottom="88" w:left="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444500</wp:posOffset>
            </wp:positionH>
            <wp:positionV relativeFrom="page">
              <wp:posOffset>2578100</wp:posOffset>
            </wp:positionV>
            <wp:extent cx="6642100" cy="74803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74803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 xml:space="preserve">Rémunération </w:t>
      </w:r>
    </w:p>
    <w:p>
      <w:pPr>
        <w:autoSpaceDN w:val="0"/>
        <w:autoSpaceDE w:val="0"/>
        <w:widowControl/>
        <w:spacing w:line="245" w:lineRule="auto" w:before="102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En tant que distributeur de produits d’assurance, il vous appartient de vérifier que les modalités de rémunération prévues ne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sont pas de nature à créer un risque de conflit d’intérêts qui serait préjudiciable à votre client. </w:t>
      </w:r>
    </w:p>
    <w:p>
      <w:pPr>
        <w:autoSpaceDN w:val="0"/>
        <w:autoSpaceDE w:val="0"/>
        <w:widowControl/>
        <w:spacing w:line="228" w:lineRule="auto" w:before="13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Commissionnement au choix : </w:t>
      </w:r>
    </w:p>
    <w:p>
      <w:pPr>
        <w:autoSpaceDN w:val="0"/>
        <w:tabs>
          <w:tab w:pos="720" w:val="left"/>
        </w:tabs>
        <w:autoSpaceDE w:val="0"/>
        <w:widowControl/>
        <w:spacing w:line="230" w:lineRule="auto" w:before="12" w:after="0"/>
        <w:ind w:left="360" w:right="0" w:firstLine="0"/>
        <w:jc w:val="left"/>
      </w:pPr>
      <w:r>
        <w:rPr>
          <w:rFonts w:ascii="Courier New" w:hAnsi="Courier New" w:eastAsia="Courier New"/>
          <w:b w:val="0"/>
          <w:i w:val="0"/>
          <w:color w:val="002337"/>
          <w:sz w:val="18"/>
        </w:rPr>
        <w:t xml:space="preserve">o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0/0, 8/8, 10/10, 12/12, 15/15 et 20/20 : commission linéaire </w:t>
      </w:r>
    </w:p>
    <w:p>
      <w:pPr>
        <w:autoSpaceDN w:val="0"/>
        <w:tabs>
          <w:tab w:pos="714" w:val="left"/>
        </w:tabs>
        <w:autoSpaceDE w:val="0"/>
        <w:widowControl/>
        <w:spacing w:line="252" w:lineRule="auto" w:before="28" w:after="0"/>
        <w:ind w:left="358" w:right="0" w:firstLine="0"/>
        <w:jc w:val="left"/>
      </w:pPr>
      <w:r>
        <w:rPr>
          <w:rFonts w:ascii="Courier New" w:hAnsi="Courier New" w:eastAsia="Courier New"/>
          <w:b w:val="0"/>
          <w:i w:val="0"/>
          <w:color w:val="002337"/>
          <w:sz w:val="18"/>
        </w:rPr>
        <w:t xml:space="preserve">o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20/10, 30/10, 40/10, 50/10 et 50/15 : paiement escompté et précompté, c’est-à-dire que la commission est versée en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>une fois la 1</w:t>
      </w:r>
      <w:r>
        <w:rPr>
          <w:rFonts w:ascii="Open Sans" w:hAnsi="Open Sans" w:eastAsia="Open Sans"/>
          <w:b w:val="0"/>
          <w:i w:val="0"/>
          <w:color w:val="002337"/>
          <w:sz w:val="12"/>
        </w:rPr>
        <w:t>ère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année, à la date de paiement de la 1</w:t>
      </w:r>
      <w:r>
        <w:rPr>
          <w:rFonts w:ascii="Open Sans" w:hAnsi="Open Sans" w:eastAsia="Open Sans"/>
          <w:b w:val="0"/>
          <w:i w:val="0"/>
          <w:color w:val="002337"/>
          <w:sz w:val="12"/>
        </w:rPr>
        <w:t>ère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cotisation. Les commissions escomptées font l'objet d'une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reprise totale sur 24 mois en référence à l'équivalent linéaire. Le précompte ne s'applique pas sur les prêts de moins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de 6 ans. </w:t>
      </w:r>
    </w:p>
    <w:p>
      <w:pPr>
        <w:autoSpaceDN w:val="0"/>
        <w:autoSpaceDE w:val="0"/>
        <w:widowControl/>
        <w:spacing w:line="228" w:lineRule="auto" w:before="18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Le tarif du produit est basé sur un taux de commissionnement de 40/10. </w:t>
      </w:r>
    </w:p>
    <w:p>
      <w:pPr>
        <w:autoSpaceDN w:val="0"/>
        <w:autoSpaceDE w:val="0"/>
        <w:widowControl/>
        <w:spacing w:line="230" w:lineRule="auto" w:before="666" w:after="0"/>
        <w:ind w:left="152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 xml:space="preserve">La conformité en toute simplicité ! </w:t>
      </w:r>
    </w:p>
    <w:p>
      <w:pPr>
        <w:autoSpaceDN w:val="0"/>
        <w:autoSpaceDE w:val="0"/>
        <w:widowControl/>
        <w:spacing w:line="245" w:lineRule="auto" w:before="202" w:after="0"/>
        <w:ind w:left="152" w:right="720" w:firstLine="0"/>
        <w:jc w:val="left"/>
      </w:pPr>
      <w:r>
        <w:rPr>
          <w:rFonts w:ascii="Open Sans" w:hAnsi="Open Sans" w:eastAsia="Open Sans"/>
          <w:b/>
          <w:i w:val="0"/>
          <w:color w:val="002337"/>
          <w:sz w:val="18"/>
        </w:rPr>
        <w:t xml:space="preserve">La gouvernance produit </w:t>
      </w:r>
      <w:r>
        <w:br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Dans le cadre de notre démarche d’amélioration continue de la qualité de nos produits, faites-nous part de vos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retours si vous constatez que soit : </w:t>
      </w:r>
    </w:p>
    <w:p>
      <w:pPr>
        <w:autoSpaceDN w:val="0"/>
        <w:tabs>
          <w:tab w:pos="872" w:val="left"/>
        </w:tabs>
        <w:autoSpaceDE w:val="0"/>
        <w:widowControl/>
        <w:spacing w:line="245" w:lineRule="auto" w:before="10" w:after="0"/>
        <w:ind w:left="512" w:right="720" w:firstLine="0"/>
        <w:jc w:val="left"/>
      </w:pPr>
      <w:r>
        <w:rPr>
          <w:rFonts w:ascii="Courier New" w:hAnsi="Courier New" w:eastAsia="Courier New"/>
          <w:b w:val="0"/>
          <w:i w:val="0"/>
          <w:color w:val="002337"/>
          <w:sz w:val="18"/>
        </w:rPr>
        <w:t xml:space="preserve">o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>le produit n’est pas en adéquation avec les intérêts, objectifs et caractéristiques du marché cible précisé ci-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dessus ; </w:t>
      </w:r>
    </w:p>
    <w:p>
      <w:pPr>
        <w:autoSpaceDN w:val="0"/>
        <w:tabs>
          <w:tab w:pos="872" w:val="left"/>
        </w:tabs>
        <w:autoSpaceDE w:val="0"/>
        <w:widowControl/>
        <w:spacing w:line="245" w:lineRule="auto" w:before="8" w:after="0"/>
        <w:ind w:left="512" w:right="720" w:firstLine="0"/>
        <w:jc w:val="left"/>
      </w:pPr>
      <w:r>
        <w:rPr>
          <w:rFonts w:ascii="Courier New" w:hAnsi="Courier New" w:eastAsia="Courier New"/>
          <w:b w:val="0"/>
          <w:i w:val="0"/>
          <w:color w:val="002337"/>
          <w:sz w:val="18"/>
        </w:rPr>
        <w:t xml:space="preserve">o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des circonstances relatives au produit sont susceptibles d’avoir des répercussions défavorables pour le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client ; </w:t>
      </w:r>
    </w:p>
    <w:p>
      <w:pPr>
        <w:autoSpaceDN w:val="0"/>
        <w:tabs>
          <w:tab w:pos="508" w:val="left"/>
          <w:tab w:pos="864" w:val="left"/>
        </w:tabs>
        <w:autoSpaceDE w:val="0"/>
        <w:widowControl/>
        <w:spacing w:line="245" w:lineRule="auto" w:before="10" w:after="0"/>
        <w:ind w:left="152" w:right="720" w:firstLine="0"/>
        <w:jc w:val="left"/>
      </w:pPr>
      <w:r>
        <w:rPr>
          <w:rFonts w:ascii="Courier New" w:hAnsi="Courier New" w:eastAsia="Courier New"/>
          <w:b w:val="0"/>
          <w:i w:val="0"/>
          <w:color w:val="002337"/>
          <w:sz w:val="18"/>
        </w:rPr>
        <w:t xml:space="preserve">o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les modalités de rémunération proposées pour le produit vous placent dans une situation de conflit </w:t>
      </w:r>
      <w:r>
        <w:tab/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d’intérêt vis-à-vis du client ; </w:t>
      </w:r>
      <w:r>
        <w:br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à partir de la messagerie instantanée mise à disposition depuis notre plateforme de vente, ou via votre délégué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régional. </w:t>
      </w:r>
    </w:p>
    <w:p>
      <w:pPr>
        <w:autoSpaceDN w:val="0"/>
        <w:autoSpaceDE w:val="0"/>
        <w:widowControl/>
        <w:spacing w:line="245" w:lineRule="auto" w:before="412" w:after="0"/>
        <w:ind w:left="152" w:right="720" w:firstLine="0"/>
        <w:jc w:val="left"/>
      </w:pPr>
      <w:r>
        <w:rPr>
          <w:rFonts w:ascii="Open Sans" w:hAnsi="Open Sans" w:eastAsia="Open Sans"/>
          <w:b/>
          <w:i w:val="0"/>
          <w:color w:val="002337"/>
          <w:sz w:val="18"/>
        </w:rPr>
        <w:t xml:space="preserve">La réglementation LCBFT </w:t>
      </w:r>
      <w:r>
        <w:br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Au regard du risque faible du produit, vous devez appliquer a minima un niveau de </w:t>
      </w:r>
      <w:r>
        <w:rPr>
          <w:rFonts w:ascii="Open Sans" w:hAnsi="Open Sans" w:eastAsia="Open Sans"/>
          <w:b/>
          <w:i w:val="0"/>
          <w:color w:val="002337"/>
          <w:sz w:val="18"/>
        </w:rPr>
        <w:t>vigilance simplifiée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au titre du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titre VI du livre V du code monétaire et financier. </w:t>
      </w:r>
    </w:p>
    <w:p>
      <w:pPr>
        <w:autoSpaceDN w:val="0"/>
        <w:autoSpaceDE w:val="0"/>
        <w:widowControl/>
        <w:spacing w:line="230" w:lineRule="auto" w:before="30" w:after="178"/>
        <w:ind w:left="152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Concrètement cela signifie que vous devez collecter les informations d’identification suivants 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512"/>
        <w:gridCol w:w="3512"/>
        <w:gridCol w:w="3512"/>
      </w:tblGrid>
      <w:tr>
        <w:trPr>
          <w:trHeight w:hRule="exact" w:val="308"/>
        </w:trPr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6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Client potentiel 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666" w:firstLine="0"/>
              <w:jc w:val="righ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Client personne physique 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808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Client personne morale </w:t>
            </w:r>
          </w:p>
        </w:tc>
      </w:tr>
      <w:tr>
        <w:trPr>
          <w:trHeight w:hRule="exact" w:val="290"/>
        </w:trPr>
        <w:tc>
          <w:tcPr>
            <w:tcW w:type="dxa" w:w="3512"/>
            <w:vMerge/>
            <w:tcBorders/>
          </w:tcPr>
          <w:p/>
        </w:tc>
        <w:tc>
          <w:tcPr>
            <w:tcW w:type="dxa" w:w="3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2" w:after="0"/>
              <w:ind w:left="41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Nom, prénoms, date et lieu de naissance 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28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Forme juridique, dénomination sociale, </w:t>
            </w:r>
          </w:p>
        </w:tc>
      </w:tr>
      <w:tr>
        <w:trPr>
          <w:trHeight w:hRule="exact" w:val="234"/>
        </w:trPr>
        <w:tc>
          <w:tcPr>
            <w:tcW w:type="dxa" w:w="3512"/>
            <w:vMerge/>
            <w:tcBorders/>
          </w:tcPr>
          <w:p/>
        </w:tc>
        <w:tc>
          <w:tcPr>
            <w:tcW w:type="dxa" w:w="3512"/>
            <w:vMerge/>
            <w:tcBorders/>
          </w:tcPr>
          <w:p/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7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numéro SIREN, adresse du siège et du lieu </w:t>
            </w:r>
          </w:p>
        </w:tc>
      </w:tr>
    </w:tbl>
    <w:p>
      <w:pPr>
        <w:autoSpaceDN w:val="0"/>
        <w:autoSpaceDE w:val="0"/>
        <w:widowControl/>
        <w:spacing w:line="230" w:lineRule="auto" w:before="14" w:after="28"/>
        <w:ind w:left="0" w:right="1324" w:firstLine="0"/>
        <w:jc w:val="right"/>
      </w:pPr>
      <w:r>
        <w:rPr>
          <w:rFonts w:ascii="Open Sans" w:hAnsi="Open Sans" w:eastAsia="Open Sans"/>
          <w:b w:val="0"/>
          <w:i w:val="0"/>
          <w:color w:val="002337"/>
          <w:sz w:val="16"/>
        </w:rPr>
        <w:t xml:space="preserve">de direction effective si différent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.0" w:type="dxa"/>
      </w:tblPr>
      <w:tblGrid>
        <w:gridCol w:w="3512"/>
        <w:gridCol w:w="3512"/>
        <w:gridCol w:w="3512"/>
      </w:tblGrid>
      <w:tr>
        <w:trPr>
          <w:trHeight w:hRule="exact" w:val="244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Bénéficiaire effectif 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Nom, prénoms, date et lieu de naissance 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20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Nom, prénoms, date et lieu de naissance </w:t>
            </w:r>
          </w:p>
        </w:tc>
      </w:tr>
      <w:tr>
        <w:trPr>
          <w:trHeight w:hRule="exact" w:val="300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Personne agissant pour le </w:t>
            </w:r>
          </w:p>
        </w:tc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Nom, prénoms, date et lieu de naissance, </w:t>
            </w:r>
          </w:p>
        </w:tc>
        <w:tc>
          <w:tcPr>
            <w:tcW w:type="dxa" w:w="3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0" w:after="0"/>
              <w:ind w:left="18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Nom, prénoms, date et lieu de naissance, </w:t>
            </w:r>
          </w:p>
        </w:tc>
      </w:tr>
      <w:tr>
        <w:trPr>
          <w:trHeight w:hRule="exact" w:val="180"/>
        </w:trPr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compte du Client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(ex : payeur </w:t>
            </w:r>
          </w:p>
        </w:tc>
        <w:tc>
          <w:tcPr>
            <w:tcW w:type="dxa" w:w="3512"/>
            <w:vMerge/>
            <w:tcBorders/>
          </w:tcPr>
          <w:p/>
        </w:tc>
        <w:tc>
          <w:tcPr>
            <w:tcW w:type="dxa" w:w="3512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512"/>
            <w:vMerge/>
            <w:tcBorders/>
          </w:tcPr>
          <w:p/>
        </w:tc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lien avec la personne représentée </w:t>
            </w:r>
          </w:p>
        </w:tc>
        <w:tc>
          <w:tcPr>
            <w:tcW w:type="dxa" w:w="3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41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fonction de représentation exercée </w:t>
            </w:r>
          </w:p>
        </w:tc>
      </w:tr>
      <w:tr>
        <w:trPr>
          <w:trHeight w:hRule="exact" w:val="306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>de prime, représentant légal)</w:t>
            </w:r>
          </w:p>
        </w:tc>
        <w:tc>
          <w:tcPr>
            <w:tcW w:type="dxa" w:w="3512"/>
            <w:vMerge/>
            <w:tcBorders/>
          </w:tcPr>
          <w:p/>
        </w:tc>
        <w:tc>
          <w:tcPr>
            <w:tcW w:type="dxa" w:w="3512"/>
            <w:vMerge/>
            <w:tcBorders/>
          </w:tcPr>
          <w:p/>
        </w:tc>
      </w:tr>
    </w:tbl>
    <w:p>
      <w:pPr>
        <w:autoSpaceDN w:val="0"/>
        <w:tabs>
          <w:tab w:pos="512" w:val="left"/>
          <w:tab w:pos="872" w:val="left"/>
        </w:tabs>
        <w:autoSpaceDE w:val="0"/>
        <w:widowControl/>
        <w:spacing w:line="257" w:lineRule="auto" w:before="286" w:after="0"/>
        <w:ind w:left="152" w:right="72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En cas d’opération atypique au sens de l’article L561-10-2 du code monétaire et financier, vous devez, en plus de la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collecte des informations d’identification :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C2E812"/>
          <w:sz w:val="24"/>
        </w:rPr>
        <w:t>✓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Effectuer la vérification d’identité conformément aux articles R561-5-1 et suivants du code monétaire et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financier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C2E812"/>
          <w:sz w:val="24"/>
        </w:rPr>
        <w:t>✓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Collecter et actualiser, au moins une fois par an, les informations pertinentes au titre de la relation d’affaires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et de la connaissance de la situation professionnelle, économique et financière du client et, le cas échéant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de son bénéficiaire effectif, afin d’éliminer ou de réduire le risque de blanchiment d’argent et de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financement du terrorisme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C2E812"/>
          <w:sz w:val="24"/>
        </w:rPr>
        <w:t>✓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Recueillir une seconde pièce d’identité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C2E812"/>
          <w:sz w:val="24"/>
        </w:rPr>
        <w:t>✓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S’assurer que le premier paiement soit effectué en provenance d’un compte situé en UE et ouvert au nom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du Client ou de son représentant. </w:t>
      </w:r>
    </w:p>
    <w:p>
      <w:pPr>
        <w:autoSpaceDN w:val="0"/>
        <w:tabs>
          <w:tab w:pos="636" w:val="left"/>
        </w:tabs>
        <w:autoSpaceDE w:val="0"/>
        <w:widowControl/>
        <w:spacing w:line="245" w:lineRule="auto" w:before="482" w:after="0"/>
        <w:ind w:left="152" w:right="72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En cas de question, vous pouvez vous adresser au correspondant TRACFIN de notre société à l’adresse mail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>suivante :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hyperlink r:id="rId22" w:history="1">
          <w:r>
            <w:rPr>
              <w:rStyle w:val="Hyperlink"/>
            </w:rPr>
            <w:t xml:space="preserve"> lcb-ft.tracfin@zenioo.com.</w:t>
          </w:r>
        </w:hyperlink>
      </w:r>
    </w:p>
    <w:p>
      <w:pPr>
        <w:autoSpaceDN w:val="0"/>
        <w:autoSpaceDE w:val="0"/>
        <w:widowControl/>
        <w:spacing w:line="228" w:lineRule="auto" w:before="228" w:after="6"/>
        <w:ind w:left="0" w:right="20" w:firstLine="0"/>
        <w:jc w:val="righ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3 / 5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5268"/>
        <w:gridCol w:w="5268"/>
      </w:tblGrid>
      <w:tr>
        <w:trPr>
          <w:trHeight w:hRule="exact" w:val="466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02969" cy="2667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969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2" w:right="432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>Zenioo, siège social : 6 cours André Philip – 69100 Villeurbanne. SAS au capital de 1.267.431 €, RCS de Lyon n°884 782 582 –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  <w:u w:val="single"/>
              </w:rPr>
              <w:hyperlink r:id="rId11" w:history="1">
                <w:r>
                  <w:rPr>
                    <w:rStyle w:val="Hyperlink"/>
                  </w:rPr>
                  <w:t>www.zenioo.com</w:t>
                </w:r>
              </w:hyperlink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Intermédiaire en assurance immatriculé à l’ORIAS sous le n°20 005 879 (www.orias.fr). </w:t>
            </w:r>
          </w:p>
          <w:p>
            <w:pPr>
              <w:autoSpaceDN w:val="0"/>
              <w:autoSpaceDE w:val="0"/>
              <w:widowControl/>
              <w:spacing w:line="228" w:lineRule="auto" w:before="6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>Autorité de Contrôle Prudentiel et de Résolution, 4 place de Budapest, CS 92459, 75436 Paris Cedex 09.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60" w:right="650" w:bottom="88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230" w:lineRule="auto" w:before="0" w:after="142"/>
        <w:ind w:left="400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 xml:space="preserve">Formalités médicales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68"/>
        <w:gridCol w:w="5568"/>
      </w:tblGrid>
      <w:tr>
        <w:trPr>
          <w:trHeight w:hRule="exact" w:val="620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0500" cy="1778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0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Aucune formalité médicale demandée pour les prêts inférieurs à 200 000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€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, avec un terme antérieur aux 60 ans de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l’emprunteur et tenant compte de l’encours assuré des autres crédits </w:t>
            </w:r>
          </w:p>
        </w:tc>
      </w:tr>
    </w:tbl>
    <w:p>
      <w:pPr>
        <w:autoSpaceDN w:val="0"/>
        <w:autoSpaceDE w:val="0"/>
        <w:widowControl/>
        <w:spacing w:line="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7.99999999999997" w:type="dxa"/>
      </w:tblPr>
      <w:tblGrid>
        <w:gridCol w:w="1392"/>
        <w:gridCol w:w="1392"/>
        <w:gridCol w:w="1392"/>
        <w:gridCol w:w="1392"/>
        <w:gridCol w:w="1392"/>
        <w:gridCol w:w="1392"/>
        <w:gridCol w:w="1392"/>
        <w:gridCol w:w="1392"/>
      </w:tblGrid>
      <w:tr>
        <w:trPr>
          <w:trHeight w:hRule="exact" w:val="378"/>
        </w:trPr>
        <w:tc>
          <w:tcPr>
            <w:tcW w:type="dxa" w:w="1706"/>
            <w:tcBorders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184"/>
            <w:gridSpan w:val="7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3414" w:firstLine="0"/>
              <w:jc w:val="righ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Âge à la souscription </w:t>
            </w:r>
          </w:p>
        </w:tc>
      </w:tr>
      <w:tr>
        <w:trPr>
          <w:trHeight w:hRule="exact" w:val="618"/>
        </w:trPr>
        <w:tc>
          <w:tcPr>
            <w:tcW w:type="dxa" w:w="1706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0" w:after="0"/>
              <w:ind w:left="2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Capital assuré </w:t>
            </w:r>
          </w:p>
        </w:tc>
        <w:tc>
          <w:tcPr>
            <w:tcW w:type="dxa" w:w="1392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80" w:after="0"/>
              <w:ind w:left="286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18 - 35 ans </w:t>
            </w:r>
          </w:p>
        </w:tc>
        <w:tc>
          <w:tcPr>
            <w:tcW w:type="dxa" w:w="1322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8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36 - 45 ans </w:t>
            </w:r>
          </w:p>
        </w:tc>
        <w:tc>
          <w:tcPr>
            <w:tcW w:type="dxa" w:w="130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8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46 - 50 ans </w:t>
            </w:r>
          </w:p>
        </w:tc>
        <w:tc>
          <w:tcPr>
            <w:tcW w:type="dxa" w:w="1368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8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51 - 55 ans </w:t>
            </w:r>
          </w:p>
        </w:tc>
        <w:tc>
          <w:tcPr>
            <w:tcW w:type="dxa" w:w="1264"/>
            <w:tcBorders>
              <w:start w:sz="4.0" w:val="single" w:color="#AEC5CF"/>
              <w:top w:sz="4.0" w:val="single" w:color="#AEC5CF"/>
              <w:end w:sz="3.199999999999818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8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56 - 60 ans </w:t>
            </w:r>
          </w:p>
        </w:tc>
        <w:tc>
          <w:tcPr>
            <w:tcW w:type="dxa" w:w="1288"/>
            <w:tcBorders>
              <w:start w:sz="3.199999999999818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8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61 - 65 ans </w:t>
            </w:r>
          </w:p>
        </w:tc>
        <w:tc>
          <w:tcPr>
            <w:tcW w:type="dxa" w:w="125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288" w:right="248" w:firstLine="0"/>
              <w:jc w:val="righ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66 ans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et plus </w:t>
            </w:r>
          </w:p>
        </w:tc>
      </w:tr>
      <w:tr>
        <w:trPr>
          <w:trHeight w:hRule="exact" w:val="706"/>
        </w:trPr>
        <w:tc>
          <w:tcPr>
            <w:tcW w:type="dxa" w:w="1706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8" w:after="0"/>
              <w:ind w:left="2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Jusqu’à 150 000 € </w:t>
            </w:r>
          </w:p>
        </w:tc>
        <w:tc>
          <w:tcPr>
            <w:tcW w:type="dxa" w:w="1392"/>
            <w:vMerge w:val="restart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def7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78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QSS </w:t>
            </w:r>
          </w:p>
        </w:tc>
        <w:tc>
          <w:tcPr>
            <w:tcW w:type="dxa" w:w="1322"/>
            <w:vMerge w:val="restart"/>
            <w:tcBorders>
              <w:start w:sz="4.0" w:val="single" w:color="#AEC5CF"/>
              <w:top w:sz="4.0" w:val="single" w:color="#AEC5CF"/>
              <w:end w:sz="4.0" w:val="single" w:color="#AEC5CF"/>
              <w:bottom w:sz="3.2000000000000455" w:val="single" w:color="#AEC5CF"/>
            </w:tcBorders>
            <w:shd w:fill="def7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38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QSS </w:t>
            </w:r>
          </w:p>
        </w:tc>
        <w:tc>
          <w:tcPr>
            <w:tcW w:type="dxa" w:w="1300"/>
            <w:vMerge w:val="restart"/>
            <w:tcBorders>
              <w:start w:sz="4.0" w:val="single" w:color="#AEC5CF"/>
              <w:top w:sz="4.0" w:val="single" w:color="#AEC5CF"/>
              <w:end w:sz="4.0" w:val="single" w:color="#AEC5CF"/>
              <w:bottom w:sz="3.2000000000000455" w:val="single" w:color="#AEC5CF"/>
            </w:tcBorders>
            <w:shd w:fill="def7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38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QSS </w:t>
            </w:r>
          </w:p>
        </w:tc>
        <w:tc>
          <w:tcPr>
            <w:tcW w:type="dxa" w:w="1368"/>
            <w:vMerge w:val="restart"/>
            <w:tcBorders>
              <w:start w:sz="4.0" w:val="single" w:color="#AEC5CF"/>
              <w:top w:sz="4.0" w:val="single" w:color="#AEC5CF"/>
              <w:end w:sz="4.0" w:val="single" w:color="#AEC5CF"/>
              <w:bottom w:sz="3.2000000000000455" w:val="single" w:color="#AEC5CF"/>
            </w:tcBorders>
            <w:shd w:fill="d0e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38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 </w:t>
            </w:r>
          </w:p>
        </w:tc>
        <w:tc>
          <w:tcPr>
            <w:tcW w:type="dxa" w:w="1264"/>
            <w:vMerge w:val="restart"/>
            <w:tcBorders>
              <w:start w:sz="4.0" w:val="single" w:color="#AEC5CF"/>
              <w:top w:sz="4.0" w:val="single" w:color="#AEC5CF"/>
              <w:end w:sz="3.199999999999818" w:val="single" w:color="#AEC5CF"/>
              <w:bottom w:sz="3.2000000000000455" w:val="single" w:color="#AEC5CF"/>
            </w:tcBorders>
            <w:shd w:fill="f3face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38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 Senior </w:t>
            </w:r>
          </w:p>
        </w:tc>
        <w:tc>
          <w:tcPr>
            <w:tcW w:type="dxa" w:w="1288"/>
            <w:vMerge w:val="restart"/>
            <w:tcBorders>
              <w:start w:sz="3.199999999999818" w:val="single" w:color="#AEC5CF"/>
              <w:top w:sz="4.0" w:val="single" w:color="#AEC5CF"/>
              <w:end w:sz="4.0" w:val="single" w:color="#AEC5CF"/>
              <w:bottom w:sz="3.199999999999818" w:val="single" w:color="#AEC5CF"/>
            </w:tcBorders>
            <w:shd w:fill="f3face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8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 Senior </w:t>
            </w:r>
          </w:p>
        </w:tc>
        <w:tc>
          <w:tcPr>
            <w:tcW w:type="dxa" w:w="125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f3fa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8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 Senior </w:t>
            </w:r>
          </w:p>
        </w:tc>
      </w:tr>
      <w:tr>
        <w:trPr>
          <w:trHeight w:hRule="exact" w:val="712"/>
        </w:trPr>
        <w:tc>
          <w:tcPr>
            <w:tcW w:type="dxa" w:w="1706"/>
            <w:tcBorders>
              <w:start w:sz="4.0" w:val="single" w:color="#AEC5CF"/>
              <w:top w:sz="4.0" w:val="single" w:color="#AEC5CF"/>
              <w:end w:sz="4.0" w:val="single" w:color="#AEC5CF"/>
              <w:bottom w:sz="3.199999999999818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24" w:right="432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de 150 001 €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à 250 000 € </w:t>
            </w:r>
          </w:p>
        </w:tc>
        <w:tc>
          <w:tcPr>
            <w:tcW w:type="dxa" w:w="1392"/>
            <w:vMerge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</w:tcPr>
          <w:p/>
        </w:tc>
        <w:tc>
          <w:tcPr>
            <w:tcW w:type="dxa" w:w="1392"/>
            <w:vMerge/>
            <w:tcBorders>
              <w:start w:sz="4.0" w:val="single" w:color="#AEC5CF"/>
              <w:top w:sz="4.0" w:val="single" w:color="#AEC5CF"/>
              <w:end w:sz="4.0" w:val="single" w:color="#AEC5CF"/>
              <w:bottom w:sz="3.2000000000000455" w:val="single" w:color="#AEC5CF"/>
            </w:tcBorders>
          </w:tcPr>
          <w:p/>
        </w:tc>
        <w:tc>
          <w:tcPr>
            <w:tcW w:type="dxa" w:w="1392"/>
            <w:vMerge/>
            <w:tcBorders>
              <w:start w:sz="4.0" w:val="single" w:color="#AEC5CF"/>
              <w:top w:sz="4.0" w:val="single" w:color="#AEC5CF"/>
              <w:end w:sz="4.0" w:val="single" w:color="#AEC5CF"/>
              <w:bottom w:sz="3.2000000000000455" w:val="single" w:color="#AEC5CF"/>
            </w:tcBorders>
          </w:tcPr>
          <w:p/>
        </w:tc>
        <w:tc>
          <w:tcPr>
            <w:tcW w:type="dxa" w:w="1392"/>
            <w:vMerge/>
            <w:tcBorders>
              <w:start w:sz="4.0" w:val="single" w:color="#AEC5CF"/>
              <w:top w:sz="4.0" w:val="single" w:color="#AEC5CF"/>
              <w:end w:sz="4.0" w:val="single" w:color="#AEC5CF"/>
              <w:bottom w:sz="3.2000000000000455" w:val="single" w:color="#AEC5CF"/>
            </w:tcBorders>
          </w:tcPr>
          <w:p/>
        </w:tc>
        <w:tc>
          <w:tcPr>
            <w:tcW w:type="dxa" w:w="1392"/>
            <w:vMerge/>
            <w:tcBorders>
              <w:start w:sz="4.0" w:val="single" w:color="#AEC5CF"/>
              <w:top w:sz="4.0" w:val="single" w:color="#AEC5CF"/>
              <w:end w:sz="3.199999999999818" w:val="single" w:color="#AEC5CF"/>
              <w:bottom w:sz="3.2000000000000455" w:val="single" w:color="#AEC5CF"/>
            </w:tcBorders>
          </w:tcPr>
          <w:p/>
        </w:tc>
        <w:tc>
          <w:tcPr>
            <w:tcW w:type="dxa" w:w="1392"/>
            <w:vMerge/>
            <w:tcBorders>
              <w:start w:sz="3.199999999999818" w:val="single" w:color="#AEC5CF"/>
              <w:top w:sz="4.0" w:val="single" w:color="#AEC5CF"/>
              <w:end w:sz="4.0" w:val="single" w:color="#AEC5CF"/>
              <w:bottom w:sz="3.199999999999818" w:val="single" w:color="#AEC5CF"/>
            </w:tcBorders>
          </w:tcPr>
          <w:p/>
        </w:tc>
        <w:tc>
          <w:tcPr>
            <w:tcW w:type="dxa" w:w="1250"/>
            <w:vMerge w:val="restart"/>
            <w:tcBorders>
              <w:start w:sz="4.0" w:val="single" w:color="#AEC5CF"/>
              <w:top w:sz="4.0" w:val="single" w:color="#AEC5CF"/>
              <w:end w:sz="4.0" w:val="single" w:color="#AEC5CF"/>
              <w:bottom w:sz="3.2000000000000455" w:val="single" w:color="#AEC5CF"/>
            </w:tcBorders>
            <w:shd w:fill="f4efe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0" w:after="0"/>
              <w:ind w:left="144" w:right="144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 + RM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+ BIO </w:t>
            </w:r>
          </w:p>
        </w:tc>
      </w:tr>
      <w:tr>
        <w:trPr>
          <w:trHeight w:hRule="exact" w:val="708"/>
        </w:trPr>
        <w:tc>
          <w:tcPr>
            <w:tcW w:type="dxa" w:w="1706"/>
            <w:tcBorders>
              <w:start w:sz="4.0" w:val="single" w:color="#AEC5CF"/>
              <w:top w:sz="3.199999999999818" w:val="single" w:color="#AEC5CF"/>
              <w:end w:sz="4.0" w:val="single" w:color="#AEC5CF"/>
              <w:bottom w:sz="3.2000000000000455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24" w:right="432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de 250 001 €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à 350 000 € </w:t>
            </w:r>
          </w:p>
        </w:tc>
        <w:tc>
          <w:tcPr>
            <w:tcW w:type="dxa" w:w="1392"/>
            <w:vMerge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</w:tcPr>
          <w:p/>
        </w:tc>
        <w:tc>
          <w:tcPr>
            <w:tcW w:type="dxa" w:w="1392"/>
            <w:vMerge/>
            <w:tcBorders>
              <w:start w:sz="4.0" w:val="single" w:color="#AEC5CF"/>
              <w:top w:sz="4.0" w:val="single" w:color="#AEC5CF"/>
              <w:end w:sz="4.0" w:val="single" w:color="#AEC5CF"/>
              <w:bottom w:sz="3.2000000000000455" w:val="single" w:color="#AEC5CF"/>
            </w:tcBorders>
          </w:tcPr>
          <w:p/>
        </w:tc>
        <w:tc>
          <w:tcPr>
            <w:tcW w:type="dxa" w:w="1392"/>
            <w:vMerge/>
            <w:tcBorders>
              <w:start w:sz="4.0" w:val="single" w:color="#AEC5CF"/>
              <w:top w:sz="4.0" w:val="single" w:color="#AEC5CF"/>
              <w:end w:sz="4.0" w:val="single" w:color="#AEC5CF"/>
              <w:bottom w:sz="3.2000000000000455" w:val="single" w:color="#AEC5CF"/>
            </w:tcBorders>
          </w:tcPr>
          <w:p/>
        </w:tc>
        <w:tc>
          <w:tcPr>
            <w:tcW w:type="dxa" w:w="1392"/>
            <w:vMerge/>
            <w:tcBorders>
              <w:start w:sz="4.0" w:val="single" w:color="#AEC5CF"/>
              <w:top w:sz="4.0" w:val="single" w:color="#AEC5CF"/>
              <w:end w:sz="4.0" w:val="single" w:color="#AEC5CF"/>
              <w:bottom w:sz="3.2000000000000455" w:val="single" w:color="#AEC5CF"/>
            </w:tcBorders>
          </w:tcPr>
          <w:p/>
        </w:tc>
        <w:tc>
          <w:tcPr>
            <w:tcW w:type="dxa" w:w="1392"/>
            <w:vMerge/>
            <w:tcBorders>
              <w:start w:sz="4.0" w:val="single" w:color="#AEC5CF"/>
              <w:top w:sz="4.0" w:val="single" w:color="#AEC5CF"/>
              <w:end w:sz="3.199999999999818" w:val="single" w:color="#AEC5CF"/>
              <w:bottom w:sz="3.2000000000000455" w:val="single" w:color="#AEC5CF"/>
            </w:tcBorders>
          </w:tcPr>
          <w:p/>
        </w:tc>
        <w:tc>
          <w:tcPr>
            <w:tcW w:type="dxa" w:w="1288"/>
            <w:tcBorders>
              <w:start w:sz="3.199999999999818" w:val="single" w:color="#AEC5CF"/>
              <w:top w:sz="3.199999999999818" w:val="single" w:color="#AEC5CF"/>
              <w:end w:sz="4.0" w:val="single" w:color="#AEC5CF"/>
              <w:bottom w:sz="3.2000000000000455" w:val="single" w:color="#AEC5CF"/>
            </w:tcBorders>
            <w:shd w:fill="f3fa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8" w:after="0"/>
              <w:ind w:left="0" w:right="0" w:firstLine="0"/>
              <w:jc w:val="center"/>
            </w:pPr>
            <w:r>
              <w:rPr>
                <w:shd w:val="clear" w:color="auto" w:fill="f4efec"/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 + RM + BIO </w:t>
            </w:r>
          </w:p>
        </w:tc>
        <w:tc>
          <w:tcPr>
            <w:tcW w:type="dxa" w:w="1392"/>
            <w:vMerge/>
            <w:tcBorders>
              <w:start w:sz="4.0" w:val="single" w:color="#AEC5CF"/>
              <w:top w:sz="4.0" w:val="single" w:color="#AEC5CF"/>
              <w:end w:sz="4.0" w:val="single" w:color="#AEC5CF"/>
              <w:bottom w:sz="3.2000000000000455" w:val="single" w:color="#AEC5CF"/>
            </w:tcBorders>
          </w:tcPr>
          <w:p/>
        </w:tc>
      </w:tr>
      <w:tr>
        <w:trPr>
          <w:trHeight w:hRule="exact" w:val="866"/>
        </w:trPr>
        <w:tc>
          <w:tcPr>
            <w:tcW w:type="dxa" w:w="1706"/>
            <w:tcBorders>
              <w:start w:sz="4.0" w:val="single" w:color="#AEC5CF"/>
              <w:top w:sz="3.2000000000000455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2" w:after="0"/>
              <w:ind w:left="24" w:right="432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de 350 001 €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à 500 000 € </w:t>
            </w:r>
          </w:p>
        </w:tc>
        <w:tc>
          <w:tcPr>
            <w:tcW w:type="dxa" w:w="1392"/>
            <w:vMerge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</w:tcPr>
          <w:p/>
        </w:tc>
        <w:tc>
          <w:tcPr>
            <w:tcW w:type="dxa" w:w="1322"/>
            <w:tcBorders>
              <w:start w:sz="4.0" w:val="single" w:color="#AEC5CF"/>
              <w:top w:sz="3.2000000000000455" w:val="single" w:color="#AEC5CF"/>
              <w:end w:sz="4.0" w:val="single" w:color="#AEC5CF"/>
              <w:bottom w:sz="4.0" w:val="single" w:color="#AEC5CF"/>
            </w:tcBorders>
            <w:shd w:fill="def7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8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QSS </w:t>
            </w:r>
          </w:p>
        </w:tc>
        <w:tc>
          <w:tcPr>
            <w:tcW w:type="dxa" w:w="2668"/>
            <w:gridSpan w:val="2"/>
            <w:tcBorders>
              <w:start w:sz="4.0" w:val="single" w:color="#AEC5CF"/>
              <w:top w:sz="3.2000000000000455" w:val="single" w:color="#AEC5CF"/>
              <w:end w:sz="4.0" w:val="single" w:color="#AEC5CF"/>
              <w:bottom w:sz="4.0" w:val="single" w:color="#AEC5CF"/>
            </w:tcBorders>
            <w:shd w:fill="d0e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8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 </w:t>
            </w:r>
          </w:p>
        </w:tc>
        <w:tc>
          <w:tcPr>
            <w:tcW w:type="dxa" w:w="2552"/>
            <w:gridSpan w:val="2"/>
            <w:tcBorders>
              <w:start w:sz="4.0" w:val="single" w:color="#AEC5CF"/>
              <w:top w:sz="3.2000000000000455" w:val="single" w:color="#AEC5CF"/>
              <w:end w:sz="4.0" w:val="single" w:color="#AEC5CF"/>
              <w:bottom w:sz="4.0" w:val="single" w:color="#AEC5CF"/>
            </w:tcBorders>
            <w:shd w:fill="dbee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8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 + RM + BIO + RMCV </w:t>
            </w:r>
          </w:p>
        </w:tc>
        <w:tc>
          <w:tcPr>
            <w:tcW w:type="dxa" w:w="1250"/>
            <w:tcBorders>
              <w:start w:sz="4.0" w:val="single" w:color="#AEC5CF"/>
              <w:top w:sz="3.2000000000000455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0" w:right="0" w:firstLine="0"/>
              <w:jc w:val="center"/>
            </w:pPr>
            <w:r>
              <w:rPr>
                <w:shd w:val="clear" w:color="auto" w:fill="c5ebff"/>
                <w:rFonts w:ascii="Open Sans" w:hAnsi="Open Sans" w:eastAsia="Open Sans"/>
                <w:b w:val="0"/>
                <w:i w:val="0"/>
                <w:color w:val="002337"/>
                <w:sz w:val="18"/>
              </w:rPr>
              <w:t>QS + RM + BIO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</w:t>
            </w:r>
            <w:r>
              <w:rPr>
                <w:shd w:val="clear" w:color="auto" w:fill="c5ebff"/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+ TCU + RMCV </w:t>
            </w:r>
            <w:r>
              <w:rPr>
                <w:shd w:val="clear" w:color="auto" w:fill="c5ebff"/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+ PSA </w:t>
            </w:r>
          </w:p>
        </w:tc>
      </w:tr>
      <w:tr>
        <w:trPr>
          <w:trHeight w:hRule="exact" w:val="828"/>
        </w:trPr>
        <w:tc>
          <w:tcPr>
            <w:tcW w:type="dxa" w:w="1706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4" w:after="0"/>
              <w:ind w:left="24" w:right="432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de 500 001 €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à 750 000 € </w:t>
            </w:r>
          </w:p>
        </w:tc>
        <w:tc>
          <w:tcPr>
            <w:tcW w:type="dxa" w:w="1392"/>
            <w:vMerge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</w:tcPr>
          <w:p/>
        </w:tc>
        <w:tc>
          <w:tcPr>
            <w:tcW w:type="dxa" w:w="1322"/>
            <w:vMerge w:val="restart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d0e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.999999999999886" w:type="dxa"/>
            </w:tblPr>
            <w:tblGrid>
              <w:gridCol w:w="1322"/>
            </w:tblGrid>
            <w:tr>
              <w:trPr>
                <w:trHeight w:hRule="exact" w:val="304"/>
              </w:trPr>
              <w:tc>
                <w:tcPr>
                  <w:tcW w:type="dxa" w:w="1258"/>
                  <w:tcBorders/>
                  <w:shd w:fill="d0ec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0" w:after="0"/>
                    <w:ind w:left="0" w:right="0" w:firstLine="0"/>
                    <w:jc w:val="center"/>
                  </w:pPr>
                  <w:r>
                    <w:rPr>
                      <w:rFonts w:ascii="Open Sans" w:hAnsi="Open Sans" w:eastAsia="Open Sans"/>
                      <w:b w:val="0"/>
                      <w:i w:val="0"/>
                      <w:color w:val="002337"/>
                      <w:sz w:val="18"/>
                    </w:rPr>
                    <w:t xml:space="preserve">QS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30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ffe8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6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 + BIO </w:t>
            </w:r>
          </w:p>
        </w:tc>
        <w:tc>
          <w:tcPr>
            <w:tcW w:type="dxa" w:w="1368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faf5a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 + RM + BIO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+ TCU + RMCV </w:t>
            </w:r>
          </w:p>
        </w:tc>
        <w:tc>
          <w:tcPr>
            <w:tcW w:type="dxa" w:w="2552"/>
            <w:gridSpan w:val="2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cafff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4" w:after="0"/>
              <w:ind w:left="288" w:right="288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 + RM + BIO + TCU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+ RMCV + PSA </w:t>
            </w:r>
          </w:p>
        </w:tc>
        <w:tc>
          <w:tcPr>
            <w:tcW w:type="dxa" w:w="125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shd w:val="clear" w:color="auto" w:fill="d0dff4"/>
                <w:rFonts w:ascii="Open Sans" w:hAnsi="Open Sans" w:eastAsia="Open Sans"/>
                <w:b w:val="0"/>
                <w:i w:val="0"/>
                <w:color w:val="002337"/>
                <w:sz w:val="18"/>
              </w:rPr>
              <w:t>QS + RM + BIO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</w:t>
            </w:r>
            <w:r>
              <w:rPr>
                <w:shd w:val="clear" w:color="auto" w:fill="d0dff4"/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+ ECBU + TCU </w:t>
            </w:r>
            <w:r>
              <w:rPr>
                <w:shd w:val="clear" w:color="auto" w:fill="d0dff4"/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+ PSA + RMCV </w:t>
            </w:r>
          </w:p>
        </w:tc>
      </w:tr>
      <w:tr>
        <w:trPr>
          <w:trHeight w:hRule="exact" w:val="826"/>
        </w:trPr>
        <w:tc>
          <w:tcPr>
            <w:tcW w:type="dxa" w:w="1706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0" w:right="432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de 750 001 €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à 1 000 000 € </w:t>
            </w:r>
          </w:p>
        </w:tc>
        <w:tc>
          <w:tcPr>
            <w:tcW w:type="dxa" w:w="1392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d0e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90.0" w:type="dxa"/>
            </w:tblPr>
            <w:tblGrid>
              <w:gridCol w:w="1392"/>
            </w:tblGrid>
            <w:tr>
              <w:trPr>
                <w:trHeight w:hRule="exact" w:val="304"/>
              </w:trPr>
              <w:tc>
                <w:tcPr>
                  <w:tcW w:type="dxa" w:w="998"/>
                  <w:tcBorders/>
                  <w:shd w:fill="d0ec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0" w:after="0"/>
                    <w:ind w:left="174" w:right="0" w:firstLine="0"/>
                    <w:jc w:val="left"/>
                  </w:pPr>
                  <w:r>
                    <w:rPr>
                      <w:rFonts w:ascii="Open Sans" w:hAnsi="Open Sans" w:eastAsia="Open Sans"/>
                      <w:b w:val="0"/>
                      <w:i w:val="0"/>
                      <w:color w:val="002337"/>
                      <w:sz w:val="18"/>
                    </w:rPr>
                    <w:t xml:space="preserve">QS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392"/>
            <w:vMerge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</w:tcPr>
          <w:p/>
        </w:tc>
        <w:tc>
          <w:tcPr>
            <w:tcW w:type="dxa" w:w="1300"/>
            <w:vMerge w:val="restart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faf5a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96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 + RM + BIO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+ TCU + RMCV </w:t>
            </w:r>
          </w:p>
        </w:tc>
        <w:tc>
          <w:tcPr>
            <w:tcW w:type="dxa" w:w="1368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ffe8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 + RM + BIO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+ ECBU + TCU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+ RMCV + PSA </w:t>
            </w:r>
          </w:p>
        </w:tc>
        <w:tc>
          <w:tcPr>
            <w:tcW w:type="dxa" w:w="3802"/>
            <w:gridSpan w:val="3"/>
            <w:vMerge w:val="restart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ffe7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96" w:after="0"/>
              <w:ind w:left="576" w:right="576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 + RM + BIO + ECBU + TCU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+ PSA + RMCV + Echo </w:t>
            </w:r>
          </w:p>
        </w:tc>
      </w:tr>
      <w:tr>
        <w:trPr>
          <w:trHeight w:hRule="exact" w:val="1070"/>
        </w:trPr>
        <w:tc>
          <w:tcPr>
            <w:tcW w:type="dxa" w:w="1706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4" w:after="0"/>
              <w:ind w:left="24" w:right="288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de 1 000 001 €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à 1 500 000 € </w:t>
            </w:r>
          </w:p>
        </w:tc>
        <w:tc>
          <w:tcPr>
            <w:tcW w:type="dxa" w:w="1392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ffebe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 + RM + BIO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+ TCU </w:t>
            </w:r>
          </w:p>
        </w:tc>
        <w:tc>
          <w:tcPr>
            <w:tcW w:type="dxa" w:w="1322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eece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 + RM + BIO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+ ECBU + TCU </w:t>
            </w:r>
          </w:p>
        </w:tc>
        <w:tc>
          <w:tcPr>
            <w:tcW w:type="dxa" w:w="1392"/>
            <w:vMerge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</w:tcPr>
          <w:p/>
        </w:tc>
        <w:tc>
          <w:tcPr>
            <w:tcW w:type="dxa" w:w="1368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ffe7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 + RM + BIO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+ ECBU + TCU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+ RMCV + PSA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+ Echo </w:t>
            </w:r>
          </w:p>
        </w:tc>
        <w:tc>
          <w:tcPr>
            <w:tcW w:type="dxa" w:w="4176"/>
            <w:gridSpan w:val="3"/>
            <w:vMerge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</w:tcPr>
          <w:p/>
        </w:tc>
      </w:tr>
      <w:tr>
        <w:trPr>
          <w:trHeight w:hRule="exact" w:val="824"/>
        </w:trPr>
        <w:tc>
          <w:tcPr>
            <w:tcW w:type="dxa" w:w="1706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24" w:right="288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de 1 500 001 €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à 1 800 000 € </w:t>
            </w:r>
          </w:p>
        </w:tc>
        <w:tc>
          <w:tcPr>
            <w:tcW w:type="dxa" w:w="2714"/>
            <w:gridSpan w:val="2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f9edd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2" w:after="0"/>
              <w:ind w:left="288" w:right="288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 + RM + BIO + ECBU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+ TCU + RMCV </w:t>
            </w:r>
          </w:p>
        </w:tc>
        <w:tc>
          <w:tcPr>
            <w:tcW w:type="dxa" w:w="130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shd w:val="clear" w:color="auto" w:fill="d4fff4"/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 + RM + BIO </w:t>
            </w:r>
            <w:r>
              <w:rPr>
                <w:shd w:val="clear" w:color="auto" w:fill="d4fff4"/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+ ECBU + TCU </w:t>
            </w:r>
            <w:r>
              <w:rPr>
                <w:shd w:val="clear" w:color="auto" w:fill="d4fff4"/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+ RMCV + Echo </w:t>
            </w:r>
          </w:p>
        </w:tc>
        <w:tc>
          <w:tcPr>
            <w:tcW w:type="dxa" w:w="5170"/>
            <w:gridSpan w:val="4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ffe7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 + RM + BIO + ECBU + TCU + RMCV + PSA + Echo </w:t>
            </w:r>
          </w:p>
        </w:tc>
      </w:tr>
      <w:tr>
        <w:trPr>
          <w:trHeight w:hRule="exact" w:val="1560"/>
        </w:trPr>
        <w:tc>
          <w:tcPr>
            <w:tcW w:type="dxa" w:w="1706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30" w:after="0"/>
              <w:ind w:left="0" w:right="288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de 1 800 001€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à 2 500 000 € </w:t>
            </w:r>
          </w:p>
        </w:tc>
        <w:tc>
          <w:tcPr>
            <w:tcW w:type="dxa" w:w="2714"/>
            <w:gridSpan w:val="2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6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QS+ RM + BIO + ECBU + TCU +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RMCV + Sélection financière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déclarative </w:t>
            </w:r>
          </w:p>
        </w:tc>
        <w:tc>
          <w:tcPr>
            <w:tcW w:type="dxa" w:w="130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c7d6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QS+ RM + BIO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+ ECBU + TCU +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RMCV + Echo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+ Sélection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financière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déclarative </w:t>
            </w:r>
          </w:p>
        </w:tc>
        <w:tc>
          <w:tcPr>
            <w:tcW w:type="dxa" w:w="5170"/>
            <w:gridSpan w:val="4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7e7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  <w:tab w:pos="1266" w:val="left"/>
              </w:tabs>
              <w:autoSpaceDE w:val="0"/>
              <w:widowControl/>
              <w:spacing w:line="245" w:lineRule="auto" w:before="282" w:after="0"/>
              <w:ind w:left="0" w:right="288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</w:t>
            </w:r>
            <w:r>
              <w:br/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QS+ RM + BIO + ECBU + TCU + RMCV + PSA+ Echo </w:t>
            </w:r>
            <w:r>
              <w:tab/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+ Sélection financière déclarative </w:t>
            </w:r>
          </w:p>
        </w:tc>
      </w:tr>
      <w:tr>
        <w:trPr>
          <w:trHeight w:hRule="exact" w:val="1278"/>
        </w:trPr>
        <w:tc>
          <w:tcPr>
            <w:tcW w:type="dxa" w:w="1706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24" w:right="288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de 2 500 001 €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à 5 000 000 € </w:t>
            </w:r>
          </w:p>
        </w:tc>
        <w:tc>
          <w:tcPr>
            <w:tcW w:type="dxa" w:w="4014"/>
            <w:gridSpan w:val="3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f8d4d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44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QS+ RM + BIO + ECBU + TCU + RMCV + Echo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+ Sélection financière VIP </w:t>
            </w:r>
          </w:p>
        </w:tc>
        <w:tc>
          <w:tcPr>
            <w:tcW w:type="dxa" w:w="5170"/>
            <w:gridSpan w:val="4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fcf9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432" w:right="288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QS+ RM + BIO + ECBU + TCU + RMCV + PSA+ Echo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+ Sélection financière VIP </w:t>
            </w:r>
          </w:p>
        </w:tc>
      </w:tr>
      <w:tr>
        <w:trPr>
          <w:trHeight w:hRule="exact" w:val="1278"/>
        </w:trPr>
        <w:tc>
          <w:tcPr>
            <w:tcW w:type="dxa" w:w="1706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Au-delà de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5 000 000 € </w:t>
            </w:r>
          </w:p>
        </w:tc>
        <w:tc>
          <w:tcPr>
            <w:tcW w:type="dxa" w:w="9184"/>
            <w:gridSpan w:val="7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8" w:after="0"/>
              <w:ind w:left="0" w:right="3064" w:firstLine="0"/>
              <w:jc w:val="righ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Nous consulter, étude sur-mesure </w:t>
            </w:r>
          </w:p>
        </w:tc>
      </w:tr>
    </w:tbl>
    <w:p>
      <w:pPr>
        <w:autoSpaceDN w:val="0"/>
        <w:tabs>
          <w:tab w:pos="10504" w:val="left"/>
        </w:tabs>
        <w:autoSpaceDE w:val="0"/>
        <w:widowControl/>
        <w:spacing w:line="329" w:lineRule="auto" w:before="244" w:after="0"/>
        <w:ind w:left="400" w:right="144" w:firstLine="0"/>
        <w:jc w:val="left"/>
      </w:pPr>
      <w:r>
        <w:rPr>
          <w:rFonts w:ascii="Open Sans" w:hAnsi="Open Sans" w:eastAsia="Open Sans"/>
          <w:b/>
          <w:i w:val="0"/>
          <w:color w:val="002337"/>
          <w:sz w:val="18"/>
        </w:rPr>
        <w:t>QSS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: Questionnaire de santé simplifié </w:t>
      </w:r>
      <w:r>
        <w:br/>
      </w:r>
      <w:r>
        <w:rPr>
          <w:rFonts w:ascii="Open Sans" w:hAnsi="Open Sans" w:eastAsia="Open Sans"/>
          <w:b/>
          <w:i w:val="0"/>
          <w:color w:val="002337"/>
          <w:sz w:val="18"/>
        </w:rPr>
        <w:t>QS :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Questionnaire de santé </w:t>
      </w:r>
      <w:r>
        <w:br/>
      </w:r>
      <w:r>
        <w:rPr>
          <w:rFonts w:ascii="Open Sans" w:hAnsi="Open Sans" w:eastAsia="Open Sans"/>
          <w:b/>
          <w:i w:val="0"/>
          <w:color w:val="002337"/>
          <w:sz w:val="18"/>
        </w:rPr>
        <w:t>QS Senior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: Questionnaire de santé senior (à partir de 56 ans) </w:t>
      </w:r>
      <w:r>
        <w:br/>
      </w:r>
      <w:r>
        <w:rPr>
          <w:rFonts w:ascii="Open Sans" w:hAnsi="Open Sans" w:eastAsia="Open Sans"/>
          <w:b/>
          <w:i w:val="0"/>
          <w:color w:val="002337"/>
          <w:sz w:val="18"/>
        </w:rPr>
        <w:t>BIO :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Hémogramme, plaquettes, vitesse de sédimentation, glycémie, cholestérol total, cholestérol HDL, triglycérides,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transaminases SGOT / SGPT, gamma GT, test VIH, antigène HBS, sérologie de l'hépatite C, uricémie, créatinine </w:t>
      </w:r>
      <w:r>
        <w:br/>
      </w:r>
      <w:r>
        <w:rPr>
          <w:rFonts w:ascii="Open Sans" w:hAnsi="Open Sans" w:eastAsia="Open Sans"/>
          <w:b/>
          <w:i w:val="0"/>
          <w:color w:val="002337"/>
          <w:sz w:val="18"/>
        </w:rPr>
        <w:t xml:space="preserve">RM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: Rapport médical complété par un médecin </w:t>
      </w:r>
      <w:r>
        <w:br/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4 / 5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5568"/>
        <w:gridCol w:w="5568"/>
      </w:tblGrid>
      <w:tr>
        <w:trPr>
          <w:trHeight w:hRule="exact" w:val="522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26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02969" cy="2667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969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432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>Zenioo, siège social : 6 cours André Philip – 69100 Villeurbanne. SAS au capital de 1.267.431 €, RCS de Lyon n°884 782 582 –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  <w:u w:val="single"/>
              </w:rPr>
              <w:hyperlink r:id="rId11" w:history="1">
                <w:r>
                  <w:rPr>
                    <w:rStyle w:val="Hyperlink"/>
                  </w:rPr>
                  <w:t>www.zenioo.com</w:t>
                </w:r>
              </w:hyperlink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Intermédiaire en assurance immatriculé à l’ORIAS sous le n°20 005 879 (www.orias.fr). </w:t>
            </w:r>
          </w:p>
          <w:p>
            <w:pPr>
              <w:autoSpaceDN w:val="0"/>
              <w:autoSpaceDE w:val="0"/>
              <w:widowControl/>
              <w:spacing w:line="228" w:lineRule="auto" w:before="6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>Autorité de Contrôle Prudentiel et de Résolution, 4 place de Budapest, CS 92459, 75436 Paris Cedex 09.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60" w:right="450" w:bottom="88" w:left="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372" w:lineRule="auto" w:before="0" w:after="0"/>
        <w:ind w:left="320" w:right="1872" w:firstLine="0"/>
        <w:jc w:val="left"/>
      </w:pPr>
      <w:r>
        <w:rPr>
          <w:rFonts w:ascii="Open Sans" w:hAnsi="Open Sans" w:eastAsia="Open Sans"/>
          <w:b/>
          <w:i w:val="0"/>
          <w:color w:val="002337"/>
          <w:sz w:val="18"/>
        </w:rPr>
        <w:t>TCU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: Test de cotinine urinaire pour les non-fumeurs </w:t>
      </w:r>
      <w:r>
        <w:br/>
      </w:r>
      <w:r>
        <w:rPr>
          <w:rFonts w:ascii="Open Sans" w:hAnsi="Open Sans" w:eastAsia="Open Sans"/>
          <w:b/>
          <w:i w:val="0"/>
          <w:color w:val="002337"/>
          <w:sz w:val="18"/>
        </w:rPr>
        <w:t>PSA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: Antigène prostatique spécifique (pour les hommes de plus de 55 ans) </w:t>
      </w:r>
      <w:r>
        <w:br/>
      </w:r>
      <w:r>
        <w:rPr>
          <w:rFonts w:ascii="Open Sans" w:hAnsi="Open Sans" w:eastAsia="Open Sans"/>
          <w:b/>
          <w:i w:val="0"/>
          <w:color w:val="002337"/>
          <w:sz w:val="18"/>
        </w:rPr>
        <w:t xml:space="preserve">ECBU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: Examen cytobactériologique des urines </w:t>
      </w:r>
      <w:r>
        <w:br/>
      </w:r>
      <w:r>
        <w:rPr>
          <w:rFonts w:ascii="Open Sans" w:hAnsi="Open Sans" w:eastAsia="Open Sans"/>
          <w:b/>
          <w:i w:val="0"/>
          <w:color w:val="002337"/>
          <w:sz w:val="18"/>
        </w:rPr>
        <w:t>RMCV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: Rapport médical cardio-vasculaire complété par un cardiologue + tracé de l’ECG de repos interprété </w:t>
      </w:r>
      <w:r>
        <w:rPr>
          <w:rFonts w:ascii="Open Sans" w:hAnsi="Open Sans" w:eastAsia="Open Sans"/>
          <w:b/>
          <w:i w:val="0"/>
          <w:color w:val="002337"/>
          <w:sz w:val="18"/>
        </w:rPr>
        <w:t xml:space="preserve">Echo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: Echocardiographie accompagné du compte rendu </w:t>
      </w:r>
      <w:r>
        <w:br/>
      </w:r>
      <w:r>
        <w:rPr>
          <w:rFonts w:ascii="Open Sans" w:hAnsi="Open Sans" w:eastAsia="Open Sans"/>
          <w:b/>
          <w:i w:val="0"/>
          <w:color w:val="002337"/>
          <w:sz w:val="18"/>
        </w:rPr>
        <w:t>Sélection financière déclarative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: Questionnaire financier + Annexe </w:t>
      </w:r>
      <w:r>
        <w:br/>
      </w:r>
      <w:r>
        <w:rPr>
          <w:rFonts w:ascii="Open Sans" w:hAnsi="Open Sans" w:eastAsia="Open Sans"/>
          <w:b/>
          <w:i w:val="0"/>
          <w:color w:val="002337"/>
          <w:sz w:val="18"/>
        </w:rPr>
        <w:t>Sélection financière VIP :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Questionnaire financier + Annexe + Justificatifs financiers </w:t>
      </w:r>
    </w:p>
    <w:p>
      <w:pPr>
        <w:autoSpaceDN w:val="0"/>
        <w:autoSpaceDE w:val="0"/>
        <w:widowControl/>
        <w:spacing w:line="245" w:lineRule="auto" w:before="492" w:after="0"/>
        <w:ind w:left="320" w:right="4320" w:firstLine="0"/>
        <w:jc w:val="left"/>
      </w:pPr>
      <w:r>
        <w:rPr>
          <w:rFonts w:ascii="Open Sans" w:hAnsi="Open Sans" w:eastAsia="Open Sans"/>
          <w:b/>
          <w:i w:val="0"/>
          <w:color w:val="002337"/>
          <w:sz w:val="20"/>
        </w:rPr>
        <w:t xml:space="preserve">Les formalités médicales sont à transmettre à l’adresse suivante :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MNCAP – Service Médical – 5 rue Dosne - 75116 Paris </w:t>
      </w:r>
    </w:p>
    <w:p>
      <w:pPr>
        <w:autoSpaceDN w:val="0"/>
        <w:autoSpaceDE w:val="0"/>
        <w:widowControl/>
        <w:spacing w:line="286" w:lineRule="auto" w:before="252" w:after="0"/>
        <w:ind w:left="320" w:right="432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Lorsque le postulant se soumet aux formalités médicales demandées par l'assureur, il a le choix de les effectuer dans nos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centres prestataires ou bien auprès d'un praticien de son choix. </w:t>
      </w:r>
      <w:r>
        <w:rPr>
          <w:rFonts w:ascii="Open Sans" w:hAnsi="Open Sans" w:eastAsia="Open Sans"/>
          <w:b/>
          <w:i w:val="0"/>
          <w:color w:val="002337"/>
          <w:sz w:val="18"/>
        </w:rPr>
        <w:t xml:space="preserve">Le réseau des centres permet le regroupement des </w:t>
      </w:r>
      <w:r>
        <w:rPr>
          <w:rFonts w:ascii="Open Sans" w:hAnsi="Open Sans" w:eastAsia="Open Sans"/>
          <w:b/>
          <w:i w:val="0"/>
          <w:color w:val="002337"/>
          <w:sz w:val="18"/>
        </w:rPr>
        <w:t>formalités médicales sans avance de fonds pour le postulant.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Les centres à contacter réalisant les bilans médicaux sont :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>•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ARM (Analyse Risque Médical) : est présent pour réaliser les bilans médicaux dans 185 villes dont 14 adresses à Paris et 19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>en Région parisienne − 09 70 72 72 72 −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</w:t>
      </w:r>
      <w:r>
        <w:rPr>
          <w:u w:val="single" w:color="002237"/>
          <w:rFonts w:ascii="Open Sans" w:hAnsi="Open Sans" w:eastAsia="Open Sans"/>
          <w:b w:val="0"/>
          <w:i w:val="0"/>
          <w:color w:val="002337"/>
          <w:sz w:val="18"/>
        </w:rPr>
        <w:hyperlink r:id="rId25" w:history="1">
          <w:r>
            <w:rPr>
              <w:rStyle w:val="Hyperlink"/>
            </w:rPr>
            <w:t>http://www.armfrance.com</w:t>
          </w:r>
        </w:hyperlink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• ABCOS−CIVEM : est présent pour réaliser les bilans médicaux, en un seul rendez−vous et en un seul lieu, dans ses centres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sur Paris Ile de France et en Région − 09 69 32 27 32 − </w:t>
      </w:r>
      <w:r>
        <w:rPr>
          <w:u w:val="single" w:color="002237"/>
          <w:rFonts w:ascii="Open Sans" w:hAnsi="Open Sans" w:eastAsia="Open Sans"/>
          <w:b w:val="0"/>
          <w:i w:val="0"/>
          <w:color w:val="002337"/>
          <w:sz w:val="18"/>
        </w:rPr>
        <w:t>http://www.abcossante.com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</w:t>
      </w:r>
    </w:p>
    <w:p>
      <w:pPr>
        <w:autoSpaceDN w:val="0"/>
        <w:autoSpaceDE w:val="0"/>
        <w:widowControl/>
        <w:spacing w:line="240" w:lineRule="auto" w:before="5450" w:after="0"/>
        <w:ind w:left="0" w:right="42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25729" cy="165227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5729" cy="16522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08" w:after="0"/>
        <w:ind w:left="0" w:right="4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08329" cy="27686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8329" cy="276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8" w:lineRule="auto" w:before="662" w:after="6"/>
        <w:ind w:left="0" w:right="488" w:firstLine="0"/>
        <w:jc w:val="righ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5 / 5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5662"/>
        <w:gridCol w:w="5662"/>
      </w:tblGrid>
      <w:tr>
        <w:trPr>
          <w:trHeight w:hRule="exact" w:val="466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2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02969" cy="2667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969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2" w:right="576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>Zenioo, siège social : 6 cours André Philip – 69100 Villeurbanne. SAS au capital de 1.267.431 €, RCS de Lyon n°884 782 582 –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  <w:u w:val="single"/>
              </w:rPr>
              <w:hyperlink r:id="rId11" w:history="1">
                <w:r>
                  <w:rPr>
                    <w:rStyle w:val="Hyperlink"/>
                  </w:rPr>
                  <w:t>www.zenioo.com</w:t>
                </w:r>
              </w:hyperlink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Intermédiaire en assurance immatriculé à l’ORIAS sous le n°20 005 879 (www.orias.fr). </w:t>
            </w:r>
          </w:p>
          <w:p>
            <w:pPr>
              <w:autoSpaceDN w:val="0"/>
              <w:autoSpaceDE w:val="0"/>
              <w:widowControl/>
              <w:spacing w:line="228" w:lineRule="auto" w:before="6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>Autorité de Contrôle Prudentiel et de Résolution, 4 place de Budapest, CS 92459, 75436 Paris Cedex 09.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360" w:right="182" w:bottom="88" w:left="40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www.zenioo.com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hyperlink" Target="mailto:lcb-ft.tracfin@zenioo.com" TargetMode="External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hyperlink" Target="http://www.armfrance.com/" TargetMode="External"/><Relationship Id="rId26" Type="http://schemas.openxmlformats.org/officeDocument/2006/relationships/image" Target="media/image15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