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0710"/>
      </w:tblGrid>
      <w:tr>
        <w:trPr>
          <w:trHeight w:hRule="exact" w:val="2650"/>
        </w:trPr>
        <w:tc>
          <w:tcPr>
            <w:tcW w:type="dxa" w:w="10660"/>
            <w:tcBorders/>
            <w:shd w:fill="004b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08" w:right="576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8"/>
              </w:rPr>
              <w:t xml:space="preserve">Assurance Emprunteur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Document d'information sur le produit d'assurance </w:t>
            </w:r>
          </w:p>
          <w:p>
            <w:pPr>
              <w:autoSpaceDN w:val="0"/>
              <w:autoSpaceDE w:val="0"/>
              <w:widowControl/>
              <w:spacing w:line="245" w:lineRule="auto" w:before="282" w:after="0"/>
              <w:ind w:left="108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Compagnie : Produit assuré et géré par la Mutuelle Nationale des Constructeurs et Accédants à la Propriété (MNCAP), mutuelle 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immatriculée en France sous le N° SIREN 391 398 351 et régie par les dispositions du Livre II du Code de la mutualité. Siège social : 5, rue 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Dosne 75116 Paris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Distributeur : Le contrat est distribué par ZENIOO – société par actions simplifiée au capital de 1267431 € - Immatriculée au RCS de Lyon sous 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le numéro 884 782 582 – Courtier d’assurance inscrit à l’ORIAS sous le numéro 20005879 - Siège social : 6 Cours André Philip - 69100 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Villeurbanne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FFFFFF"/>
                <w:sz w:val="18"/>
              </w:rPr>
              <w:t>Nom du Produit : MNCAP ADE 0124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24" w:right="0" w:firstLine="0"/>
        <w:jc w:val="left"/>
      </w:pPr>
      <w:r>
        <w:rPr>
          <w:w w:val="101.33333206176758"/>
          <w:rFonts w:ascii="Calibri" w:hAnsi="Calibri" w:eastAsia="Calibri"/>
          <w:b/>
          <w:i w:val="0"/>
          <w:color w:val="000000"/>
          <w:sz w:val="18"/>
        </w:rPr>
        <w:t xml:space="preserve">Ce document d’information présente un résumé des principales garanties et exclusions du produit. Il ne prend pas en compte vos besoins et </w:t>
      </w:r>
      <w:r>
        <w:rPr>
          <w:w w:val="101.33333206176758"/>
          <w:rFonts w:ascii="Calibri" w:hAnsi="Calibri" w:eastAsia="Calibri"/>
          <w:b/>
          <w:i w:val="0"/>
          <w:color w:val="000000"/>
          <w:sz w:val="18"/>
        </w:rPr>
        <w:t xml:space="preserve">demandes spécifiques. Vous trouverez l’information complète sur ce produit dans la documentation précontractuelle et contractuelle. </w:t>
      </w:r>
    </w:p>
    <w:p>
      <w:pPr>
        <w:autoSpaceDN w:val="0"/>
        <w:autoSpaceDE w:val="0"/>
        <w:widowControl/>
        <w:spacing w:line="197" w:lineRule="auto" w:before="274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4C93"/>
          <w:sz w:val="24"/>
        </w:rPr>
        <w:t xml:space="preserve">De quel type d’assurance s’agit-il ? </w:t>
      </w:r>
    </w:p>
    <w:p>
      <w:pPr>
        <w:autoSpaceDN w:val="0"/>
        <w:autoSpaceDE w:val="0"/>
        <w:widowControl/>
        <w:spacing w:line="245" w:lineRule="auto" w:before="38" w:after="188"/>
        <w:ind w:left="130" w:right="96" w:firstLine="0"/>
        <w:jc w:val="both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 xml:space="preserve">Ce produit est destiné à garantir le remboursement de tout ou partie du prêt à la banque, en lieu et place de l’emprunteur, en cas de décès, 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 xml:space="preserve">d’incapacité ou d’invalidité de l’emprunteur suite à une maladie ou un accident. Le montant des cotisations d’assurance est identique pendant 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 xml:space="preserve">toute la durée du prêt.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58.000000000001" w:type="dxa"/>
      </w:tblPr>
      <w:tblGrid>
        <w:gridCol w:w="10710"/>
      </w:tblGrid>
      <w:tr>
        <w:trPr>
          <w:trHeight w:hRule="exact" w:val="2910"/>
        </w:trPr>
        <w:tc>
          <w:tcPr>
            <w:tcW w:type="dxa" w:w="517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355"/>
        <w:gridCol w:w="5355"/>
      </w:tblGrid>
      <w:tr>
        <w:trPr>
          <w:trHeight w:hRule="exact" w:val="3000"/>
        </w:trPr>
        <w:tc>
          <w:tcPr>
            <w:tcW w:type="dxa" w:w="5234"/>
            <w:vMerge w:val="restart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3230" cy="4495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4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Qu’est-ce qui est assuré ?</w:t>
            </w:r>
          </w:p>
          <w:p>
            <w:pPr>
              <w:autoSpaceDN w:val="0"/>
              <w:autoSpaceDE w:val="0"/>
              <w:widowControl/>
              <w:spacing w:line="245" w:lineRule="auto" w:before="336" w:after="0"/>
              <w:ind w:left="124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montants garantis sont déterminés à partir du montant du capital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emprunté et de la quotité choisie. </w:t>
            </w:r>
          </w:p>
          <w:p>
            <w:pPr>
              <w:autoSpaceDN w:val="0"/>
              <w:autoSpaceDE w:val="0"/>
              <w:widowControl/>
              <w:spacing w:line="245" w:lineRule="auto" w:before="38" w:after="0"/>
              <w:ind w:left="124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L’accès à certaines garanties et les montants assurables dépendent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lieu de résidence de l’emprunteur, de son âge et/ou de son statut. </w:t>
            </w:r>
          </w:p>
          <w:p>
            <w:pPr>
              <w:autoSpaceDN w:val="0"/>
              <w:tabs>
                <w:tab w:pos="340" w:val="left"/>
                <w:tab w:pos="700" w:val="left"/>
              </w:tabs>
              <w:autoSpaceDE w:val="0"/>
              <w:widowControl/>
              <w:spacing w:line="245" w:lineRule="auto" w:before="260" w:after="0"/>
              <w:ind w:left="124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LES GARANTIES SYSTEMATIQUEMENT PREVUES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>Décès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: versement du capital restant dû à la banque au jour </w:t>
            </w:r>
            <w:r>
              <w:tab/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décès.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288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Perte Totale et Irréversible d’Autonomie (PTIA)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versement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capital restant dû à la banque au jour de l’invalidité.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340" w:right="129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Capital assuré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jusqu’à 10 000 000 euros </w:t>
            </w: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Mensualité assurée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jusqu’à 15 000 euros. </w:t>
            </w:r>
          </w:p>
          <w:p>
            <w:pPr>
              <w:autoSpaceDN w:val="0"/>
              <w:autoSpaceDE w:val="0"/>
              <w:widowControl/>
              <w:spacing w:line="245" w:lineRule="auto" w:before="256" w:after="0"/>
              <w:ind w:left="700" w:right="0" w:hanging="576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LES GARANTIES OPTIONNELLES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>Incapacité Temporaire Totale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(ITT) : versement des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échéances à la banque en cas d’impossibilité d’exercer son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activité professionnelle. </w:t>
            </w:r>
          </w:p>
          <w:p>
            <w:pPr>
              <w:autoSpaceDN w:val="0"/>
              <w:autoSpaceDE w:val="0"/>
              <w:widowControl/>
              <w:spacing w:line="245" w:lineRule="auto" w:before="260" w:after="0"/>
              <w:ind w:left="700" w:right="2" w:firstLine="0"/>
              <w:jc w:val="both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Invalidité Permanente Totale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(IPT) : versement des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échéances, ou sur option d’une prestation unique,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à la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banque en cas d’invalidité supérieure ou égale à 66%. </w:t>
            </w:r>
          </w:p>
          <w:p>
            <w:pPr>
              <w:autoSpaceDN w:val="0"/>
              <w:autoSpaceDE w:val="0"/>
              <w:widowControl/>
              <w:spacing w:line="245" w:lineRule="auto" w:before="260" w:after="0"/>
              <w:ind w:left="700" w:right="2" w:firstLine="0"/>
              <w:jc w:val="both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>Invalidité Permanente Partielle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(IPP) : versement d’une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fraction des échéances en cas invalidité comprise entre 33%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et 65%. Cette option renforce l’IPT. </w:t>
            </w:r>
          </w:p>
          <w:p>
            <w:pPr>
              <w:autoSpaceDN w:val="0"/>
              <w:autoSpaceDE w:val="0"/>
              <w:widowControl/>
              <w:spacing w:line="245" w:lineRule="auto" w:before="258" w:after="0"/>
              <w:ind w:left="700" w:right="2" w:firstLine="0"/>
              <w:jc w:val="both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ITT, IPT, IPP peuvent comprendre sur option la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couverture des affections psychiatriques et des atteintes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dorsales sans condition d’hospitalisation </w:t>
            </w:r>
          </w:p>
          <w:p>
            <w:pPr>
              <w:autoSpaceDN w:val="0"/>
              <w:autoSpaceDE w:val="0"/>
              <w:widowControl/>
              <w:spacing w:line="197" w:lineRule="auto" w:before="260" w:after="0"/>
              <w:ind w:left="70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>Le rachat des exclusions de pratiques sportives</w:t>
            </w:r>
          </w:p>
          <w:p>
            <w:pPr>
              <w:autoSpaceDN w:val="0"/>
              <w:autoSpaceDE w:val="0"/>
              <w:widowControl/>
              <w:spacing w:line="245" w:lineRule="auto" w:before="254" w:after="2"/>
              <w:ind w:left="124" w:right="4" w:firstLine="0"/>
              <w:jc w:val="both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niveaux de remboursement et la mise en jeu des garanties sont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détaillés dans le Règlement Mutualiste. Le bénéficiaire des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prestations est l’organisme prêteur.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745"/>
              <w:gridCol w:w="1745"/>
              <w:gridCol w:w="1745"/>
            </w:tblGrid>
            <w:tr>
              <w:trPr>
                <w:trHeight w:hRule="exact" w:val="310"/>
              </w:trPr>
              <w:tc>
                <w:tcPr>
                  <w:tcW w:type="dxa" w:w="2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108" w:after="0"/>
                    <w:ind w:left="0" w:right="0" w:firstLine="0"/>
                    <w:jc w:val="center"/>
                  </w:pPr>
                  <w:r>
                    <w:rPr>
                      <w:w w:val="101.33333206176758"/>
                      <w:rFonts w:ascii="Calibri" w:hAnsi="Calibri" w:eastAsia="Calibri"/>
                      <w:b w:val="0"/>
                      <w:i/>
                      <w:color w:val="000000"/>
                      <w:sz w:val="18"/>
                    </w:rPr>
                    <w:t xml:space="preserve">Les garanties précédées d’une coche </w:t>
                  </w: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8750" cy="15113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50" cy="1511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108" w:after="0"/>
                    <w:ind w:left="0" w:right="0" w:firstLine="0"/>
                    <w:jc w:val="center"/>
                  </w:pPr>
                  <w:r>
                    <w:rPr>
                      <w:w w:val="101.33333206176758"/>
                      <w:rFonts w:ascii="Calibri" w:hAnsi="Calibri" w:eastAsia="Calibri"/>
                      <w:b w:val="0"/>
                      <w:i/>
                      <w:color w:val="000000"/>
                      <w:sz w:val="18"/>
                    </w:rPr>
                    <w:t xml:space="preserve"> sont systématiquement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0" w:after="0"/>
              <w:ind w:left="124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/>
                <w:color w:val="000000"/>
                <w:sz w:val="18"/>
              </w:rPr>
              <w:t xml:space="preserve">prévues au contrat. </w:t>
            </w:r>
          </w:p>
        </w:tc>
        <w:tc>
          <w:tcPr>
            <w:tcW w:type="dxa" w:w="5400"/>
            <w:tcBorders>
              <w:start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9579" cy="44957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79" cy="44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Qu’est-ce qui n’est pas assuré ?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6" w:lineRule="auto" w:before="284" w:after="0"/>
              <w:ind w:left="132" w:right="0" w:firstLine="0"/>
              <w:jc w:val="left"/>
            </w:pPr>
            <w:r>
              <w:rPr>
                <w:w w:val="101.33333206176758"/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prêts souscrits à Mayotte, en Guyane ou hors de France. 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6" w:lineRule="auto" w:before="40" w:after="0"/>
              <w:ind w:left="132" w:right="0" w:firstLine="0"/>
              <w:jc w:val="left"/>
            </w:pPr>
            <w:r>
              <w:rPr>
                <w:w w:val="101.33333206176758"/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prêts rédigés dans une autre langue que le français, 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6" w:lineRule="auto" w:before="44" w:after="0"/>
              <w:ind w:left="132" w:right="0" w:firstLine="0"/>
              <w:jc w:val="left"/>
            </w:pPr>
            <w:r>
              <w:rPr>
                <w:w w:val="101.33333206176758"/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prêts contractés dans une devise autre que l’euro, 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3" w:lineRule="auto" w:before="46" w:after="0"/>
              <w:ind w:left="132" w:right="0" w:firstLine="0"/>
              <w:jc w:val="left"/>
            </w:pPr>
            <w:r>
              <w:rPr>
                <w:w w:val="101.33333206176758"/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sinistres survenus en dehors de la période de garantie, 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6" w:lineRule="auto" w:before="40" w:after="0"/>
              <w:ind w:left="132" w:right="0" w:firstLine="0"/>
              <w:jc w:val="left"/>
            </w:pPr>
            <w:r>
              <w:rPr>
                <w:w w:val="101.33333206176758"/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refusées ou les exclusions de couverture indiquées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sur le certificat individuel d’assurance ou bon pour accord, 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6" w:lineRule="auto" w:before="46" w:after="0"/>
              <w:ind w:left="132" w:right="0" w:firstLine="0"/>
              <w:jc w:val="left"/>
            </w:pPr>
            <w:r>
              <w:rPr>
                <w:w w:val="101.33333206176758"/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quotité du prêt non couvert par l’assurance. </w:t>
            </w:r>
          </w:p>
        </w:tc>
      </w:tr>
      <w:tr>
        <w:trPr>
          <w:trHeight w:hRule="exact" w:val="6778"/>
        </w:trPr>
        <w:tc>
          <w:tcPr>
            <w:tcW w:type="dxa" w:w="5355"/>
            <w:vMerge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</w:tcPr>
          <w:p/>
        </w:tc>
        <w:tc>
          <w:tcPr>
            <w:tcW w:type="dxa" w:w="540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7989" cy="4495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89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Y-a-t-il des exclusions à la couverture ?</w:t>
            </w:r>
          </w:p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245" w:lineRule="auto" w:before="258" w:after="0"/>
              <w:ind w:left="104" w:right="144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  <w:u w:val="single"/>
              </w:rPr>
              <w:t>PRINCIPALES EXCLUSIONS :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>Pour toutes les garanties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: Sont exclues les suites, rechutes ou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conséquences :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 suicide au cours de la première année,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actes intentionnels de l’assuré ou d’un bénéficiaire,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maladies ou accidents antérieurs à la date d’adhésion et non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déclarée,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sinistres survenus sous l’emprise de l’alcool ou l’usage de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stupéfiants,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participations à des exhibitions, paris, tentative de record, 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 saut à l'élastique, le sky flying, le sky surfing, le zorbing, le base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jump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professions à risque qui n’ont pas été déclarées à l’adhésion </w:t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Pour les garanties ITT, IPT, IPP et PTIA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Sont exclues les suites,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rechutes ou conséquences :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séjours hospitaliers en cure, maison de repos, etc.</w:t>
            </w:r>
          </w:p>
          <w:p>
            <w:pPr>
              <w:autoSpaceDN w:val="0"/>
              <w:autoSpaceDE w:val="0"/>
              <w:widowControl/>
              <w:spacing w:line="245" w:lineRule="auto" w:before="34" w:after="0"/>
              <w:ind w:left="132" w:right="152" w:firstLine="0"/>
              <w:jc w:val="both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pratique sportive en tant que professionnel sauf dans le cadre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d’une activité professionnelle mentionnée sur la demande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d’adhésion </w:t>
            </w:r>
          </w:p>
          <w:p>
            <w:pPr>
              <w:autoSpaceDN w:val="0"/>
              <w:autoSpaceDE w:val="0"/>
              <w:widowControl/>
              <w:spacing w:line="245" w:lineRule="auto" w:before="258" w:after="0"/>
              <w:ind w:left="132" w:right="144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  <w:u w:val="single"/>
              </w:rPr>
              <w:t xml:space="preserve">PRINCIPALES RESTRICTIONS :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E36C0A"/>
                <w:sz w:val="18"/>
              </w:rPr>
              <w:t>!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Pour l’ITT, le versement des indemnités s’effectue après une période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 franchise de 30, 60, 90, 120 ou 180 jours au choix pour un assuré.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Pendant ce délai, l’assureur ne prend pas en charge les mensualités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prêt. </w:t>
            </w:r>
          </w:p>
        </w:tc>
      </w:tr>
      <w:tr>
        <w:trPr>
          <w:trHeight w:hRule="exact" w:val="1098"/>
        </w:trPr>
        <w:tc>
          <w:tcPr>
            <w:tcW w:type="dxa" w:w="10634"/>
            <w:gridSpan w:val="2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3229" cy="43433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29" cy="434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 xml:space="preserve">Où suis-je couvert 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?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34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1F497D"/>
                <w:sz w:val="24"/>
              </w:rPr>
              <w:t>✓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Dans le monde entier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282" w:right="536" w:bottom="43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96" w:type="dxa"/>
      </w:tblPr>
      <w:tblGrid>
        <w:gridCol w:w="10904"/>
      </w:tblGrid>
      <w:tr>
        <w:trPr>
          <w:trHeight w:hRule="exact" w:val="4600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6720" cy="4406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40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Quelles sont mes obligations ?</w:t>
            </w:r>
          </w:p>
          <w:p>
            <w:pPr>
              <w:autoSpaceDN w:val="0"/>
              <w:autoSpaceDE w:val="0"/>
              <w:widowControl/>
              <w:spacing w:line="197" w:lineRule="auto" w:before="92" w:after="0"/>
              <w:ind w:left="69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Sous peine nullité du contrat d’assurance ou de non garantie : </w:t>
            </w:r>
          </w:p>
          <w:p>
            <w:pPr>
              <w:autoSpaceDN w:val="0"/>
              <w:tabs>
                <w:tab w:pos="690" w:val="left"/>
                <w:tab w:pos="844" w:val="left"/>
              </w:tabs>
              <w:autoSpaceDE w:val="0"/>
              <w:widowControl/>
              <w:spacing w:line="256" w:lineRule="exact" w:before="0" w:after="0"/>
              <w:ind w:left="546" w:right="0" w:firstLine="0"/>
              <w:jc w:val="left"/>
            </w:pPr>
            <w:r>
              <w:tab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A la souscription du contrat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Répondre exactement aux questions posées par la Mutuelle, notamment dans le formulaire de déclaration du risque lui permettant </w:t>
            </w:r>
          </w:p>
          <w:p>
            <w:pPr>
              <w:autoSpaceDN w:val="0"/>
              <w:tabs>
                <w:tab w:pos="844" w:val="left"/>
              </w:tabs>
              <w:autoSpaceDE w:val="0"/>
              <w:widowControl/>
              <w:spacing w:line="252" w:lineRule="exact" w:before="0" w:after="0"/>
              <w:ind w:left="546" w:right="4896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d’apprécier les risques qu’il prend en charge,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Fournir tous documents justificatifs demandés par la Mutuelle,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Régler la cotisation (ou fraction de cotisation) indiquée au contrat.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9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En cours de contrat </w:t>
            </w:r>
          </w:p>
          <w:p>
            <w:pPr>
              <w:autoSpaceDN w:val="0"/>
              <w:tabs>
                <w:tab w:pos="690" w:val="left"/>
                <w:tab w:pos="828" w:val="left"/>
              </w:tabs>
              <w:autoSpaceDE w:val="0"/>
              <w:widowControl/>
              <w:spacing w:line="252" w:lineRule="exact" w:before="2" w:after="0"/>
              <w:ind w:left="536" w:right="0" w:firstLine="0"/>
              <w:jc w:val="left"/>
            </w:pP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Déclarer :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toutes modifications des caractéristiques du prêt,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cessation d’activité professionnelle pour mise en retraite,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toutes nouvelles pratiques ou modifications de la pratique de tout sport nécessitant l’usage d’un véhicule terrestre à moteur et/ou </w:t>
            </w:r>
          </w:p>
          <w:p>
            <w:pPr>
              <w:autoSpaceDN w:val="0"/>
              <w:autoSpaceDE w:val="0"/>
              <w:widowControl/>
              <w:spacing w:line="197" w:lineRule="auto" w:before="68" w:after="0"/>
              <w:ind w:left="828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 tout sport aérien (à voile, aile ou moteur). </w:t>
            </w:r>
          </w:p>
          <w:p>
            <w:pPr>
              <w:autoSpaceDN w:val="0"/>
              <w:tabs>
                <w:tab w:pos="690" w:val="left"/>
                <w:tab w:pos="828" w:val="left"/>
              </w:tabs>
              <w:autoSpaceDE w:val="0"/>
              <w:widowControl/>
              <w:spacing w:line="256" w:lineRule="exact" w:before="0" w:after="0"/>
              <w:ind w:left="546" w:right="0" w:firstLine="0"/>
              <w:jc w:val="left"/>
            </w:pPr>
            <w:r>
              <w:tab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>En cas de sinistre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Déclarer tout sinistre de nature à mettre en jeu l’une des garanties dans les conditions et délais impartis et joindre tous documents </w:t>
            </w:r>
          </w:p>
          <w:p>
            <w:pPr>
              <w:autoSpaceDN w:val="0"/>
              <w:autoSpaceDE w:val="0"/>
              <w:widowControl/>
              <w:spacing w:line="197" w:lineRule="auto" w:before="66" w:after="0"/>
              <w:ind w:left="828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justificatifs nécessaires à l’indemnisation. </w:t>
            </w:r>
          </w:p>
        </w:tc>
      </w:tr>
      <w:tr>
        <w:trPr>
          <w:trHeight w:hRule="exact" w:val="1493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7990" cy="48133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69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cotisations sont payables d’avance annuellement, par prélèvement automatique. </w:t>
            </w:r>
          </w:p>
          <w:p>
            <w:pPr>
              <w:autoSpaceDN w:val="0"/>
              <w:autoSpaceDE w:val="0"/>
              <w:widowControl/>
              <w:spacing w:line="199" w:lineRule="auto" w:before="72" w:after="0"/>
              <w:ind w:left="69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Un paiement fractionné peut toutefois être accordé au choix (semestriel, trimestriel, mensuel). </w:t>
            </w:r>
          </w:p>
        </w:tc>
      </w:tr>
      <w:tr>
        <w:trPr>
          <w:trHeight w:hRule="exact" w:val="4388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5609" cy="44958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9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86" w:after="0"/>
              <w:ind w:left="690" w:right="0" w:hanging="58"/>
              <w:jc w:val="left"/>
            </w:pP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Début du contrat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prennent effet à la date mentionnée au certificat individuel d’adhésion et au plus tôt à la date de signature de l’offre de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prêt. Le contrat est conclu pour une durée d’un an et se renouvelle automatiquement d’année en année à sa date d’échéance principale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(le 31 décembre), sauf résiliation par l’une des parties dans les cas et conditions fixés au contrat. </w:t>
            </w:r>
          </w:p>
          <w:p>
            <w:pPr>
              <w:autoSpaceDN w:val="0"/>
              <w:tabs>
                <w:tab w:pos="690" w:val="left"/>
                <w:tab w:pos="828" w:val="left"/>
              </w:tabs>
              <w:autoSpaceDE w:val="0"/>
              <w:widowControl/>
              <w:spacing w:line="242" w:lineRule="exact" w:before="8" w:after="0"/>
              <w:ind w:left="546" w:right="0" w:firstLine="0"/>
              <w:jc w:val="left"/>
            </w:pPr>
            <w:r>
              <w:tab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Droit de renonciation au contrat </w:t>
            </w:r>
            <w:r>
              <w:br/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L’assuré dispose d’un délai de renonciation de 30 jours (hors prêts professionnels), avec accord de la banque, qui commence à courir à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compter de la date d’émission du certificat d’adhésion </w:t>
            </w:r>
            <w:r>
              <w:br/>
            </w:r>
            <w:r>
              <w:tab/>
            </w:r>
            <w:r>
              <w:rPr>
                <w:w w:val="101.33333206176758"/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Fin du contrat </w:t>
            </w:r>
            <w:r>
              <w:br/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prennent fin notamment :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Au jour du 86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ème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anniversaire de l’assuré pour la garantie décès et pour les autres garanties, à son départ à la retraite et au jour du </w:t>
            </w:r>
            <w:r>
              <w:tab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72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ème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anniversaire (en cas de poursuite d’activité professionnelle).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2" w:lineRule="exact" w:before="0" w:after="0"/>
              <w:ind w:left="546" w:right="7344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A la fin du prêt,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A la date de résiliation du contrat.</w:t>
            </w:r>
          </w:p>
        </w:tc>
      </w:tr>
      <w:tr>
        <w:trPr>
          <w:trHeight w:hRule="exact" w:val="2021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5609" cy="44957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9" cy="44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Comment puis-je résilier le contrat ?</w:t>
            </w:r>
          </w:p>
          <w:p>
            <w:pPr>
              <w:autoSpaceDN w:val="0"/>
              <w:autoSpaceDE w:val="0"/>
              <w:widowControl/>
              <w:spacing w:line="197" w:lineRule="auto" w:before="244" w:after="0"/>
              <w:ind w:left="69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La résiliation peut être de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ma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ndée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>à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tout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moment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à la MNCAP, avec accord de la banque, par courrier ou tout autre support prévu à </w:t>
            </w:r>
          </w:p>
          <w:p>
            <w:pPr>
              <w:autoSpaceDN w:val="0"/>
              <w:autoSpaceDE w:val="0"/>
              <w:widowControl/>
              <w:spacing w:line="199" w:lineRule="auto" w:before="38" w:after="0"/>
              <w:ind w:left="69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l’article L.221-10-3 du code de la mutualité. </w:t>
            </w:r>
          </w:p>
        </w:tc>
      </w:tr>
    </w:tbl>
    <w:p>
      <w:pPr>
        <w:autoSpaceDN w:val="0"/>
        <w:autoSpaceDE w:val="0"/>
        <w:widowControl/>
        <w:spacing w:line="238" w:lineRule="auto" w:before="3112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Ipid-MNCAPADEV0124-050324 </w:t>
      </w:r>
    </w:p>
    <w:sectPr w:rsidR="00FC693F" w:rsidRPr="0006063C" w:rsidSect="00034616">
      <w:pgSz w:w="11904" w:h="16838"/>
      <w:pgMar w:top="276" w:right="434" w:bottom="226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