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.0" w:type="dxa"/>
      </w:tblPr>
      <w:tblGrid>
        <w:gridCol w:w="3781"/>
        <w:gridCol w:w="3781"/>
        <w:gridCol w:w="3781"/>
      </w:tblGrid>
      <w:tr>
        <w:trPr>
          <w:trHeight w:hRule="exact" w:val="450"/>
        </w:trPr>
        <w:tc>
          <w:tcPr>
            <w:tcW w:type="dxa" w:w="19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87120" cy="4203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120" cy="4203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140"/>
            <w:tcBorders/>
            <w:shd w:fill="00223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4"/>
              </w:rPr>
              <w:t xml:space="preserve">NOTICE D’INFORMATION </w:t>
            </w:r>
          </w:p>
        </w:tc>
        <w:tc>
          <w:tcPr>
            <w:tcW w:type="dxa" w:w="21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24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72210" cy="47116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4711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50"/>
        </w:trPr>
        <w:tc>
          <w:tcPr>
            <w:tcW w:type="dxa" w:w="3781"/>
            <w:vMerge/>
            <w:tcBorders/>
          </w:tcPr>
          <w:p/>
        </w:tc>
        <w:tc>
          <w:tcPr>
            <w:tcW w:type="dxa" w:w="7140"/>
            <w:tcBorders/>
            <w:shd w:fill="00223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4"/>
              </w:rPr>
              <w:t xml:space="preserve">DU CONTRAT MNCAP ADE V0124 - JANVIER 2024 </w:t>
            </w:r>
          </w:p>
        </w:tc>
        <w:tc>
          <w:tcPr>
            <w:tcW w:type="dxa" w:w="378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76" w:after="226"/>
        <w:ind w:left="96" w:right="74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Le présent document constitue la Notice d'Information prévue par la législation. Il décrit les dispositions essentielles du contrat groupe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d’assurance à adhésion facultative souscrit par l’Association des Assurés de ZENIOO (Association régie par la loi du 1er juillet 1901 – 33 rue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 la République 69002 LYON) ci-après dénommée « la Contractante », auprès de la Mutuelle Nationale des Constructeurs et Accédants à la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Propriété (MNCAP), Mutuelle régie par les dispositions du Livre II du Code de la mutualité et inscrite au Répertoire SIRENE sous le n° SIREN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391 398 351, ci-après dénommée, « la Mutuelle » dont le siège social est situé à Paris (75116), 5 rue Dosne. Le présent document est établi en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application de l’article L.221-4 du Code de la mutualité et de l’article 4 des statuts de la de MNCAP. Il définit le contenu des engagements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contractuels réciproques entre la Mutuelle et chaque Assuré en ce qui concerne les prestations et les cotisations. </w:t>
      </w:r>
    </w:p>
    <w:p>
      <w:pPr>
        <w:sectPr>
          <w:pgSz w:w="11906" w:h="16838"/>
          <w:pgMar w:top="196" w:right="274" w:bottom="234" w:left="2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4"/>
        <w:ind w:left="10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 – DEFINITIONS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1418"/>
        <w:gridCol w:w="1418"/>
        <w:gridCol w:w="1418"/>
        <w:gridCol w:w="1418"/>
        <w:gridCol w:w="1418"/>
        <w:gridCol w:w="1418"/>
        <w:gridCol w:w="1418"/>
        <w:gridCol w:w="1418"/>
      </w:tblGrid>
      <w:tr>
        <w:trPr>
          <w:trHeight w:hRule="exact" w:val="21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Pour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une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meilleure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compréhension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de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la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présente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No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tic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e 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0" w:right="0" w:firstLine="0"/>
        <w:jc w:val="center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d’information, nous vous proposons de vous référer au Lexiqu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 xml:space="preserve">e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c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i-</w:t>
      </w:r>
    </w:p>
    <w:p>
      <w:pPr>
        <w:sectPr>
          <w:type w:val="continuous"/>
          <w:pgSz w:w="11906" w:h="16838"/>
          <w:pgMar w:top="196" w:right="274" w:bottom="234" w:left="290" w:header="720" w:footer="720" w:gutter="0"/>
          <w:cols w:num="2" w:equalWidth="0">
            <w:col w:w="5684" w:space="0"/>
            <w:col w:w="565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5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durées, la Quotité assurée, les cotisations annuelles, le montant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prélèvements effectués selon la périodicité choisie par l’Adhérent.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Chômeur :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Assuré bénéficiant de droits aux prestations de Pôle Emploi </w:t>
      </w:r>
    </w:p>
    <w:p>
      <w:pPr>
        <w:sectPr>
          <w:type w:val="nextColumn"/>
          <w:pgSz w:w="11906" w:h="16838"/>
          <w:pgMar w:top="196" w:right="274" w:bottom="234" w:left="290" w:header="720" w:footer="720" w:gutter="0"/>
          <w:cols w:num="2" w:equalWidth="0">
            <w:col w:w="5684" w:space="0"/>
            <w:col w:w="5658" w:space="0"/>
          </w:cols>
          <w:docGrid w:linePitch="360"/>
        </w:sectPr>
      </w:pPr>
    </w:p>
    <w:p>
      <w:pPr>
        <w:autoSpaceDN w:val="0"/>
        <w:tabs>
          <w:tab w:pos="5734" w:val="left"/>
        </w:tabs>
        <w:autoSpaceDE w:val="0"/>
        <w:widowControl/>
        <w:spacing w:line="233" w:lineRule="auto" w:before="0" w:after="10"/>
        <w:ind w:left="108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dessous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d’organismes similaires au moment de la Date d’effet. </w:t>
      </w:r>
    </w:p>
    <w:p>
      <w:pPr>
        <w:sectPr>
          <w:type w:val="continuous"/>
          <w:pgSz w:w="11906" w:h="16838"/>
          <w:pgMar w:top="196" w:right="274" w:bottom="234" w:left="2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8" w:right="46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Accident</w:t>
      </w:r>
      <w:r>
        <w:rPr>
          <w:u w:val="single" w:color="0e1f6c"/>
          <w:rFonts w:ascii="Open Sans" w:hAnsi="Open Sans" w:eastAsia="Open Sans"/>
          <w:b/>
          <w:i w:val="0"/>
          <w:color w:val="0F206C"/>
          <w:sz w:val="16"/>
        </w:rPr>
        <w:t xml:space="preserve">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atteinte corporelle provenant de l’action soudaine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violente provenant exclusivement d’une cause extérieure et indépendante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volonté de l’Assuré. 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Ne sont pas considérés comme des accidents 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les maladies cardiaques, l'infarctus du myocarde, les accidents </w:t>
      </w:r>
      <w:r>
        <w:rPr>
          <w:rFonts w:ascii="Segoe UI" w:hAnsi="Segoe UI" w:eastAsia="Segoe UI"/>
          <w:b w:val="0"/>
          <w:i w:val="0"/>
          <w:color w:val="000000"/>
          <w:sz w:val="18"/>
        </w:rPr>
        <w:t>vasculaires cérébraux et la rupture d'anévrysme.</w:t>
      </w:r>
    </w:p>
    <w:p>
      <w:pPr>
        <w:autoSpaceDN w:val="0"/>
        <w:autoSpaceDE w:val="0"/>
        <w:widowControl/>
        <w:spacing w:line="245" w:lineRule="auto" w:before="6" w:after="0"/>
        <w:ind w:left="108" w:right="152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Adhérent </w:t>
      </w:r>
      <w:r>
        <w:rPr>
          <w:u w:val="single" w:color="a30000"/>
          <w:rFonts w:ascii="Open Sans" w:hAnsi="Open Sans" w:eastAsia="Open Sans"/>
          <w:b/>
          <w:i w:val="0"/>
          <w:color w:val="A40000"/>
          <w:sz w:val="16"/>
        </w:rPr>
        <w:t>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physique qui souscrit au contrat et en paie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cotisations. L’Adhérent a aussi la qualité d’Assuré. L’Adhérent peut être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membre d’une personne morale qui s’engage irrévocablement à payer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cotisations pour le compte de l’Assuré. </w:t>
      </w:r>
    </w:p>
    <w:p>
      <w:pPr>
        <w:autoSpaceDN w:val="0"/>
        <w:autoSpaceDE w:val="0"/>
        <w:widowControl/>
        <w:spacing w:line="245" w:lineRule="auto" w:before="8" w:after="0"/>
        <w:ind w:left="108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Age </w:t>
      </w:r>
      <w:r>
        <w:rPr>
          <w:u w:val="single" w:color="0e1f6c"/>
          <w:rFonts w:ascii="Open Sans" w:hAnsi="Open Sans" w:eastAsia="Open Sans"/>
          <w:b/>
          <w:i w:val="0"/>
          <w:color w:val="0F206C"/>
          <w:sz w:val="16"/>
        </w:rPr>
        <w:t>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âges sont définis par différence de millésime entre l’année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considérée et l’année de naissance de l’Assuré. </w:t>
      </w:r>
    </w:p>
    <w:p>
      <w:pPr>
        <w:autoSpaceDN w:val="0"/>
        <w:autoSpaceDE w:val="0"/>
        <w:widowControl/>
        <w:spacing w:line="245" w:lineRule="auto" w:before="8" w:after="0"/>
        <w:ind w:left="108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L 113-2-1 du code des assurances :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lorsque le contrat d'assurance a pour objet de garantir, en cas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survenance d'un des risques que ce contrat définit, soit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remboursement total ou partiel du montant restant dû au titre d'un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contrat de crédit mentionné au 1° de l'article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hyperlink r:id="rId11" w:history="1">
          <w:r>
            <w:rPr>
              <w:rStyle w:val="Hyperlink"/>
            </w:rPr>
            <w:t xml:space="preserve"> L. 313-1 du code de la </w:t>
          </w:r>
        </w:hyperlink>
      </w:r>
      <w:r>
        <w:rPr>
          <w:rFonts w:ascii="Open Sans" w:hAnsi="Open Sans" w:eastAsia="Open Sans"/>
          <w:b w:val="0"/>
          <w:i w:val="0"/>
          <w:color w:val="000000"/>
          <w:sz w:val="16"/>
        </w:rPr>
        <w:hyperlink r:id="rId11" w:history="1">
          <w:r>
            <w:rPr>
              <w:rStyle w:val="Hyperlink"/>
            </w:rPr>
            <w:t>consommation,</w:t>
          </w:r>
        </w:hyperlink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soit le paiement de tout ou partie des échéances dudit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prêt, aucune information relative à l'état de santé ni aucun examen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médical de l'assuré ne peut être sollicité par l'assureur, sous réserve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respect de l'ensemble des conditions suivantes :°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1° La part assurée sur l'encours cumulé des contrats de crédit n'excède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pas 200 000 euros par assuré ;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2° L'échéance de remboursement du crédit contracté est antérieure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soixantième anniversaire de l'assuré. </w:t>
      </w:r>
    </w:p>
    <w:p>
      <w:pPr>
        <w:autoSpaceDN w:val="0"/>
        <w:autoSpaceDE w:val="0"/>
        <w:widowControl/>
        <w:spacing w:line="245" w:lineRule="auto" w:before="10" w:after="0"/>
        <w:ind w:left="108" w:right="156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Assuré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physique admise à l’assurance et sur la tête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laquelle repose l’assurance. Il peut être représentant d’une personne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morale, Emprunteur, Co-Emprunteur, Caution du prêt. </w:t>
      </w:r>
    </w:p>
    <w:p>
      <w:pPr>
        <w:autoSpaceDN w:val="0"/>
        <w:autoSpaceDE w:val="0"/>
        <w:widowControl/>
        <w:spacing w:line="245" w:lineRule="auto" w:before="10" w:after="0"/>
        <w:ind w:left="108" w:right="154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Bénéficiaire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L’établissement de crédit désigné dans le certificat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individuel d’adhésion qui percevra les prestations en cas de réalisation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risque. </w:t>
      </w:r>
    </w:p>
    <w:p>
      <w:pPr>
        <w:autoSpaceDN w:val="0"/>
        <w:autoSpaceDE w:val="0"/>
        <w:widowControl/>
        <w:spacing w:line="245" w:lineRule="auto" w:before="8" w:after="0"/>
        <w:ind w:left="108" w:right="152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Bon pour accord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Proposition d’assurance émise par la Mutuelle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précisant le montant du prêt garanti, la Quotité assurée, les garanties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accordées, les conditions tarifaires, les évènements faisant l’objet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réserve et les conditions particulières. Son retour daté et signé de la main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l’Assuré matérialise l’acceptation des conditions d’assurance par 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dernier. </w:t>
      </w:r>
    </w:p>
    <w:p>
      <w:pPr>
        <w:autoSpaceDN w:val="0"/>
        <w:autoSpaceDE w:val="0"/>
        <w:widowControl/>
        <w:spacing w:line="245" w:lineRule="auto" w:before="10" w:after="0"/>
        <w:ind w:left="108" w:right="11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Candidat à l’Assurance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physique ou représentant d’une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morale qui complète et signe une Demande Individuelle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 destinée à la Mutuelle. En cas d’accord d’assurance, 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obtiendra la qualité d’Assuré. </w:t>
      </w:r>
    </w:p>
    <w:p>
      <w:pPr>
        <w:autoSpaceDN w:val="0"/>
        <w:autoSpaceDE w:val="0"/>
        <w:widowControl/>
        <w:spacing w:line="245" w:lineRule="auto" w:before="8" w:after="0"/>
        <w:ind w:left="0" w:right="144" w:firstLine="0"/>
        <w:jc w:val="center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Caution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P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ersonne qui s’engage à garantir l’exécution de l’obligation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remboursement des mensualités du prêt par le (Co) Emprunteur en cas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défaut de paiement par celui-ci. </w:t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L’Assuré caution ne peut souscrire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qu’aux seules garanties Décès et Perte Totale et Irréversible d’Autonomi</w:t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e</w:t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 xml:space="preserve">.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Certificat Individuel d’Adhésion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Document remis à l’Assuré constatant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 adhésion au Contrat. Il matérialise l’acceptation du risque par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et précise : la Date d’effet de l’assurance, les prêts assurés, leurs </w:t>
      </w:r>
    </w:p>
    <w:p>
      <w:pPr>
        <w:sectPr>
          <w:type w:val="continuous"/>
          <w:pgSz w:w="11906" w:h="16838"/>
          <w:pgMar w:top="196" w:right="274" w:bottom="234" w:left="290" w:header="720" w:footer="720" w:gutter="0"/>
          <w:cols w:num="2" w:equalWidth="0">
            <w:col w:w="5688" w:space="0"/>
            <w:col w:w="565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6" w:right="138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Co-Emprunteur :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(les) personne(s) qui signe(nt) le(s) contrat(s) de prêt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avec l’Emprunteur. Elle(s) bénéficie(nt) du crédit au même titre que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l’Emprunteur et elles sont soumises aux mêmes obligations. </w:t>
      </w:r>
    </w:p>
    <w:p>
      <w:pPr>
        <w:autoSpaceDN w:val="0"/>
        <w:autoSpaceDE w:val="0"/>
        <w:widowControl/>
        <w:spacing w:line="245" w:lineRule="auto" w:before="10" w:after="0"/>
        <w:ind w:left="46" w:right="14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Conjoint :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Conjoint de l’Assuré au jour du décès, non séparé de corps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 jugement ayant force de chose jugée et, à défaut, le concubin notoire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déclaré comme tel par l’Assuré à la Mutuelle ou de la personne désignée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comme telle dans le cadre d’un PACS. </w:t>
      </w:r>
    </w:p>
    <w:p>
      <w:pPr>
        <w:autoSpaceDN w:val="0"/>
        <w:autoSpaceDE w:val="0"/>
        <w:widowControl/>
        <w:spacing w:line="245" w:lineRule="auto" w:before="8" w:after="0"/>
        <w:ind w:left="46" w:right="18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Consolidation </w:t>
      </w:r>
      <w:r>
        <w:rPr>
          <w:u w:val="single" w:color="0e1f6c"/>
          <w:rFonts w:ascii="Open Sans" w:hAnsi="Open Sans" w:eastAsia="Open Sans"/>
          <w:b/>
          <w:i w:val="0"/>
          <w:color w:val="0F206C"/>
          <w:sz w:val="16"/>
        </w:rPr>
        <w:t>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moment où les lésions se sont fixées et ont pris un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caractère permanent tel qu’un traitement n’est plus nécessaire si ce n’est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éviter une aggravation, et qu’il devient possible d’apprécier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l’existence éventuelle d’une atteinte permanente à l’intégrité physique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psychique de l’Assuré. </w:t>
      </w:r>
    </w:p>
    <w:p>
      <w:pPr>
        <w:autoSpaceDN w:val="0"/>
        <w:autoSpaceDE w:val="0"/>
        <w:widowControl/>
        <w:spacing w:line="245" w:lineRule="auto" w:before="10" w:after="0"/>
        <w:ind w:left="46" w:right="18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Convention AERAS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(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S’Assurer et Emprunter avec un Risque Aggravé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Santé) – Dispositif destiné à faciliter l’accès à l’assurance et à l’emprunt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personnes présentant un risque aggravé de santé. </w:t>
      </w:r>
    </w:p>
    <w:p>
      <w:pPr>
        <w:autoSpaceDN w:val="0"/>
        <w:autoSpaceDE w:val="0"/>
        <w:widowControl/>
        <w:spacing w:line="245" w:lineRule="auto" w:before="10" w:after="0"/>
        <w:ind w:left="46" w:right="138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Date d’effet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Date d’effet d’adhésion correspond à la date à partir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laquelle les garanties peuvent être mises en jeu. Elle est précisée sur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Certificat Individuel d’Adhésion remis à l’Assuré ou sur le dernier Certificat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Individuel d’Adhésion avenant. </w:t>
      </w:r>
    </w:p>
    <w:p>
      <w:pPr>
        <w:autoSpaceDN w:val="0"/>
        <w:autoSpaceDE w:val="0"/>
        <w:widowControl/>
        <w:spacing w:line="245" w:lineRule="auto" w:before="10" w:after="0"/>
        <w:ind w:left="46" w:right="18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Contrat </w:t>
      </w:r>
      <w:r>
        <w:rPr>
          <w:u w:val="single" w:color="0e1f6c"/>
          <w:rFonts w:ascii="Open Sans" w:hAnsi="Open Sans" w:eastAsia="Open Sans"/>
          <w:b/>
          <w:i w:val="0"/>
          <w:color w:val="0F206C"/>
          <w:sz w:val="16"/>
        </w:rPr>
        <w:t xml:space="preserve">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L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 Contrat est formé par l’acceptation de l’Assuré des statuts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Mutuelle, des conditions générales reprises dans la notice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d’information et éventuellement des conditions particulières présentées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dans le Bon pour accord.</w:t>
      </w:r>
    </w:p>
    <w:p>
      <w:pPr>
        <w:autoSpaceDN w:val="0"/>
        <w:autoSpaceDE w:val="0"/>
        <w:widowControl/>
        <w:spacing w:line="245" w:lineRule="auto" w:before="8" w:after="0"/>
        <w:ind w:left="46" w:right="18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Demande Individuelle d’Adhésion (DIA)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Document fourni par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complété et signé par le Candidat à l’Assurance afin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formaliser sa demande d’adhésion au Contrat. </w:t>
      </w:r>
    </w:p>
    <w:p>
      <w:pPr>
        <w:autoSpaceDN w:val="0"/>
        <w:autoSpaceDE w:val="0"/>
        <w:widowControl/>
        <w:spacing w:line="245" w:lineRule="auto" w:before="8" w:after="0"/>
        <w:ind w:left="46" w:right="182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Dos et Psy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L’option DOS et PSY permet à l’assuré d’être couvert en cas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d’ITT, d’IPT ou d’IPP résultant d’une atteinte discale et / ou vertébrale et /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radiculaire ou résultant d’une affection psychiatrique. La liste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pathologies couvertes est précisée à l’article 9.3. </w:t>
      </w:r>
    </w:p>
    <w:p>
      <w:pPr>
        <w:autoSpaceDN w:val="0"/>
        <w:autoSpaceDE w:val="0"/>
        <w:widowControl/>
        <w:spacing w:line="245" w:lineRule="auto" w:before="8" w:after="0"/>
        <w:ind w:left="46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Emprunteur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physique ou morale qui a signé la demande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prêt. </w:t>
      </w:r>
    </w:p>
    <w:p>
      <w:pPr>
        <w:autoSpaceDN w:val="0"/>
        <w:autoSpaceDE w:val="0"/>
        <w:widowControl/>
        <w:spacing w:line="245" w:lineRule="auto" w:before="8" w:after="0"/>
        <w:ind w:left="46" w:right="178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Franchise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Nombre minimum de jours consécutifs d’arrêt de travail,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choisi par le Candidat à l’Assurance (30, 60, 90, 120 ou 180 jours)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figurant sur le Certificat Individuel d’Adhésion ou sur le dernier Certificat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Individuel d’Adhésion avenant, au-delà duquel une indemnisation est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possible au titre de la garantie Incapacité Temporaire Totale et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garanties Invalidité.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Les personnes sans activité ou ne résidant pas en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France continentale sont éligibles uniquement aux Franchises 90,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120 ou 180 jours. Le choix de la Franchise est le même pour toutes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les garanties.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10" w:after="0"/>
        <w:ind w:left="46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Inactif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Assuré n’exerçant pas d’activité professionnelle rémunérée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fiscalement déclarée. </w:t>
      </w:r>
    </w:p>
    <w:p>
      <w:pPr>
        <w:autoSpaceDN w:val="0"/>
        <w:autoSpaceDE w:val="0"/>
        <w:widowControl/>
        <w:spacing w:line="245" w:lineRule="auto" w:before="10" w:after="540"/>
        <w:ind w:left="46" w:right="178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Incapacité Temporaire Totale (ITT)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est reconnu en état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d’Incapacité Temporaire Totale, si à la suite d’une Maladie ou d’un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Accident, il se trouve temporairement dans l’impossibilité physique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mentale totale et continue, médicalement constatée d’exercer, même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temps partiel, la profession pratiquée au jour du Sinistre. </w:t>
      </w:r>
    </w:p>
    <w:p>
      <w:pPr>
        <w:sectPr>
          <w:type w:val="nextColumn"/>
          <w:pgSz w:w="11906" w:h="16838"/>
          <w:pgMar w:top="196" w:right="274" w:bottom="234" w:left="290" w:header="720" w:footer="720" w:gutter="0"/>
          <w:cols w:num="2" w:equalWidth="0">
            <w:col w:w="5688" w:space="0"/>
            <w:col w:w="565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3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V0124 est assuré et géré par la MNCAP - Mutuelle régie par les dispositions du Livre II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Code de la Mutualité - Enregistrée au Répertoire SIRENE sous le n° 391 398 351 - Contrôlée par l’Autorité de Contrôle Prudentiel et de Résolution –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Siège social : 5 rue Dosne 75116 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8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V0124 est distribué par la Société ZENIOO – société par actions simplifiée au capital de 1 267 431 € - Immatriculée au RCS de Lyon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 le numéro 884 782 582 – Courtier d’assurance inscrit à l’ORIAS sous le numéro 20005879 - Siège social : 6 Cours André Philip - 69100 Villeurbanne. </w:t>
      </w:r>
    </w:p>
    <w:p>
      <w:pPr>
        <w:autoSpaceDN w:val="0"/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20240521_ZENIOO0124_NI </w:t>
      </w:r>
    </w:p>
    <w:p>
      <w:pPr>
        <w:sectPr>
          <w:type w:val="continuous"/>
          <w:pgSz w:w="11906" w:h="16838"/>
          <w:pgMar w:top="196" w:right="274" w:bottom="234" w:left="2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48" w:val="left"/>
        </w:tabs>
        <w:autoSpaceDE w:val="0"/>
        <w:widowControl/>
        <w:spacing w:line="240" w:lineRule="auto" w:before="0" w:after="0"/>
        <w:ind w:left="2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80"/>
        <w:sectPr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n’exerçant pas d’activité professionnelle au jour du Sinistre est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considéré en état d’Incapacité Temporaire Totale, s’il est temporairement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contraint, à la suite à d’une Maladie ou d’un Accident garanti(e), d’observer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prescription médicale, un repos complet et continu à son domicile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centre de soins, l’obligeant à interrompre toutes ses occupations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quotidiennes (notamment travaux domestiques et gestion des affaires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76" w:space="0"/>
            <w:col w:w="573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0" w:right="262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Vente à distance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Système organisé de commercialisation utilisant 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plusieurs techniques de communication à distance jusqu’à, et y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compris, la conclusion de l’adhésion. </w:t>
      </w:r>
    </w:p>
    <w:p>
      <w:pPr>
        <w:autoSpaceDN w:val="0"/>
        <w:autoSpaceDE w:val="0"/>
        <w:widowControl/>
        <w:spacing w:line="245" w:lineRule="auto" w:before="226" w:after="10"/>
        <w:ind w:left="5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ARTICLE 2 - BASE JURIDIQUE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notice d’information est régie par le Code de la Mutualité et la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76" w:space="0"/>
            <w:col w:w="573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familiales et personnelles). L’incapacité doit être temporaire et totale et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législation en vigueur. </w:t>
      </w:r>
    </w:p>
    <w:p>
      <w:pPr>
        <w:autoSpaceDN w:val="0"/>
        <w:autoSpaceDE w:val="0"/>
        <w:widowControl/>
        <w:spacing w:line="233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reconnue par une autorité médicale compétente. La Mutuelle se réservera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droit de mandater une expertise médicale. </w:t>
      </w:r>
    </w:p>
    <w:p>
      <w:pPr>
        <w:autoSpaceDN w:val="0"/>
        <w:autoSpaceDE w:val="0"/>
        <w:widowControl/>
        <w:spacing w:line="245" w:lineRule="auto" w:before="10" w:after="0"/>
        <w:ind w:left="0" w:right="10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Invalidité Permanente Partielle (IPP) :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est reconnu en état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d’Invalidité Permanente Partielle, à la suite d’une Maladie ou d’un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Accident garanti(e) survenu(e) postérieurement à la prise d’effet des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3 - OBJET DE L’ASSURANCE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 réserve d’acceptation par la Mutuelle, la notice d’information a pour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objet de garantir les personnes physiques, les représentants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personnes morales, adhérant à la Mutuelle, Emprunteur, Co-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Emprunteur, Caution d’un ou plusieurs prêt(s) avant remboursement </w:t>
      </w:r>
    </w:p>
    <w:p>
      <w:pPr>
        <w:autoSpaceDN w:val="0"/>
        <w:tabs>
          <w:tab w:pos="5626" w:val="left"/>
        </w:tabs>
        <w:autoSpaceDE w:val="0"/>
        <w:widowControl/>
        <w:spacing w:line="230" w:lineRule="auto" w:before="1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S’il se trouve dans l’impossibilité physique ou mentale, définitive et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intégral contre les risques : </w:t>
      </w:r>
    </w:p>
    <w:p>
      <w:pPr>
        <w:autoSpaceDN w:val="0"/>
        <w:tabs>
          <w:tab w:pos="5626" w:val="left"/>
        </w:tabs>
        <w:autoSpaceDE w:val="0"/>
        <w:widowControl/>
        <w:spacing w:line="230" w:lineRule="auto" w:before="10" w:after="0"/>
        <w:ind w:left="14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permanente, médicalement constatée, d’exercer toute ou partie de la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Garanties obligatoires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: </w:t>
      </w:r>
    </w:p>
    <w:p>
      <w:pPr>
        <w:autoSpaceDN w:val="0"/>
        <w:tabs>
          <w:tab w:pos="5626" w:val="left"/>
        </w:tabs>
        <w:autoSpaceDE w:val="0"/>
        <w:widowControl/>
        <w:spacing w:line="233" w:lineRule="auto" w:before="8" w:after="10"/>
        <w:ind w:left="14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 pratiquée au jour du Sinistre ou toutes ses occupations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Décès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tabs>
          <w:tab w:pos="140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habituelles (notamment travaux domestiques et gestion des affaires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familiales et personnelles) si l’Assuré est sans activité professionnelle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moment du Sinistre ;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et s’il lui est reconnu sur la base du barème croisé prévu au contrat par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Médecin-Expert désigné par la Mutuelle, un taux global d’invalidité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« N » compris entre 33% et 66%. </w:t>
      </w:r>
    </w:p>
    <w:p>
      <w:pPr>
        <w:autoSpaceDN w:val="0"/>
        <w:tabs>
          <w:tab w:pos="140" w:val="left"/>
        </w:tabs>
        <w:autoSpaceDE w:val="0"/>
        <w:widowControl/>
        <w:spacing w:line="245" w:lineRule="auto" w:before="8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Invalidité Permanente Totale (IPT)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L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’Assuré est reconnu en état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d’Invalidité Permanente Totale, à la suite d’une Maladie ou d’un Accident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garanti(e) survenu(e) postérieurement à la prise d’effet des garanties : </w:t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S’il se trouve dans l’impossibilité physique ou mentale, totale et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définitive, médicalement constatée, d’exercer la profession pratiquée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jour du Sinistre (ou toutes ses occupations habituelles (notamment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travaux domestiques et gestion des affaires familiales et personnelles)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 l’Assuré est sans activité professionnelle au moment du Sinistre) ; </w:t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et s’il lui est reconnu sur la base du barème croisé prévu au contrat par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Médecin-Expert désigné par la Mutuelle, un taux d’invalidité « N » au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8" w:space="0"/>
            <w:col w:w="578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98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Perte Totale et Irréversible d’Autonomie (PTIA). </w:t>
      </w:r>
    </w:p>
    <w:p>
      <w:pPr>
        <w:autoSpaceDN w:val="0"/>
        <w:autoSpaceDE w:val="0"/>
        <w:widowControl/>
        <w:spacing w:line="245" w:lineRule="auto" w:before="8" w:after="0"/>
        <w:ind w:left="98" w:right="2736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Garanties optionnelles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: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Incapacité Temporaire Totale (ITT)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Invalidité Permanente Totale (IPT)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Invalidité Permanente Partielle (IPP) </w:t>
      </w:r>
    </w:p>
    <w:p>
      <w:pPr>
        <w:autoSpaceDN w:val="0"/>
        <w:autoSpaceDE w:val="0"/>
        <w:widowControl/>
        <w:spacing w:line="245" w:lineRule="auto" w:before="226" w:after="0"/>
        <w:ind w:left="98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ITT, IPT ou IPP peuvent couvrir les risques  d’une atteinte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discale et / ou vertébrale et / ou radiculaire ou résultant d’une affection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psychiatrique, sans condition d’intervention chirurgicale ou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d’hospitalisation, en souscrivant l’option DOS et PSY, dont le périmètre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est définie par la Mutuelle après sélection médicale et proposition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tarifaire adaptée à la situation personnelle de l’assuré. </w:t>
      </w:r>
    </w:p>
    <w:p>
      <w:pPr>
        <w:autoSpaceDN w:val="0"/>
        <w:autoSpaceDE w:val="0"/>
        <w:widowControl/>
        <w:spacing w:line="245" w:lineRule="auto" w:before="10" w:after="0"/>
        <w:ind w:left="98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optionnelles ne peuvent être souscrites que si le Candidat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l’Assurance a souscrit les garanties Décès et PTIA. </w:t>
      </w:r>
    </w:p>
    <w:p>
      <w:pPr>
        <w:autoSpaceDN w:val="0"/>
        <w:autoSpaceDE w:val="0"/>
        <w:widowControl/>
        <w:spacing w:line="233" w:lineRule="auto" w:before="226" w:after="10"/>
        <w:ind w:left="9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Ces garanties sont définies à l’article 9 de la présente notice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8" w:space="0"/>
            <w:col w:w="5786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0" w:lineRule="auto" w:before="0" w:after="0"/>
        <w:ind w:left="14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moins égal à 66%.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d’information. </w:t>
      </w:r>
    </w:p>
    <w:p>
      <w:pPr>
        <w:autoSpaceDN w:val="0"/>
        <w:autoSpaceDE w:val="0"/>
        <w:widowControl/>
        <w:spacing w:line="233" w:lineRule="auto" w:before="10" w:after="8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Maladie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altération de l’état de santé d’origine non accidentelle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>constatée par une autorité médicale autre que l’Assuré ou l’Adhérent lui-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même ou un membre de sa famille et qui nécessite un traitement médical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une intervention chirurgicale. </w:t>
      </w:r>
    </w:p>
    <w:p>
      <w:pPr>
        <w:autoSpaceDN w:val="0"/>
        <w:tabs>
          <w:tab w:pos="140" w:val="left"/>
        </w:tabs>
        <w:autoSpaceDE w:val="0"/>
        <w:widowControl/>
        <w:spacing w:line="245" w:lineRule="auto" w:before="1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Perte Totale et Irréversible d’Autonomie </w:t>
      </w:r>
      <w:r>
        <w:rPr>
          <w:u w:val="single" w:color="0e1f6c"/>
          <w:rFonts w:ascii="Open Sans" w:hAnsi="Open Sans" w:eastAsia="Open Sans"/>
          <w:b/>
          <w:i w:val="0"/>
          <w:color w:val="0F206C"/>
          <w:sz w:val="16"/>
        </w:rPr>
        <w:t xml:space="preserve">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L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’Assuré est reconnu en état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Perte Totale et Irréversible d’Autonomie, à la suite d’une Maladie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 Accident garanti(e) survenu(e) postérieurement à la prise d’effet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: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S’il se trouve dans l’impossibilité physique ou mentale définitive et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permanente, médicalement constaté(e) de se livrer à la moindre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occupation, ni au moindre travail lui procurant gain ou profit, et </w:t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S’il se trouve dans l’obligation définitive d’avoir recours à l’assistance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viagère d’une tierce personne pour accomplir les actes ordinaires de la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vie (se laver, se vêtir, se nourrir, se déplacer). </w:t>
      </w:r>
    </w:p>
    <w:p>
      <w:pPr>
        <w:autoSpaceDN w:val="0"/>
        <w:autoSpaceDE w:val="0"/>
        <w:widowControl/>
        <w:spacing w:line="245" w:lineRule="auto" w:before="8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Personne sans activité professionnelle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Sont considérées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personnes sans activité professionnelle effective, les Chômeurs,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Inactifs, les personnes en congé parental, à la retraite ou en pré-retraite.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Quotité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Niveau de la garantie couverte pour l’Assuré, exprimée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pourcentage du capital restant dû, précisée au Certificat Individuel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 ou sur le dernier Certificat Individuel d’Adhésion avenant,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garanties Décès / Perte Totale et Irréversible d’Autonomie /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Invalidité Permanente Totale, et de la mensualité pour les garanties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Incapacité Temporaire Totale / Invalidité Permanente Partielle. </w:t>
      </w:r>
    </w:p>
    <w:p>
      <w:pPr>
        <w:autoSpaceDN w:val="0"/>
        <w:autoSpaceDE w:val="0"/>
        <w:widowControl/>
        <w:spacing w:line="245" w:lineRule="auto" w:before="10" w:after="0"/>
        <w:ind w:left="0" w:right="10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Rechute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Reprise d’un état pathologique intervenant après une guérison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une Consolidation apparente et donnant lieu à un nouvel arrêt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travail. L’imputation à la pathologie initiale doit être médicalement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sont proposées par type de prêts, par territorialité et dans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conditions précisées ci-après et à l’article 9. </w:t>
      </w:r>
    </w:p>
    <w:p>
      <w:pPr>
        <w:autoSpaceDN w:val="0"/>
        <w:autoSpaceDE w:val="0"/>
        <w:widowControl/>
        <w:spacing w:line="245" w:lineRule="auto" w:before="228" w:after="0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Seules les personnes en activité résidant en France continentale peuvent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souscrire à toutes les garanties. </w:t>
      </w:r>
    </w:p>
    <w:p>
      <w:pPr>
        <w:autoSpaceDN w:val="0"/>
        <w:autoSpaceDE w:val="0"/>
        <w:widowControl/>
        <w:spacing w:line="245" w:lineRule="auto" w:before="444" w:after="0"/>
        <w:ind w:left="100" w:right="260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personnes sans activité professionnelle et résidant en France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continentale ne peuvent pas souscrire à l’IPP et opter pour les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franchises 30 et 60 jours. </w:t>
      </w:r>
    </w:p>
    <w:p>
      <w:pPr>
        <w:autoSpaceDN w:val="0"/>
        <w:autoSpaceDE w:val="0"/>
        <w:widowControl/>
        <w:spacing w:line="245" w:lineRule="auto" w:before="226" w:after="0"/>
        <w:ind w:left="100" w:right="258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personnes en activité résidant en Corse ou dans les DROM (hors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Mayotte et Guyane) ne peuvent pas souscrire à l’IPP et opter pour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franchises 30 et 60 jours. </w:t>
      </w:r>
    </w:p>
    <w:p>
      <w:pPr>
        <w:autoSpaceDN w:val="0"/>
        <w:autoSpaceDE w:val="0"/>
        <w:widowControl/>
        <w:spacing w:line="245" w:lineRule="auto" w:before="444" w:after="0"/>
        <w:ind w:left="100" w:right="258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personnes résidant en Corse ou les personnes sans activité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résidant dans les DROM (hors Mayotte et Guyane) sont uniquement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éligibles aux garanties Décès et PTIA. </w:t>
      </w:r>
    </w:p>
    <w:p>
      <w:pPr>
        <w:autoSpaceDN w:val="0"/>
        <w:autoSpaceDE w:val="0"/>
        <w:widowControl/>
        <w:spacing w:line="245" w:lineRule="auto" w:before="228" w:after="0"/>
        <w:ind w:left="100" w:right="258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personnes ne résidant pas en France ou résidant à Mayotte, en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Guyane ou dans les COM et territoires français à statut particulier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ne sont pas éligibles aux garanties du présent contrat. </w:t>
      </w:r>
    </w:p>
    <w:p>
      <w:pPr>
        <w:autoSpaceDN w:val="0"/>
        <w:autoSpaceDE w:val="0"/>
        <w:widowControl/>
        <w:spacing w:line="230" w:lineRule="auto" w:before="228" w:after="8"/>
        <w:ind w:left="10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Lorsque l’assurance est consentie à des conditions particulières,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constatée.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seules sont accordées à l’Assuré les garanties mentionnées sur le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Sinistre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Evènement susceptible de mettre en œuvre l’une ou l’autre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prévues par le Contrat.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4" w:space="0"/>
            <w:col w:w="5790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638"/>
        <w:ind w:left="102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Bon pour Accord qui lui est adressé par la Mutuelle.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4" w:space="0"/>
            <w:col w:w="579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V0124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10" w:after="0"/>
        <w:ind w:left="0" w:right="21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V0124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6 Cours André Philip - 69100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Villeurbanne. 20240521_ZENIOO0124_NI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48" w:val="left"/>
        </w:tabs>
        <w:autoSpaceDE w:val="0"/>
        <w:widowControl/>
        <w:spacing w:line="240" w:lineRule="auto" w:before="0" w:after="0"/>
        <w:ind w:left="2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80"/>
        <w:sectPr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Quotités assurées au titre des garanties optionnelles IPT, ITT et IPP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doivent être identiques. Elles peuvent être inférieures et au plus égales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Quotité assurée au titre de la garantie Décès – PTIA.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tabs>
          <w:tab w:pos="242" w:val="left"/>
        </w:tabs>
        <w:autoSpaceDE w:val="0"/>
        <w:widowControl/>
        <w:spacing w:line="245" w:lineRule="auto" w:before="0" w:after="10"/>
        <w:ind w:left="100" w:right="144" w:firstLine="0"/>
        <w:jc w:val="left"/>
      </w:pP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DROM. Pour tout candidat résidant dans un autre pays, une dérogation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peut être demandée à la Mutuelle,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Avoir satisfait aux formalités de sélection des risques, Avoir un compte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domicilié en France sur lequel les cotisations sont prélevées.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8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Le total des capitaux assurés au titre de la notice d’information, pour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0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un même Assuré, ne peut en aucun cas excéder 10 000 000€, quel que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soit le nombre et la nature des prêts assurés. Les affaires portant sur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des montants plus importants pourront être soumises à la Mutuelle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76" w:space="0"/>
            <w:col w:w="573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50" w:right="2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demandes d’adhésion qui entrent dans le champ d’application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l’article L.-113-2-1 du code des assurances sont soumises à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d’adhésion supplémentaires :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76" w:space="0"/>
            <w:col w:w="573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71"/>
        <w:gridCol w:w="3771"/>
        <w:gridCol w:w="3771"/>
      </w:tblGrid>
      <w:tr>
        <w:trPr>
          <w:trHeight w:hRule="exact" w:val="214"/>
        </w:trPr>
        <w:tc>
          <w:tcPr>
            <w:tcW w:type="dxa" w:w="41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pour accord dérogatoire.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 Candidat à l’Assurance doit être âgé à la date d’effet des </w:t>
            </w:r>
          </w:p>
        </w:tc>
      </w:tr>
    </w:tbl>
    <w:p>
      <w:pPr>
        <w:autoSpaceDN w:val="0"/>
        <w:autoSpaceDE w:val="0"/>
        <w:widowControl/>
        <w:spacing w:line="233" w:lineRule="auto" w:before="4" w:after="4"/>
        <w:ind w:left="0" w:right="262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d’au moins 18 ans et de moins de 51 ans pour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71"/>
        <w:gridCol w:w="3771"/>
        <w:gridCol w:w="3771"/>
      </w:tblGrid>
      <w:tr>
        <w:trPr>
          <w:trHeight w:hRule="exact" w:val="216"/>
        </w:trPr>
        <w:tc>
          <w:tcPr>
            <w:tcW w:type="dxa" w:w="59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Le total des mensualités couvertes au titre de la notice d’information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2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l’adhésion à toutes les garanties </w:t>
            </w:r>
          </w:p>
        </w:tc>
      </w:tr>
      <w:tr>
        <w:trPr>
          <w:trHeight w:hRule="exact" w:val="196"/>
        </w:trPr>
        <w:tc>
          <w:tcPr>
            <w:tcW w:type="dxa" w:w="59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pour un même Assuré ne peut excéder 15 000€ quel que soit le </w:t>
            </w:r>
          </w:p>
        </w:tc>
        <w:tc>
          <w:tcPr>
            <w:tcW w:type="dxa" w:w="3771"/>
            <w:vMerge/>
            <w:tcBorders/>
          </w:tcPr>
          <w:p/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Le Candidat à l’Assurance ne doit pas être une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nombre de prêt et la nature des prêts assurés. Les affaires portant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sur des montants plus importants pourront être soumises à la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6116" w:space="0"/>
            <w:col w:w="51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0"/>
        <w:ind w:left="576" w:right="144" w:firstLine="0"/>
        <w:jc w:val="center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Personne sans activité Professionnelle, ni en arrêt de </w:t>
      </w:r>
      <w:r>
        <w:rPr>
          <w:rFonts w:ascii="Open Sans" w:hAnsi="Open Sans" w:eastAsia="Open Sans"/>
          <w:b/>
          <w:i w:val="0"/>
          <w:color w:val="000000"/>
          <w:sz w:val="16"/>
        </w:rPr>
        <w:t>travail, ni en invalidité, à la Date d’effet des garanties.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6116" w:space="0"/>
            <w:col w:w="519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71"/>
        <w:gridCol w:w="3771"/>
        <w:gridCol w:w="3771"/>
      </w:tblGrid>
      <w:tr>
        <w:trPr>
          <w:trHeight w:hRule="exact" w:val="190"/>
        </w:trPr>
        <w:tc>
          <w:tcPr>
            <w:tcW w:type="dxa" w:w="45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Mutuelle pour accord dérogatoire.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 Candidat réside fiscalement en France Continentale.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226"/>
        <w:ind w:left="0" w:right="0"/>
      </w:pP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demandes d’adhésion qui entrent dans le champ d’application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l’article L.-113-2-1 du code des assurances sont soumises à des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demandes d’adhésion dont le capital assuré atteint au moins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1 800 000€, l’assuré est soumis à des formalités de sélection des risques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particulières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financiers impliquant la réponse à des questionnaires et la fourniture de </w:t>
      </w:r>
    </w:p>
    <w:p>
      <w:pPr>
        <w:autoSpaceDN w:val="0"/>
        <w:tabs>
          <w:tab w:pos="360" w:val="left"/>
          <w:tab w:pos="5626" w:val="left"/>
        </w:tabs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franchises inférieures à 90 jours ne sont pas ouvertes à la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document financier en fonction de l’objet du prêt. </w:t>
      </w:r>
    </w:p>
    <w:p>
      <w:pPr>
        <w:autoSpaceDN w:val="0"/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souscription. </w:t>
      </w:r>
    </w:p>
    <w:p>
      <w:pPr>
        <w:autoSpaceDN w:val="0"/>
        <w:autoSpaceDE w:val="0"/>
        <w:widowControl/>
        <w:spacing w:line="233" w:lineRule="auto" w:before="226" w:after="8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4 – PRÊTS ASSURABLES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notice d’information couvre les prêts énumérés ci-après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Prêts immobiliers avec ou sans différé à taux fixe ou à taux variable :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456" w:space="0"/>
            <w:col w:w="585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0"/>
        <w:ind w:left="17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adhésions sont reçues à l’aide d’une Demande Individuelle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 mise à la disposition des Candidats à l’Assurance par la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456" w:space="0"/>
            <w:col w:w="585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71"/>
        <w:gridCol w:w="3771"/>
        <w:gridCol w:w="3771"/>
      </w:tblGrid>
      <w:tr>
        <w:trPr>
          <w:trHeight w:hRule="exact" w:val="204"/>
        </w:trPr>
        <w:tc>
          <w:tcPr>
            <w:tcW w:type="dxa" w:w="17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38" w:after="0"/>
              <w:ind w:left="0" w:right="242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16"/>
              </w:rPr>
              <w:t>o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Amortissables, 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36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Mutuelle. La signature de cet imprimé matérialise la demande d’adhésion </w:t>
            </w:r>
          </w:p>
        </w:tc>
      </w:tr>
      <w:tr>
        <w:trPr>
          <w:trHeight w:hRule="exact" w:val="214"/>
        </w:trPr>
        <w:tc>
          <w:tcPr>
            <w:tcW w:type="dxa" w:w="17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52" w:after="0"/>
              <w:ind w:left="0" w:right="242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16"/>
              </w:rPr>
              <w:t>o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Relais, </w:t>
            </w:r>
          </w:p>
        </w:tc>
        <w:tc>
          <w:tcPr>
            <w:tcW w:type="dxa" w:w="6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36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à la Mutuelle. </w:t>
            </w:r>
          </w:p>
        </w:tc>
      </w:tr>
      <w:tr>
        <w:trPr>
          <w:trHeight w:hRule="exact" w:val="122"/>
        </w:trPr>
        <w:tc>
          <w:tcPr>
            <w:tcW w:type="dxa" w:w="17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56" w:after="0"/>
              <w:ind w:left="0" w:right="242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16"/>
              </w:rPr>
              <w:t>o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In fine, </w:t>
            </w:r>
          </w:p>
        </w:tc>
        <w:tc>
          <w:tcPr>
            <w:tcW w:type="dxa" w:w="3771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771"/>
            <w:vMerge/>
            <w:tcBorders/>
          </w:tcPr>
          <w:p/>
        </w:tc>
        <w:tc>
          <w:tcPr>
            <w:tcW w:type="dxa" w:w="3771"/>
            <w:vMerge/>
            <w:tcBorders/>
          </w:tcPr>
          <w:p/>
        </w:tc>
        <w:tc>
          <w:tcPr>
            <w:tcW w:type="dxa" w:w="6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136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demandes d’adhésion qui entrent dans le champ d’application de </w:t>
            </w:r>
          </w:p>
        </w:tc>
      </w:tr>
      <w:tr>
        <w:trPr>
          <w:trHeight w:hRule="exact" w:val="188"/>
        </w:trPr>
        <w:tc>
          <w:tcPr>
            <w:tcW w:type="dxa" w:w="17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6" w:after="0"/>
              <w:ind w:left="0" w:right="242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16"/>
              </w:rPr>
              <w:t>o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 taux zéro, </w:t>
            </w:r>
          </w:p>
        </w:tc>
        <w:tc>
          <w:tcPr>
            <w:tcW w:type="dxa" w:w="377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7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Prêts professionnels, </w:t>
            </w:r>
          </w:p>
        </w:tc>
        <w:tc>
          <w:tcPr>
            <w:tcW w:type="dxa" w:w="3771"/>
            <w:vMerge/>
            <w:tcBorders/>
          </w:tcPr>
          <w:p/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36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l’article L.-113-2-1 du code des assurances ne sont pas subordonnées aux </w:t>
            </w:r>
          </w:p>
        </w:tc>
      </w:tr>
      <w:tr>
        <w:trPr>
          <w:trHeight w:hRule="exact" w:val="240"/>
        </w:trPr>
        <w:tc>
          <w:tcPr>
            <w:tcW w:type="dxa" w:w="17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Prêts personnels. </w:t>
            </w:r>
          </w:p>
        </w:tc>
        <w:tc>
          <w:tcPr>
            <w:tcW w:type="dxa" w:w="3771"/>
            <w:vMerge/>
            <w:tcBorders/>
          </w:tcPr>
          <w:p/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36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formalités de sélection des risques liées à la collecte d’information de </w:t>
            </w:r>
          </w:p>
        </w:tc>
      </w:tr>
    </w:tbl>
    <w:p>
      <w:pPr>
        <w:autoSpaceDN w:val="0"/>
        <w:autoSpaceDE w:val="0"/>
        <w:widowControl/>
        <w:spacing w:line="233" w:lineRule="auto" w:before="2" w:after="0"/>
        <w:ind w:left="0" w:right="5194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santé. </w:t>
      </w:r>
    </w:p>
    <w:p>
      <w:pPr>
        <w:autoSpaceDN w:val="0"/>
        <w:autoSpaceDE w:val="0"/>
        <w:widowControl/>
        <w:spacing w:line="230" w:lineRule="auto" w:before="10" w:after="1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durée des prêts assurée est limitée à 30 ans ( 360 mois) y compris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différé éventuel (limité à 36 mois), hormis  les prêts relais qui sont limités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3 ans (36 mois) y compris différé éventuel, 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précisé que le prêt est libellé en euros et rédigé en français,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souscrit auprès d’un organisme bancaire situé en France Continentale, en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8" w:space="0"/>
            <w:col w:w="57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98" w:right="25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tous les autres cas, l’admission est subordonnée, en fonction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capitaux à garantir et/ou à l’âge du Candidat à l’Assurance, à la réalisation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formalités de sélection des risques en vigueur à l’adhésion. Pour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besoins de la sélection médicale, le prêt relais n’est pas pris en compte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montant des capitaux à garantir jusqu’à 300 000€ et s’il est adossé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8" w:space="0"/>
            <w:col w:w="5786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22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Corse ou dans les DROM (hors Mayotte et Guyane).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un prêt principal.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capital minimum assuré est 17 000€. </w:t>
      </w:r>
    </w:p>
    <w:p>
      <w:pPr>
        <w:autoSpaceDN w:val="0"/>
        <w:autoSpaceDE w:val="0"/>
        <w:widowControl/>
        <w:spacing w:line="245" w:lineRule="auto" w:before="226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demandes d’adhésion qui entrent dans le champ d’application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l’article L.-113-2-1 du code des assurances sont soumises à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supplémentaires :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25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d’adhésion effective, de refus ou d’acceptation avec restriction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et/ou majoration de cotisations de la part de la Mutuelle,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frais d’examens médicaux engagés par le Candidat à l’Assurance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seront pris en charge directement par la Mutuelle si les examens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sont réalisés dans un centre de santé agréé par la Mutuelle et, dans tous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2.0" w:type="dxa"/>
      </w:tblPr>
      <w:tblGrid>
        <w:gridCol w:w="3771"/>
        <w:gridCol w:w="3771"/>
        <w:gridCol w:w="3771"/>
      </w:tblGrid>
      <w:tr>
        <w:trPr>
          <w:trHeight w:hRule="exact" w:val="20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 bien objet du financement doit être la résidence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autres cas, seront remboursés sur présentation des factures </w:t>
            </w:r>
          </w:p>
        </w:tc>
      </w:tr>
      <w:tr>
        <w:trPr>
          <w:trHeight w:hRule="exact" w:val="226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2" w:after="0"/>
              <w:ind w:left="0" w:right="1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5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principale à l’exclusion de tout autre motif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originales des examens médicaux dans les limites des remboursements </w:t>
            </w:r>
          </w:p>
        </w:tc>
      </w:tr>
      <w:tr>
        <w:trPr>
          <w:trHeight w:hRule="exact" w:val="196"/>
        </w:trPr>
        <w:tc>
          <w:tcPr>
            <w:tcW w:type="dxa" w:w="3771"/>
            <w:vMerge/>
            <w:tcBorders/>
          </w:tcPr>
          <w:p/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S’il s’agit d’une demande de substitution d’assurance d’un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indiqués sur le document des formalités médicales pour l’adhésion. En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8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 en cours, il doit s’agir d’une assurance du groupe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bancaire qui a accordé le prêt </w:t>
      </w:r>
    </w:p>
    <w:p>
      <w:pPr>
        <w:autoSpaceDN w:val="0"/>
        <w:autoSpaceDE w:val="0"/>
        <w:widowControl/>
        <w:spacing w:line="230" w:lineRule="auto" w:before="226" w:after="0"/>
        <w:ind w:left="0" w:right="0" w:firstLine="0"/>
        <w:jc w:val="center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5 – CONDITIONS D’ADHÉSION EN VUE DE L’ADMISSIO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N A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56" w:space="0"/>
            <w:col w:w="575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70" w:right="2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revanche, le Candidat à l’Assurance ou l’Assuré supportera les honoraires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d’examens lorsque ces derniers n’auront pas été sollicités par la Mutuelle,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lorsqu’il ne donne pas suite à un accord d’assurance émis par la Mutuelle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sans restriction et/ou majoration et en cas de renonciation de sa part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56" w:space="0"/>
            <w:col w:w="575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L’ASSURANCE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après la signature du Certificat Individuel d’Adhésion, sauf si cette </w:t>
      </w:r>
    </w:p>
    <w:p>
      <w:pPr>
        <w:autoSpaceDN w:val="0"/>
        <w:tabs>
          <w:tab w:pos="5626" w:val="left"/>
        </w:tabs>
        <w:autoSpaceDE w:val="0"/>
        <w:widowControl/>
        <w:spacing w:line="230" w:lineRule="auto" w:before="1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 Candidat à l’Assurance doit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renonciation fait suite à un refus de la banque. </w:t>
      </w:r>
    </w:p>
    <w:p>
      <w:pPr>
        <w:autoSpaceDN w:val="0"/>
        <w:autoSpaceDE w:val="0"/>
        <w:widowControl/>
        <w:spacing w:line="233" w:lineRule="auto" w:before="1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Être âgé à la date d’effet des garanties : </w:t>
      </w:r>
    </w:p>
    <w:p>
      <w:pPr>
        <w:autoSpaceDN w:val="0"/>
        <w:tabs>
          <w:tab w:pos="708" w:val="left"/>
          <w:tab w:pos="5626" w:val="left"/>
        </w:tabs>
        <w:autoSpaceDE w:val="0"/>
        <w:widowControl/>
        <w:spacing w:line="235" w:lineRule="auto" w:before="6" w:after="0"/>
        <w:ind w:left="28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D’au moins 18 ans et de moins de 80 ans pour l’adhésion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Médecin-Conseil de la Mutuelle se réserve le droit : </w:t>
      </w:r>
    </w:p>
    <w:p>
      <w:pPr>
        <w:autoSpaceDN w:val="0"/>
        <w:tabs>
          <w:tab w:pos="5626" w:val="left"/>
        </w:tabs>
        <w:autoSpaceDE w:val="0"/>
        <w:widowControl/>
        <w:spacing w:line="230" w:lineRule="auto" w:before="8" w:after="0"/>
        <w:ind w:left="14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Décès,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De demander toutes justifications, visites ou examens complémentaires </w:t>
      </w:r>
    </w:p>
    <w:p>
      <w:pPr>
        <w:autoSpaceDN w:val="0"/>
        <w:tabs>
          <w:tab w:pos="708" w:val="left"/>
          <w:tab w:pos="5626" w:val="left"/>
        </w:tabs>
        <w:autoSpaceDE w:val="0"/>
        <w:widowControl/>
        <w:spacing w:line="235" w:lineRule="auto" w:before="8" w:after="8"/>
        <w:ind w:left="28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d’au moins 18 ans et de moins de 70 ans pour l’adhésion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(rapport médical, analyses biologiques ou tout autre élément)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4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PTIA, IPT, ITT et IPP,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3995" w:space="0"/>
            <w:col w:w="731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63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nécessaires à l’appréciation du risque. S’il s’agit d’informations médicales,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elles seront adressées sous pli confidentiel au Médecin-Conseil de la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3995" w:space="0"/>
            <w:col w:w="731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5" w:lineRule="auto" w:before="0" w:after="8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Justifier de l’existence du prêt, de sa durée, de son taux et de son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Mutuelle,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amortissement, résider en France continentale, en Corse dans les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418"/>
        <w:ind w:left="10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majorer la cotisation, de restreindre ou d’exclure des garanties.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V0124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10" w:after="0"/>
        <w:ind w:left="0" w:right="21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V0124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6 Cours André Philip - 69100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Villeurbanne. 20240521_ZENIOO0124_NI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48" w:val="left"/>
        </w:tabs>
        <w:autoSpaceDE w:val="0"/>
        <w:widowControl/>
        <w:spacing w:line="240" w:lineRule="auto" w:before="0" w:after="0"/>
        <w:ind w:left="2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8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ce dernier cas, les conditions d’acceptation à l’assurance sont </w:t>
      </w:r>
    </w:p>
    <w:p>
      <w:pPr>
        <w:sectPr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8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notifiées au Candidat à l’Assurance par lettre sous pli confidentiel, appelé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« Bon pour accord », valable pour une Date d’effet intervenant dans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120 jours à compter de sa date d’émission. </w:t>
      </w:r>
    </w:p>
    <w:p>
      <w:pPr>
        <w:autoSpaceDN w:val="0"/>
        <w:autoSpaceDE w:val="0"/>
        <w:widowControl/>
        <w:spacing w:line="245" w:lineRule="auto" w:before="228" w:after="0"/>
        <w:ind w:left="0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L’acceptation expresse de l’Assuré est matérialisée par le retour signé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Bon pour Accord à la Mutuelle. Elle conditionne l’émission du Certificat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Individuel d’Adhésion par la Mutuelle. </w:t>
      </w:r>
    </w:p>
    <w:p>
      <w:pPr>
        <w:autoSpaceDN w:val="0"/>
        <w:autoSpaceDE w:val="0"/>
        <w:widowControl/>
        <w:spacing w:line="245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défaut, sauf accord de la Mutuelle, des formalités d’Adhésion devront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être renouvelées. </w:t>
      </w:r>
    </w:p>
    <w:p>
      <w:pPr>
        <w:autoSpaceDN w:val="0"/>
        <w:autoSpaceDE w:val="0"/>
        <w:widowControl/>
        <w:spacing w:line="245" w:lineRule="auto" w:before="226" w:after="0"/>
        <w:ind w:left="0" w:right="8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formalités médicales ont une durée de validité de six mois et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examens biologiques et les électrocardiogrammes sont valables douze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mois. </w:t>
      </w:r>
    </w:p>
    <w:p>
      <w:pPr>
        <w:autoSpaceDN w:val="0"/>
        <w:autoSpaceDE w:val="0"/>
        <w:widowControl/>
        <w:spacing w:line="233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>Les formalités financières ont une durée de validité de douze mois.</w:t>
      </w:r>
    </w:p>
    <w:p>
      <w:pPr>
        <w:autoSpaceDN w:val="0"/>
        <w:autoSpaceDE w:val="0"/>
        <w:widowControl/>
        <w:spacing w:line="245" w:lineRule="auto" w:before="10" w:after="226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6 – INCONTESTABILITE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Les déclarations de l’Assuré servent de base à l’adhésion qui e</w:t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 xml:space="preserve">st </w:t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incontestable dès qu’elle a pris effet, sauf en cas de réticence ou d</w:t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 xml:space="preserve">e </w:t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fausse déclaration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.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L’attention des Candidats à l’Assurance est attirée sur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sanctions prévues par le Code de la mutualité.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014" w:type="dxa"/>
      </w:tblPr>
      <w:tblGrid>
        <w:gridCol w:w="11314"/>
      </w:tblGrid>
      <w:tr>
        <w:trPr>
          <w:trHeight w:hRule="exact" w:val="2010"/>
        </w:trPr>
        <w:tc>
          <w:tcPr>
            <w:tcW w:type="dxa" w:w="54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1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Article L.221-14 :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«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Indépendamment des causes ordinaires de nullité, la garantie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accordée au membre participant par la mutuelle ou par l’union est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nulle en cas de réticence ou de fausse déclaration intentionnelle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de la part de celui-ci, quand cette réticence ou cette fausse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déclaration change l’objet du risque ou en diminue l’opinion pour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la mutuelle ou l’union, alors même que le risque omis ou dénaturé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par le membre participant a été sans influence sur la réalisation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du risque. » </w:t>
            </w:r>
          </w:p>
        </w:tc>
      </w:tr>
    </w:tbl>
    <w:p>
      <w:pPr>
        <w:autoSpaceDN w:val="0"/>
        <w:autoSpaceDE w:val="0"/>
        <w:widowControl/>
        <w:spacing w:line="245" w:lineRule="auto" w:before="220" w:after="228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d’omission ou de fausse déclaration non intentionnelle, il sera fait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application des dispositions de l’article L.221-15 du Code de la mutualité.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014" w:type="dxa"/>
      </w:tblPr>
      <w:tblGrid>
        <w:gridCol w:w="11314"/>
      </w:tblGrid>
      <w:tr>
        <w:trPr>
          <w:trHeight w:hRule="exact" w:val="4406"/>
        </w:trPr>
        <w:tc>
          <w:tcPr>
            <w:tcW w:type="dxa" w:w="54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1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Article L.221-15 :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« Pour les opérations individuelles et collectives facultatives,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l’omission ou la déclaration inexacte de la part du membre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participant dont la mauvaise foi n'est pas établie n'entraîne pas la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nullité de la garantie prévue au bulletin d'adhésion ou au contrat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collectif.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110" w:right="66" w:firstLine="0"/>
              <w:jc w:val="both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Si elle est constatée avant toute réalisation du risque, la mutuelle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ou l'union a le droit de maintenir l'adhésion dans le cadre des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règlements ou le contrat collectif moyennant une augmentation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de cotisation acceptée par le membre participant ; à défaut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d'accord de celui-ci, le bulletin d'adhésion ou le contrat prend fin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dix jours après notification adressée au membre participant par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lettre recommandée. La mutuelle ou l'union restitue à celui-ci la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portion de cotisation payée pour le temps où la garantie ne court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plus.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110" w:right="66" w:firstLine="0"/>
              <w:jc w:val="both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Dans le cas où la constatation n'a lieu qu'après la réalisation du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risque, la prestation est réduite en proportion du taux des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cotisations payées par le membre participant par rapport au taux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des cotisations qui auraient été dues, si les risques avaient été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complètement e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t e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xa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c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te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m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ent déclarés ». </w:t>
            </w:r>
          </w:p>
        </w:tc>
      </w:tr>
    </w:tbl>
    <w:p>
      <w:pPr>
        <w:autoSpaceDN w:val="0"/>
        <w:autoSpaceDE w:val="0"/>
        <w:widowControl/>
        <w:spacing w:line="245" w:lineRule="auto" w:before="220" w:after="0"/>
        <w:ind w:left="0" w:right="8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Ces dispositions sont applicables tant à l’adhésion qu’en cours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Contrat. Les cotisations versées restent alors acquises à la Mutuelle, qui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 réserve le droit d’engager tout recours pour la restitution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prestations indûment payées auprès de l’Assuré ou en cas de décès,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auprès de ses ayants-droits.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06" w:space="0"/>
            <w:col w:w="58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682" w:type="dxa"/>
      </w:tblPr>
      <w:tblGrid>
        <w:gridCol w:w="11314"/>
      </w:tblGrid>
      <w:tr>
        <w:trPr>
          <w:trHeight w:hRule="exact" w:val="700"/>
        </w:trPr>
        <w:tc>
          <w:tcPr>
            <w:tcW w:type="dxa" w:w="5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106" w:right="72" w:firstLine="0"/>
              <w:jc w:val="both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Le Candidat à l’Assurance est tenu d’informer la Mutuelle de toute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modification de son état de santé qui surviendrait avant la prise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d’effet des garanties. </w:t>
            </w:r>
          </w:p>
        </w:tc>
      </w:tr>
    </w:tbl>
    <w:p>
      <w:pPr>
        <w:autoSpaceDN w:val="0"/>
        <w:autoSpaceDE w:val="0"/>
        <w:widowControl/>
        <w:spacing w:line="245" w:lineRule="auto" w:before="220" w:after="0"/>
        <w:ind w:left="12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7 –PROCEDURE D’ADMISSION EN CAS DE RISQUE AGGRAVE DE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SANTE – CONVENTION AERAS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30" w:lineRule="auto" w:before="226" w:after="0"/>
        <w:ind w:left="12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7.1 Objet de la Convention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228" w:after="166"/>
        <w:ind w:left="120" w:right="2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présentes stipulations ne concernent que les prêts immobiliers et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prêts professionnels. Les Personnes à assurer présentant un risque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aggravé de santé relevant du cadre fixé par la Convention AERAS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(s’Assurer et Emprunter avec un Risque Aggravé de Santé) et ne pouvant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être garanties dans le cadre de la tarification standard du contrat, (niveau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1 de ladite Convention), peuvent bénéficier d’une tarification spécifique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 réserve d’acceptation de la Mutuelle.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.00000000000023" w:type="dxa"/>
      </w:tblPr>
      <w:tblGrid>
        <w:gridCol w:w="1886"/>
        <w:gridCol w:w="1886"/>
        <w:gridCol w:w="1886"/>
        <w:gridCol w:w="1886"/>
        <w:gridCol w:w="1886"/>
        <w:gridCol w:w="1886"/>
      </w:tblGrid>
      <w:tr>
        <w:trPr>
          <w:trHeight w:hRule="exact" w:val="27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Ces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demandes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d’adhésion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sont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systématiquement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examinées 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2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individuellement conformément au niveau 2 de la Convention AERAS.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Une proposition tarifaire personnalisée est adressée sous réserve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l’envoi des documents médicaux adaptés à l’étude de ces dossiers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(Questionnaire de santé complet et/ou tous documents médicaux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permettant l’étude du dossier). </w:t>
      </w:r>
    </w:p>
    <w:p>
      <w:pPr>
        <w:autoSpaceDN w:val="0"/>
        <w:tabs>
          <w:tab w:pos="262" w:val="left"/>
        </w:tabs>
        <w:autoSpaceDE w:val="0"/>
        <w:widowControl/>
        <w:spacing w:line="245" w:lineRule="auto" w:before="226" w:after="0"/>
        <w:ind w:left="120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refus de niveau 2 des garanties dans le cadre du contrat, le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dossier est présenté dans le cadre du pool de réassurance dit de 3ème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niveau, conformément à la Convention AERAS, et dans le respect des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dispositions de confidentialité prévues, sous réserve que les conditions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d’éligibilité suivantes soient remplies :Pour les prêts immobiliers et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professionnels (autres que la résidence principale) : encours cumulé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prêts d’au plus de 420 000 € et durée telle que l’âge de l’Emprunteur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n’excède pas 70 ans au terme des prêts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prêts liés à l’acquisition de la résidence principale : prêts d’au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plus de 420 000 € (sans tenir compte des prêts relais) et durée telle que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l’âge de l’Emprunteur n’excède pas 70 ans au terme des prêts. </w:t>
      </w:r>
    </w:p>
    <w:p>
      <w:pPr>
        <w:autoSpaceDN w:val="0"/>
        <w:autoSpaceDE w:val="0"/>
        <w:widowControl/>
        <w:spacing w:line="245" w:lineRule="auto" w:before="228" w:after="0"/>
        <w:ind w:left="120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Toutes les informations sur la Convention AERAS sont consultables </w:t>
      </w:r>
      <w:r>
        <w:rPr>
          <w:rFonts w:ascii="Open Sans" w:hAnsi="Open Sans" w:eastAsia="Open Sans"/>
          <w:b/>
          <w:i w:val="0"/>
          <w:color w:val="000000"/>
          <w:sz w:val="16"/>
        </w:rPr>
        <w:t>sur le site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hyperlink r:id="rId12" w:history="1">
          <w:r>
            <w:rPr>
              <w:rStyle w:val="Hyperlink"/>
            </w:rPr>
            <w:t>www.aeras-infos.fr</w:t>
          </w:r>
        </w:hyperlink>
      </w:r>
      <w:r>
        <w:rPr>
          <w:rFonts w:ascii="Open Sans" w:hAnsi="Open Sans" w:eastAsia="Open Sans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245" w:lineRule="auto" w:before="228" w:after="0"/>
        <w:ind w:left="12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7.2 Garantie Invalidité Spécifique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aux dispositions de la Convention AERAS, une garantie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Invalidité Spécifique est proposée sous réserve d’acceptation médicale,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cas où les garanties ITT et IPT ou IPP, ont été refusées pour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raisons médicales ou en complément dans le cas où les garanties IPT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IPP ont été accordées avec l’exclusion d’une ou plusieurs pathologies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spécifiques. </w:t>
      </w:r>
    </w:p>
    <w:p>
      <w:pPr>
        <w:autoSpaceDN w:val="0"/>
        <w:autoSpaceDE w:val="0"/>
        <w:widowControl/>
        <w:spacing w:line="245" w:lineRule="auto" w:before="226" w:after="4"/>
        <w:ind w:left="120" w:right="2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ne s’agit pas d’une option. Un Candidat à l’Assurance ne peut solliciter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directement cette garantie, de même une demande de couverture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uniquement en Décès/PTIA, et faisant l’objet à ce titre d’une exclusion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et/ou surprime, n’ouvre pas droit à cette garantie. La GIS peut être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proposée en remplacement ou en complément des garanties incapacité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.00000000000023" w:type="dxa"/>
      </w:tblPr>
      <w:tblGrid>
        <w:gridCol w:w="1414"/>
        <w:gridCol w:w="1414"/>
        <w:gridCol w:w="1414"/>
        <w:gridCol w:w="1414"/>
        <w:gridCol w:w="1414"/>
        <w:gridCol w:w="1414"/>
        <w:gridCol w:w="1414"/>
        <w:gridCol w:w="1414"/>
      </w:tblGrid>
      <w:tr>
        <w:trPr>
          <w:trHeight w:hRule="exact" w:val="218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invalidité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lorsque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ces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garanties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sont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indissociables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(non 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2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différenciables) et n’ont pas pu être proposées dans les conditions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standard. </w:t>
      </w:r>
    </w:p>
    <w:p>
      <w:pPr>
        <w:autoSpaceDN w:val="0"/>
        <w:autoSpaceDE w:val="0"/>
        <w:widowControl/>
        <w:spacing w:line="245" w:lineRule="auto" w:before="226" w:after="0"/>
        <w:ind w:left="12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Lorsqu’elle est accordée, la GIS ne comporte aucune exclusion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concernant la pathologie déclarée par l’assuré. </w:t>
      </w:r>
    </w:p>
    <w:p>
      <w:pPr>
        <w:autoSpaceDN w:val="0"/>
        <w:autoSpaceDE w:val="0"/>
        <w:widowControl/>
        <w:spacing w:line="245" w:lineRule="auto" w:before="226" w:after="0"/>
        <w:ind w:left="12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Invalidité Spécifique s’exerce avant la fin de l’année au cours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laquelle l’Assuré atteint l’âge minimum requis pour faire valoir ses </w:t>
      </w:r>
    </w:p>
    <w:p>
      <w:pPr>
        <w:autoSpaceDN w:val="0"/>
        <w:autoSpaceDE w:val="0"/>
        <w:widowControl/>
        <w:spacing w:line="176" w:lineRule="exact" w:before="36" w:after="148"/>
        <w:ind w:left="0" w:right="20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4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06" w:space="0"/>
            <w:col w:w="58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V0124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10" w:after="0"/>
        <w:ind w:left="0" w:right="21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V0124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6 Cours André Philip - 69100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Villeurbanne. 20240521_ZENIOO0124_NI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48" w:val="left"/>
        </w:tabs>
        <w:autoSpaceDE w:val="0"/>
        <w:widowControl/>
        <w:spacing w:line="240" w:lineRule="auto" w:before="0" w:after="0"/>
        <w:ind w:left="2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80"/>
        <w:sectPr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droits à une pension de vieillesse, et au plus tard avant ses 65 ans, sous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réserve que les conditions soient réunies :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l’état de santé est consolidé,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258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Cas de l’Adhésion électronique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dérogation à l’article 1359 du Code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civil, il est convenu qu’en cas d’adhésion électronique, les données sous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forme électronique conservées par la Mutuelle ou tout mandataire de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le taux d’incapacité fonctionnelle apprécié par le médecin conseil de la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 choix : </w:t>
      </w:r>
    </w:p>
    <w:p>
      <w:pPr>
        <w:autoSpaceDN w:val="0"/>
        <w:tabs>
          <w:tab w:pos="5626" w:val="left"/>
        </w:tabs>
        <w:autoSpaceDE w:val="0"/>
        <w:widowControl/>
        <w:spacing w:line="233" w:lineRule="auto" w:before="1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par référence au barème annexé au code des pensions civiles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valent signature par l’Adhérent et l’Assuré ; </w:t>
      </w:r>
    </w:p>
    <w:p>
      <w:pPr>
        <w:autoSpaceDN w:val="0"/>
        <w:tabs>
          <w:tab w:pos="5626" w:val="left"/>
        </w:tabs>
        <w:autoSpaceDE w:val="0"/>
        <w:widowControl/>
        <w:spacing w:line="230" w:lineRule="auto" w:before="8" w:after="1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militaires atteint un taux égal ou supérieur à 70%, la cotation étant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leur sont opposables ;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additive en cas de polypathologies,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>- l’assuré peut présenter un titre de pension invalidité en 2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ou 3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 xml:space="preserve">ème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catégorie par la Sécurité Sociale pour les salariés, un titre de mise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congé de longue Maladie pour les fonctionnaires ou d’une notification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d’inaptitude totale à l’exercice de la profession pour les non-salariés. </w:t>
      </w:r>
    </w:p>
    <w:p>
      <w:pPr>
        <w:autoSpaceDN w:val="0"/>
        <w:autoSpaceDE w:val="0"/>
        <w:widowControl/>
        <w:spacing w:line="245" w:lineRule="auto" w:before="226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prestation garantie, les modalités de calcul et de versement,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d'exclusion sont identiques à celles définies pour la garantie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correspondante, à l’exception de la date de début de versement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prestations qui est la date de la reconnaissance par le médecin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de l’état d’invalidité défini ci-dessus. </w:t>
      </w:r>
    </w:p>
    <w:p>
      <w:pPr>
        <w:autoSpaceDN w:val="0"/>
        <w:autoSpaceDE w:val="0"/>
        <w:widowControl/>
        <w:spacing w:line="245" w:lineRule="auto" w:before="444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Tous les risques de Maladie et d’Accident sont garantis, à l’exception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risques exclus en ITT, IPP et IPT figurant à l’article 10 « Exclusions ». </w:t>
      </w:r>
    </w:p>
    <w:p>
      <w:pPr>
        <w:autoSpaceDN w:val="0"/>
        <w:autoSpaceDE w:val="0"/>
        <w:widowControl/>
        <w:spacing w:line="233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7.3 - Dispositif d’écrêtement des majorations de cotisation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8" w:space="0"/>
            <w:col w:w="57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98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peuvent être admises comme preuves de leur identité et de leur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consentement relatif à l’adhésion au contrat groupe, au contenu de celui-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ci et aux moyens de paiement de la cotisation d’assurance. </w:t>
      </w:r>
    </w:p>
    <w:p>
      <w:pPr>
        <w:autoSpaceDN w:val="0"/>
        <w:autoSpaceDE w:val="0"/>
        <w:widowControl/>
        <w:spacing w:line="245" w:lineRule="auto" w:before="228" w:after="0"/>
        <w:ind w:left="98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8.2 Prise d’effet et durée des garanties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prennent effet, après acceptation des risques par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et sous réserve du paiement de la première cotisation, à l’un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trois événements suivants sur demande du Candidat à l’Assurance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notifiée sur la Demande Individuelle d’Adhésion (DIA) :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1/ à la date de signature de l’offre de prêt par le Candidat à l’Assurance,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2/ à la date de déblocage des fonds (sous réserve que le déblocage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fonds intervienne dans les six (6) mois suivants l’acceptation par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Mutuelle)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3/ à la date choisie et indiquée par le Candidat à l’Assurance sur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 Individuelle d’Adhésion (DIA) </w:t>
      </w:r>
    </w:p>
    <w:p>
      <w:pPr>
        <w:autoSpaceDN w:val="0"/>
        <w:autoSpaceDE w:val="0"/>
        <w:widowControl/>
        <w:spacing w:line="233" w:lineRule="auto" w:before="226" w:after="8"/>
        <w:ind w:left="9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en cas de Vente à distance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,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Les garanties prennent effet au plus tôt à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8" w:space="0"/>
            <w:col w:w="578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57"/>
        <w:gridCol w:w="1257"/>
        <w:gridCol w:w="1257"/>
        <w:gridCol w:w="1257"/>
        <w:gridCol w:w="1257"/>
        <w:gridCol w:w="1257"/>
        <w:gridCol w:w="1257"/>
        <w:gridCol w:w="1257"/>
        <w:gridCol w:w="1257"/>
      </w:tblGrid>
      <w:tr>
        <w:trPr>
          <w:trHeight w:hRule="exact" w:val="190"/>
        </w:trPr>
        <w:tc>
          <w:tcPr>
            <w:tcW w:type="dxa" w:w="2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dispositif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d’écrêtement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concerne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prêts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immobiliers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et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l’expiration du délai de renonciation de trente (30) jours calendaires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professionnels d’un montant maximum de 420 000 €. Il intervient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2ème et 3ème niveau d’examen des demandes d’adhésion dès lors que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majoration de cotisation a pour effet que la cotisation globale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représente plus de 1,4 points dans le taux effectif global (TEG) du prêt.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informe les Candidats à l’assurance de la possibilité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demander l’application du dispositif. </w:t>
      </w:r>
    </w:p>
    <w:p>
      <w:pPr>
        <w:autoSpaceDN w:val="0"/>
        <w:autoSpaceDE w:val="0"/>
        <w:widowControl/>
        <w:spacing w:line="233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8 – FORMATION DU CONTRAT : PRISE D’EFFET DE L’ADHÉSIO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N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prévu à l’article 24 « Droit de renonciation » qui court à compter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Date d’effet de l’Adhésion. </w:t>
      </w:r>
    </w:p>
    <w:p>
      <w:pPr>
        <w:autoSpaceDN w:val="0"/>
        <w:autoSpaceDE w:val="0"/>
        <w:widowControl/>
        <w:spacing w:line="245" w:lineRule="auto" w:before="8" w:after="10"/>
        <w:ind w:left="100" w:right="25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peuvent prendre effet à la date de signature de l’offre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 ou à la date de déblocage des fonds ou à la date choisie et indiquée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le Candidat à l’Assurance sur la Demande Individuelle d’Adhésion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(DIA), lorsque celle-ci intervient avant l’expiration du délai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renonciation à condition que l’Adhérent le demande dans l’espace prévu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la Demande Individuelle d’Adhésion pour la mise en œuvre des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0" w:lineRule="auto" w:before="0" w:after="228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– PRISE D’EFFET DES GARANTIES.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garanties.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8.1 Prise d’effet et durée de l’adhésion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L’adhésion au contrat groupe prend effet à la Date d’effet précisée sur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Certificat Individuel d’Adhésion. </w:t>
      </w:r>
    </w:p>
    <w:p>
      <w:pPr>
        <w:autoSpaceDN w:val="0"/>
        <w:autoSpaceDE w:val="0"/>
        <w:widowControl/>
        <w:spacing w:line="245" w:lineRule="auto" w:before="10" w:after="0"/>
        <w:ind w:left="0" w:right="98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L’adhésion est conclue pour une période se terminant à la date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anniversaire de la signature de l’offre de prêt. Elle se renouvelle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ensuite par tacite reconduction à cette date anniversaire pour des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périodes successives d’un an.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25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prennent effet immédiatement sans délai de carence. Elles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s’appliquent à chacun des prêts pendant toute leur durée contractuelle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les limites précisées ci-dessous : </w:t>
      </w:r>
    </w:p>
    <w:p>
      <w:pPr>
        <w:autoSpaceDN w:val="0"/>
        <w:autoSpaceDE w:val="0"/>
        <w:widowControl/>
        <w:spacing w:line="245" w:lineRule="auto" w:before="226" w:after="0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cessation de l’adhésion définie à l’article 8.1 « Prise d’effet et durée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l’adhésion » met fin à l’ensemble des garanties. </w:t>
      </w:r>
    </w:p>
    <w:p>
      <w:pPr>
        <w:autoSpaceDN w:val="0"/>
        <w:autoSpaceDE w:val="0"/>
        <w:widowControl/>
        <w:spacing w:line="233" w:lineRule="auto" w:before="226" w:after="8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outre, la cessation des garanties s’applique également dans les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L’adhésion prend fin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suivantes : </w:t>
      </w:r>
    </w:p>
    <w:p>
      <w:pPr>
        <w:autoSpaceDN w:val="0"/>
        <w:tabs>
          <w:tab w:pos="720" w:val="left"/>
          <w:tab w:pos="5626" w:val="left"/>
        </w:tabs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la fin du terme contractuel des garanties et des prestations et 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Décès cesse le jour du 86ème anniversaire de l’Assuré ; </w:t>
      </w:r>
    </w:p>
    <w:p>
      <w:pPr>
        <w:autoSpaceDN w:val="0"/>
        <w:tabs>
          <w:tab w:pos="5626" w:val="left"/>
        </w:tabs>
        <w:autoSpaceDE w:val="0"/>
        <w:widowControl/>
        <w:spacing w:line="233" w:lineRule="auto" w:before="8" w:after="0"/>
        <w:ind w:left="7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>au plus tard au 30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anniversaire du contrat de prêt 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PTIA cesse la date de liquidation de la pension de retraite, </w:t>
      </w:r>
    </w:p>
    <w:p>
      <w:pPr>
        <w:autoSpaceDN w:val="0"/>
        <w:tabs>
          <w:tab w:pos="720" w:val="left"/>
          <w:tab w:pos="5768" w:val="left"/>
        </w:tabs>
        <w:autoSpaceDE w:val="0"/>
        <w:widowControl/>
        <w:spacing w:line="230" w:lineRule="auto" w:before="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terme normal de chaque prêt sauf prorogation acceptée par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>de pré-retraite, et au plus tard le jour du 72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anniversaire de l’Assuré ; </w:t>
      </w:r>
    </w:p>
    <w:p>
      <w:pPr>
        <w:autoSpaceDN w:val="0"/>
        <w:tabs>
          <w:tab w:pos="5626" w:val="left"/>
        </w:tabs>
        <w:autoSpaceDE w:val="0"/>
        <w:widowControl/>
        <w:spacing w:line="233" w:lineRule="auto" w:before="10" w:after="0"/>
        <w:ind w:left="7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ITT cesse à la date de Consolidation de l'état de santé de </w:t>
      </w:r>
    </w:p>
    <w:p>
      <w:pPr>
        <w:autoSpaceDN w:val="0"/>
        <w:tabs>
          <w:tab w:pos="720" w:val="left"/>
          <w:tab w:pos="5768" w:val="left"/>
        </w:tabs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la date de remboursement anticipé total de chaque prêt ;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>l'Assuré ou à la date de liquidation de la pension de retraite, de pré-</w:t>
      </w:r>
    </w:p>
    <w:p>
      <w:pPr>
        <w:autoSpaceDN w:val="0"/>
        <w:tabs>
          <w:tab w:pos="720" w:val="left"/>
          <w:tab w:pos="5768" w:val="left"/>
        </w:tabs>
        <w:autoSpaceDE w:val="0"/>
        <w:widowControl/>
        <w:spacing w:line="230" w:lineRule="auto" w:before="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la date de déchéance du prêt ;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>retraite, et au plus tard le jour de son 72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anniversaire ; </w:t>
      </w:r>
    </w:p>
    <w:p>
      <w:pPr>
        <w:autoSpaceDN w:val="0"/>
        <w:tabs>
          <w:tab w:pos="720" w:val="left"/>
          <w:tab w:pos="5626" w:val="left"/>
        </w:tabs>
        <w:autoSpaceDE w:val="0"/>
        <w:widowControl/>
        <w:spacing w:line="233" w:lineRule="auto" w:before="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résiliation à la suite du non-paiement des cotisations, 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IPT cesse à la date de liquidation de la pension de retraite, </w:t>
      </w:r>
    </w:p>
    <w:p>
      <w:pPr>
        <w:autoSpaceDN w:val="0"/>
        <w:tabs>
          <w:tab w:pos="5768" w:val="left"/>
        </w:tabs>
        <w:autoSpaceDE w:val="0"/>
        <w:widowControl/>
        <w:spacing w:line="230" w:lineRule="auto" w:before="8" w:after="0"/>
        <w:ind w:left="7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aux dispositions de l’article L 221-7 du Code de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>de pré-retraite, et au plus tard, le jour du 72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anniversaire de l’Assuré; </w:t>
      </w:r>
    </w:p>
    <w:p>
      <w:pPr>
        <w:autoSpaceDN w:val="0"/>
        <w:tabs>
          <w:tab w:pos="5626" w:val="left"/>
        </w:tabs>
        <w:autoSpaceDE w:val="0"/>
        <w:widowControl/>
        <w:spacing w:line="230" w:lineRule="auto" w:before="10" w:after="0"/>
        <w:ind w:left="7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mutualité 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IPP cesse à la reconnaissance de l’IPT ou à la date de </w:t>
      </w:r>
    </w:p>
    <w:p>
      <w:pPr>
        <w:autoSpaceDN w:val="0"/>
        <w:tabs>
          <w:tab w:pos="720" w:val="left"/>
          <w:tab w:pos="5768" w:val="left"/>
        </w:tabs>
        <w:autoSpaceDE w:val="0"/>
        <w:widowControl/>
        <w:spacing w:line="233" w:lineRule="auto" w:before="8" w:after="1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résiliation par l’Adhérent, par lettre ou tout autre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liquidation de la pension de retraite, de pré-retraite et au plus tard le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7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support durable ou moyen prévu à l’article L.221-10-3 du code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mutualité avec accord exprès de l’organisme prêteur ;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tabs>
          <w:tab w:pos="242" w:val="left"/>
        </w:tabs>
        <w:autoSpaceDE w:val="0"/>
        <w:widowControl/>
        <w:spacing w:line="245" w:lineRule="auto" w:before="0" w:after="8"/>
        <w:ind w:left="100" w:right="144" w:firstLine="0"/>
        <w:jc w:val="left"/>
      </w:pP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jour du 72ème anniversaire de l’Assuré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« DOS et PSY » suivent les règles de cessation des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.00000000000003" w:type="dxa"/>
      </w:tblPr>
      <w:tblGrid>
        <w:gridCol w:w="3771"/>
        <w:gridCol w:w="3771"/>
        <w:gridCol w:w="3771"/>
      </w:tblGrid>
      <w:tr>
        <w:trPr>
          <w:trHeight w:hRule="exact" w:val="21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Lors du versement du capital restant dû en cas de décès, PTIA 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8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garanties ITT, IPT et IPP. </w:t>
            </w:r>
          </w:p>
        </w:tc>
      </w:tr>
    </w:tbl>
    <w:p>
      <w:pPr>
        <w:autoSpaceDN w:val="0"/>
        <w:autoSpaceDE w:val="0"/>
        <w:widowControl/>
        <w:spacing w:line="230" w:lineRule="auto" w:before="4" w:after="4"/>
        <w:ind w:left="7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IPT 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2.00000000000003" w:type="dxa"/>
      </w:tblPr>
      <w:tblGrid>
        <w:gridCol w:w="3771"/>
        <w:gridCol w:w="3771"/>
        <w:gridCol w:w="3771"/>
      </w:tblGrid>
      <w:tr>
        <w:trPr>
          <w:trHeight w:hRule="exact" w:val="21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 la date à laquelle le contrat de cautionnement est résilié dans 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04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ARTICLE 9 – ETENDUE DES GARANTIES ET DES OPTIONS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30" w:lineRule="auto" w:before="6" w:after="4"/>
        <w:ind w:left="7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l’hypothèse où l’Assuré est Caution 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2.00000000000003" w:type="dxa"/>
      </w:tblPr>
      <w:tblGrid>
        <w:gridCol w:w="3771"/>
        <w:gridCol w:w="3771"/>
        <w:gridCol w:w="3771"/>
      </w:tblGrid>
      <w:tr>
        <w:trPr>
          <w:trHeight w:hRule="exact" w:val="200"/>
        </w:trPr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En cas de fausse déclaration, conformément à l’article L.221-14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4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9.1 Garantie de base : Décès – PTIA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 </w:t>
            </w:r>
          </w:p>
        </w:tc>
      </w:tr>
      <w:tr>
        <w:trPr>
          <w:trHeight w:hRule="exact" w:val="292"/>
        </w:trPr>
        <w:tc>
          <w:tcPr>
            <w:tcW w:type="dxa" w:w="3771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5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du Code de la mutualité.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04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A. Garantie Décès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76" w:lineRule="exact" w:before="254" w:after="0"/>
        <w:ind w:left="0" w:right="20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5</w:t>
      </w:r>
    </w:p>
    <w:p>
      <w:pPr>
        <w:autoSpaceDN w:val="0"/>
        <w:autoSpaceDE w:val="0"/>
        <w:widowControl/>
        <w:spacing w:line="245" w:lineRule="auto" w:before="148" w:after="0"/>
        <w:ind w:left="0" w:right="2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V0124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10" w:after="0"/>
        <w:ind w:left="0" w:right="21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V0124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6 Cours André Philip - 69100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Villeurbanne. 20240521_ZENIOO0124_NI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590" w:val="left"/>
        </w:tabs>
        <w:autoSpaceDE w:val="0"/>
        <w:widowControl/>
        <w:spacing w:line="240" w:lineRule="auto" w:before="0" w:after="0"/>
        <w:ind w:left="3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80" w:after="8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décès de l’Assuré survenu pendant la période de validité de la </w:t>
      </w:r>
    </w:p>
    <w:p>
      <w:pPr>
        <w:sectPr>
          <w:pgSz w:w="11906" w:h="16838"/>
          <w:pgMar w:top="212" w:right="194" w:bottom="186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2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garantie, le contrat prévoit le remboursement du capital restant dû sur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 assuré, calculé sur la base du dernier tableau d’amortissement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contractuel du prêt connu et accepté par la Mutuelle dans la limite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sommes réellement dues à l’organisme prêteur (y compris le montant </w:t>
      </w:r>
    </w:p>
    <w:p>
      <w:pPr>
        <w:sectPr>
          <w:type w:val="continuous"/>
          <w:pgSz w:w="11906" w:h="16838"/>
          <w:pgMar w:top="212" w:right="194" w:bottom="186" w:left="256" w:header="720" w:footer="720" w:gutter="0"/>
          <w:cols w:num="2" w:equalWidth="0">
            <w:col w:w="566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28"/>
        <w:ind w:left="10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9.2 Garanties optionnelles :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Incapacité Temporaire Totale (ITT) - Invalidité Permanente Totale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(IPT) –  Invalidité Permanente Partielle (IPP) .</w:t>
      </w:r>
    </w:p>
    <w:p>
      <w:pPr>
        <w:sectPr>
          <w:type w:val="nextColumn"/>
          <w:pgSz w:w="11906" w:h="16838"/>
          <w:pgMar w:top="212" w:right="194" w:bottom="186" w:left="256" w:header="720" w:footer="720" w:gutter="0"/>
          <w:cols w:num="2" w:equalWidth="0">
            <w:col w:w="5668" w:space="0"/>
            <w:col w:w="57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3.999999999999986" w:type="dxa"/>
      </w:tblPr>
      <w:tblGrid>
        <w:gridCol w:w="3819"/>
        <w:gridCol w:w="3819"/>
        <w:gridCol w:w="3819"/>
      </w:tblGrid>
      <w:tr>
        <w:trPr>
          <w:trHeight w:hRule="exact" w:val="212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7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des intérêt courus et non échus à la date du décès), en fonction de la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8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>9.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4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A. Garantie Incapacité Temporaire Totale (ITT)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 </w:t>
            </w:r>
          </w:p>
        </w:tc>
      </w:tr>
    </w:tbl>
    <w:p>
      <w:pPr>
        <w:autoSpaceDN w:val="0"/>
        <w:tabs>
          <w:tab w:pos="5768" w:val="left"/>
        </w:tabs>
        <w:autoSpaceDE w:val="0"/>
        <w:widowControl/>
        <w:spacing w:line="245" w:lineRule="auto" w:before="6" w:after="10"/>
        <w:ind w:left="142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Quotité assurée, à l’exclusion des mensualités échues et non réglées à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cette date ainsi que des intérêts, frais ou toutes autres pénalités à courir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A.1 Versement d’indemnités en cas d’Incapacité Temporaire Totale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exécution des clauses du contrat de prêt.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de travail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d’ITT de l’Assuré pendant la période de validité de la garantie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pourcentage assuré sur chaque tête ne peut être supérieur à 100 %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verse une indemnité égale à 100% des échéances des prêts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 même prêt.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garantis multipliés par la quotité assurée, dans la limite des échéances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réellement dues par l’Adhérent à l’organisme prêteur, y compris les </w:t>
      </w:r>
    </w:p>
    <w:p>
      <w:pPr>
        <w:sectPr>
          <w:type w:val="continuous"/>
          <w:pgSz w:w="11906" w:h="16838"/>
          <w:pgMar w:top="212" w:right="194" w:bottom="186" w:left="256" w:header="720" w:footer="720" w:gutter="0"/>
          <w:cols/>
          <w:docGrid w:linePitch="360"/>
        </w:sectPr>
      </w:pPr>
    </w:p>
    <w:p>
      <w:pPr>
        <w:autoSpaceDN w:val="0"/>
        <w:tabs>
          <w:tab w:pos="142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cumul d’assurance sur plusieurs têtes pour un même prêt : </w:t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Si la garantie Décès porte sur plusieurs têtes assurées chacune à 100 %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prêt, la Mutuelle règle le capital restant dû au jour du décès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premier Assuré, et radie les co-contractants à la même date. </w:t>
      </w:r>
    </w:p>
    <w:p>
      <w:pPr>
        <w:autoSpaceDN w:val="0"/>
        <w:autoSpaceDE w:val="0"/>
        <w:widowControl/>
        <w:spacing w:line="245" w:lineRule="auto" w:before="8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Si la garantie Décès porte sur plusieurs têtes avec un cumul de Quotité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supérieur à 100 %, la Mutuelle règle le capital restant dû au jour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premier décès, affecté du pourcentage garanti sur la tête de l’Assuré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décédé et réduit systématiquement la Quotité assurée sur la tête des co-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contractants survivant au solde du prêt après indemnisation du premier </w:t>
      </w:r>
    </w:p>
    <w:p>
      <w:pPr>
        <w:sectPr>
          <w:type w:val="continuous"/>
          <w:pgSz w:w="11906" w:h="16838"/>
          <w:pgMar w:top="212" w:right="194" w:bottom="186" w:left="256" w:header="720" w:footer="720" w:gutter="0"/>
          <w:cols w:num="2" w:equalWidth="0">
            <w:col w:w="5670" w:space="0"/>
            <w:col w:w="57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98" w:right="2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intérêts, sur la base du dernier tableau d’amortissement connu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accepté par la Mutuelle, pendant la période d’ITT médicalement justifiée.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versement des indemnités journalières s’effectue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dès la fin de la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période de Franchise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indiquée au Certificat Individuel d’Adhésion ou sur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dernier avenant venant le modifier. </w:t>
      </w:r>
    </w:p>
    <w:p>
      <w:pPr>
        <w:autoSpaceDN w:val="0"/>
        <w:autoSpaceDE w:val="0"/>
        <w:widowControl/>
        <w:spacing w:line="245" w:lineRule="auto" w:before="226" w:after="8"/>
        <w:ind w:left="98" w:right="2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versement des indemnités journalières se poursuit jusqu’à la fin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l’ITT médicalement justifiée et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au maximum pendant 1 095 jours pour </w:t>
      </w:r>
      <w:r>
        <w:rPr>
          <w:rFonts w:ascii="Open Sans" w:hAnsi="Open Sans" w:eastAsia="Open Sans"/>
          <w:b/>
          <w:i w:val="0"/>
          <w:color w:val="000000"/>
          <w:sz w:val="16"/>
        </w:rPr>
        <w:t>un même Sinistre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et tant que le terme des garanties tel que déterminé </w:t>
      </w:r>
    </w:p>
    <w:p>
      <w:pPr>
        <w:sectPr>
          <w:type w:val="nextColumn"/>
          <w:pgSz w:w="11906" w:h="16838"/>
          <w:pgMar w:top="212" w:right="194" w:bottom="186" w:left="256" w:header="720" w:footer="720" w:gutter="0"/>
          <w:cols w:num="2" w:equalWidth="0">
            <w:col w:w="5670" w:space="0"/>
            <w:col w:w="5786" w:space="0"/>
          </w:cols>
          <w:docGrid w:linePitch="360"/>
        </w:sectPr>
      </w:pPr>
    </w:p>
    <w:p>
      <w:pPr>
        <w:autoSpaceDN w:val="0"/>
        <w:tabs>
          <w:tab w:pos="5768" w:val="left"/>
        </w:tabs>
        <w:autoSpaceDE w:val="0"/>
        <w:widowControl/>
        <w:spacing w:line="233" w:lineRule="auto" w:before="0" w:after="8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Sinistre.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l’article 8.2 n’est pas atteint. Sont exclus de la garantie les échéances </w:t>
      </w:r>
    </w:p>
    <w:p>
      <w:pPr>
        <w:sectPr>
          <w:type w:val="continuous"/>
          <w:pgSz w:w="11906" w:h="16838"/>
          <w:pgMar w:top="212" w:right="194" w:bottom="186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décès simultanés des coassurés, la Mutuelle règle le capital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restant dû au jour du Sinistre suivant le cumul des Quotités assurées sans </w:t>
      </w:r>
    </w:p>
    <w:p>
      <w:pPr>
        <w:sectPr>
          <w:type w:val="continuous"/>
          <w:pgSz w:w="11906" w:h="16838"/>
          <w:pgMar w:top="212" w:right="194" w:bottom="186" w:left="256" w:header="720" w:footer="720" w:gutter="0"/>
          <w:cols w:num="2" w:equalWidth="0">
            <w:col w:w="566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0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échues et non réglées ainsi que les intérêts, frais ou toutes autres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pénalités à courir en exécution des clauses du contrat de prêt au jour de </w:t>
      </w:r>
    </w:p>
    <w:p>
      <w:pPr>
        <w:sectPr>
          <w:type w:val="nextColumn"/>
          <w:pgSz w:w="11906" w:h="16838"/>
          <w:pgMar w:top="212" w:right="194" w:bottom="186" w:left="256" w:header="720" w:footer="720" w:gutter="0"/>
          <w:cols w:num="2" w:equalWidth="0">
            <w:col w:w="5668" w:space="0"/>
            <w:col w:w="5788" w:space="0"/>
          </w:cols>
          <w:docGrid w:linePitch="360"/>
        </w:sectPr>
      </w:pPr>
    </w:p>
    <w:p>
      <w:pPr>
        <w:autoSpaceDN w:val="0"/>
        <w:tabs>
          <w:tab w:pos="5768" w:val="left"/>
        </w:tabs>
        <w:autoSpaceDE w:val="0"/>
        <w:widowControl/>
        <w:spacing w:line="233" w:lineRule="auto" w:before="0" w:after="0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jamais excéder 100% du capital restant dû.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survenance du Sinistre. </w:t>
      </w:r>
    </w:p>
    <w:p>
      <w:pPr>
        <w:autoSpaceDN w:val="0"/>
        <w:autoSpaceDE w:val="0"/>
        <w:widowControl/>
        <w:spacing w:line="230" w:lineRule="auto" w:before="8" w:after="10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paiement du capital restant dû ou des loyers restants dus en cas de </w:t>
      </w:r>
    </w:p>
    <w:p>
      <w:pPr>
        <w:sectPr>
          <w:type w:val="continuous"/>
          <w:pgSz w:w="11906" w:h="16838"/>
          <w:pgMar w:top="212" w:right="194" w:bottom="186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2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décès entraine la fin de toutes les garanties pour l’Assuré concerné et 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pourra donner lieu au versement de prestations au titre d’une autre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octroyée par la Mutuelle à ce même Assuré. </w:t>
      </w:r>
    </w:p>
    <w:p>
      <w:pPr>
        <w:autoSpaceDN w:val="0"/>
        <w:autoSpaceDE w:val="0"/>
        <w:widowControl/>
        <w:spacing w:line="245" w:lineRule="auto" w:before="226" w:after="0"/>
        <w:ind w:left="142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B. Garantie Perte Totale et Irréversible d’Autonomie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reconnaissance de la PTIA est déterminée par expertise médicale.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PTIA de l’Assuré médicalement constatée pendant la période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validité de la garantie, le contrat prévoit le remboursement,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anticipation, du capital restant dû à l’organisme prêteur (y compris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montant des intérêt courus et non échus à la date de la PTIA), au prorata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Quotité assurée, calculé sur la base du dernier tableau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d’amortissement contractuel du prêt connu et accepté par la Mutuelle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l’exclusion des mensualités échues et non réglées à cette date ainsi que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intérêts, frais ou autres pénalités à courir en exécution des clauses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contrat de prêt, à la date de reconnaissance par le Médecin-Conseil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Mutuelle de la PTIA. </w:t>
      </w:r>
    </w:p>
    <w:p>
      <w:pPr>
        <w:autoSpaceDN w:val="0"/>
        <w:autoSpaceDE w:val="0"/>
        <w:widowControl/>
        <w:spacing w:line="233" w:lineRule="auto" w:before="8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L’échéance qui se situerait le jour de la reconnaissance de la PTIA sera </w:t>
      </w:r>
    </w:p>
    <w:p>
      <w:pPr>
        <w:sectPr>
          <w:type w:val="continuous"/>
          <w:pgSz w:w="11906" w:h="16838"/>
          <w:pgMar w:top="212" w:right="194" w:bottom="186" w:left="256" w:header="720" w:footer="720" w:gutter="0"/>
          <w:cols w:num="2" w:equalWidth="0">
            <w:col w:w="566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Chaque Sinistre bénéficiera de la même période de Franchise et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même durée maximum d’indemnisation. </w:t>
      </w:r>
    </w:p>
    <w:p>
      <w:pPr>
        <w:autoSpaceDN w:val="0"/>
        <w:autoSpaceDE w:val="0"/>
        <w:widowControl/>
        <w:spacing w:line="245" w:lineRule="auto" w:before="226" w:after="0"/>
        <w:ind w:left="100" w:right="25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S’agissant de prêts avec une période de différé d’amortissement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(pendant la période de différé) ou de prêts in fine, il sera versé, au prorata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temporis et à terme échu les seuls intérêts annuels dus par l’Adhérent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titre du prêt garanti et dans la limite de la quotité assurée.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conséquent, s’il s’agit d’un différé total (le remboursement du capital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intérêts est différé), aucune prestation n’est due. Pour les prêts in fine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les prêts relais, la garantie n’inclut pas la prise en charge de la dernière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échéance (remboursement du capital). </w:t>
      </w:r>
    </w:p>
    <w:p>
      <w:pPr>
        <w:autoSpaceDN w:val="0"/>
        <w:autoSpaceDE w:val="0"/>
        <w:widowControl/>
        <w:spacing w:line="245" w:lineRule="auto" w:before="8" w:after="0"/>
        <w:ind w:left="100" w:right="26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En cas de pluralité d’Assurés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un même prêt, et d’arrêt de travail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concomitant des coassurés sur la même période, il pourra être versé 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prestation dans la double limite des Quotités assurées et de 100%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l’échéance réellement due à l’organisme prêteur. </w:t>
      </w:r>
    </w:p>
    <w:p>
      <w:pPr>
        <w:autoSpaceDN w:val="0"/>
        <w:autoSpaceDE w:val="0"/>
        <w:widowControl/>
        <w:spacing w:line="233" w:lineRule="auto" w:before="226" w:after="8"/>
        <w:ind w:left="10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A.2 Versement d’Indemnités en cas d’Incapacité Temporaire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nextColumn"/>
          <w:pgSz w:w="11906" w:h="16838"/>
          <w:pgMar w:top="212" w:right="194" w:bottom="186" w:left="256" w:header="720" w:footer="720" w:gutter="0"/>
          <w:cols w:num="2" w:equalWidth="0">
            <w:col w:w="5668" w:space="0"/>
            <w:col w:w="5788" w:space="0"/>
          </w:cols>
          <w:docGrid w:linePitch="360"/>
        </w:sectPr>
      </w:pPr>
    </w:p>
    <w:p>
      <w:pPr>
        <w:autoSpaceDN w:val="0"/>
        <w:tabs>
          <w:tab w:pos="5768" w:val="left"/>
        </w:tabs>
        <w:autoSpaceDE w:val="0"/>
        <w:widowControl/>
        <w:spacing w:line="233" w:lineRule="auto" w:before="0" w:after="8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prise en charge par la Mutuelle.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Partielle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12" w:right="194" w:bottom="186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2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capital restant dû au jour de la reconnaissance de PTIA ne saurait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excéder au maximum le capital assuré lors de l’adhésion (y compris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montant des intérêt courus et non échus à la date de la reconnaissance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PTIA) et ne peut excéder le capital restant dû à l’organisme prêteur </w:t>
      </w:r>
    </w:p>
    <w:p>
      <w:pPr>
        <w:sectPr>
          <w:type w:val="continuous"/>
          <w:pgSz w:w="11906" w:h="16838"/>
          <w:pgMar w:top="212" w:right="194" w:bottom="186" w:left="256" w:header="720" w:footer="720" w:gutter="0"/>
          <w:cols w:num="2" w:equalWidth="0">
            <w:col w:w="566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0"/>
        <w:ind w:left="100" w:right="2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Lorsque l’Assuré en ITT reprend une activité professionnelle à temps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partiel thérapeutique, pendant la période de validité de la garantie,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n’applique pas de nouvelle période de Franchise et verse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indemnités d’un montant égal à 50% de l’indemnité prévue en cas d’ITT </w:t>
      </w:r>
    </w:p>
    <w:p>
      <w:pPr>
        <w:sectPr>
          <w:type w:val="nextColumn"/>
          <w:pgSz w:w="11906" w:h="16838"/>
          <w:pgMar w:top="212" w:right="194" w:bottom="186" w:left="256" w:header="720" w:footer="720" w:gutter="0"/>
          <w:cols w:num="2" w:equalWidth="0">
            <w:col w:w="5668" w:space="0"/>
            <w:col w:w="5788" w:space="0"/>
          </w:cols>
          <w:docGrid w:linePitch="360"/>
        </w:sectPr>
      </w:pPr>
    </w:p>
    <w:p>
      <w:pPr>
        <w:autoSpaceDN w:val="0"/>
        <w:tabs>
          <w:tab w:pos="5768" w:val="left"/>
        </w:tabs>
        <w:autoSpaceDE w:val="0"/>
        <w:widowControl/>
        <w:spacing w:line="233" w:lineRule="auto" w:before="0" w:after="226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jour du décès de l’Assuré.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(point A.1 ci-dessus). </w:t>
      </w:r>
    </w:p>
    <w:p>
      <w:pPr>
        <w:sectPr>
          <w:type w:val="continuous"/>
          <w:pgSz w:w="11906" w:h="16838"/>
          <w:pgMar w:top="212" w:right="194" w:bottom="186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2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pourcentage assuré sur chaque tête ne peut être supérieur à 100%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 même prêt. L’engagement de la Mutuelle ne saurait excéder 100%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capital restant dû à l’organisme prêteur. </w:t>
      </w:r>
    </w:p>
    <w:p>
      <w:pPr>
        <w:sectPr>
          <w:type w:val="continuous"/>
          <w:pgSz w:w="11906" w:h="16838"/>
          <w:pgMar w:top="212" w:right="194" w:bottom="186" w:left="256" w:header="720" w:footer="720" w:gutter="0"/>
          <w:cols w:num="2" w:equalWidth="0">
            <w:col w:w="5666" w:space="0"/>
            <w:col w:w="579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0"/>
        <w:ind w:left="102" w:right="26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versement des indemnités en cas d’Incapacité Temporaire Partielle 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poursuit jusqu’à la fin de l’Incapacité Temporaire Partielle médicalement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justifiée et au maximum pendant 180 jours. </w:t>
      </w:r>
    </w:p>
    <w:p>
      <w:pPr>
        <w:sectPr>
          <w:type w:val="nextColumn"/>
          <w:pgSz w:w="11906" w:h="16838"/>
          <w:pgMar w:top="212" w:right="194" w:bottom="186" w:left="256" w:header="720" w:footer="720" w:gutter="0"/>
          <w:cols w:num="2" w:equalWidth="0">
            <w:col w:w="5666" w:space="0"/>
            <w:col w:w="5790" w:space="0"/>
          </w:cols>
          <w:docGrid w:linePitch="360"/>
        </w:sectPr>
      </w:pPr>
    </w:p>
    <w:p>
      <w:pPr>
        <w:autoSpaceDN w:val="0"/>
        <w:tabs>
          <w:tab w:pos="5768" w:val="left"/>
        </w:tabs>
        <w:autoSpaceDE w:val="0"/>
        <w:widowControl/>
        <w:spacing w:line="245" w:lineRule="auto" w:before="0" w:after="10"/>
        <w:ind w:left="142" w:right="460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règles relatives au paiement de la prestation et au cumul d’assurance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plusieurs têtes telles que mentionnées ci-dessus pour la garantie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A.3 Rechute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12" w:right="194" w:bottom="186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Décès sont applicables à la garantie PTIA. </w:t>
      </w:r>
    </w:p>
    <w:p>
      <w:pPr>
        <w:autoSpaceDN w:val="0"/>
        <w:autoSpaceDE w:val="0"/>
        <w:widowControl/>
        <w:spacing w:line="245" w:lineRule="auto" w:before="228" w:after="0"/>
        <w:ind w:left="142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paiement du capital restant dû ou des loyers restants dus en cas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PTIA entraine la fin de toutes les garanties pour l’Assuré concerné et 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pourra donner lieu au versement de prestations au titre d’une autre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octroyée par la Mutuelle à ce même Assuré. </w:t>
      </w:r>
    </w:p>
    <w:p>
      <w:pPr>
        <w:sectPr>
          <w:type w:val="continuous"/>
          <w:pgSz w:w="11906" w:h="16838"/>
          <w:pgMar w:top="212" w:right="194" w:bottom="186" w:left="256" w:header="720" w:footer="720" w:gutter="0"/>
          <w:cols w:num="2" w:equalWidth="0">
            <w:col w:w="566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2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Quand l’Assuré est de nouveau en état d’ITT, pour les mêmes raisons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médicalement constatées lors de son arrêt de travail précédent,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considère qu’il y a Rechute si cet arrêt de travail se produit dans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60 jours suivant sa reprise d’activité. Dans ce cas la Mutuelle traite ces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deux arrêts comme un seul et même Sinistre ; Elle n’applique pas de </w:t>
      </w:r>
    </w:p>
    <w:p>
      <w:pPr>
        <w:autoSpaceDN w:val="0"/>
        <w:autoSpaceDE w:val="0"/>
        <w:widowControl/>
        <w:spacing w:line="176" w:lineRule="exact" w:before="314" w:after="148"/>
        <w:ind w:left="0" w:right="20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6</w:t>
      </w:r>
    </w:p>
    <w:p>
      <w:pPr>
        <w:sectPr>
          <w:type w:val="nextColumn"/>
          <w:pgSz w:w="11906" w:h="16838"/>
          <w:pgMar w:top="212" w:right="194" w:bottom="186" w:left="256" w:header="720" w:footer="720" w:gutter="0"/>
          <w:cols w:num="2" w:equalWidth="0">
            <w:col w:w="566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2" w:right="2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V0124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10" w:after="0"/>
        <w:ind w:left="142" w:right="21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V0124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6 Cours André Philip - 69100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Villeurbanne. 20240521_ZENIOO0124_NI </w:t>
      </w:r>
    </w:p>
    <w:p>
      <w:pPr>
        <w:sectPr>
          <w:type w:val="continuous"/>
          <w:pgSz w:w="11906" w:h="16838"/>
          <w:pgMar w:top="212" w:right="194" w:bottom="186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48" w:val="left"/>
        </w:tabs>
        <w:autoSpaceDE w:val="0"/>
        <w:widowControl/>
        <w:spacing w:line="240" w:lineRule="auto" w:before="0" w:after="0"/>
        <w:ind w:left="2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8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nouvelle période de Franchise et indemnise l’Assuré dans les mêmes </w:t>
      </w:r>
    </w:p>
    <w:p>
      <w:pPr>
        <w:sectPr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et limites que prévues aux paragraphes précédents.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178" w:space="0"/>
            <w:col w:w="613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448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S’agissant de prêts avec une période de différé d’amortissement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(pendant la période de différé) ou de prêts in fine, il sera versé, au prorata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178" w:space="0"/>
            <w:col w:w="6136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0" w:lineRule="auto" w:before="0" w:after="1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A.4 Maternité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temporis et à terme échu les seuls intérêts annuels dus par l’Adhérent au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cours de Contrat, les Assurées en état de grossesse, peuvent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bénéficier des prestations si elles se trouvent en ITT pour des causes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pathologiques. Les prestations sont réglées après application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Franchise. Elles cessent pendant la période de congé légal de maternité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régime de la Sécurité Sociale même pour les Assurées ayant 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activité professionnelle non salariée. </w:t>
      </w:r>
    </w:p>
    <w:p>
      <w:pPr>
        <w:autoSpaceDN w:val="0"/>
        <w:autoSpaceDE w:val="0"/>
        <w:widowControl/>
        <w:spacing w:line="245" w:lineRule="auto" w:before="8" w:after="0"/>
        <w:ind w:left="0" w:right="10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arrêts de travail résultant de grossesses, de fausse couche,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l’accouchement normal ou prématuré ou de ses suites, ne sont garantis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qu’en cas de complications pathologiques et dans les conditions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25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titre du prêt garanti et dans la limite de la quotité assurée.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conséquent, s’il s’agit d’un différé total (le remboursement du capital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intérêts est différé), aucune prestation n’est due. Pour les prêts in fine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les prêts relais, la garantie n’inclut pas la prise en charge de la dernière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échéance (remboursement du capital). </w:t>
      </w:r>
    </w:p>
    <w:p>
      <w:pPr>
        <w:autoSpaceDN w:val="0"/>
        <w:autoSpaceDE w:val="0"/>
        <w:widowControl/>
        <w:spacing w:line="245" w:lineRule="auto" w:before="228" w:after="10"/>
        <w:ind w:left="100" w:right="2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En cas de pluralité d’Assurés pour un même prêt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,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le pourcentage assuré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chaque tête ne peut être supérieur à 100% d’un même prêt.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L’engagement de la Mutuelle ne saurait excéder 100% du capital restant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suivantes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dû à l’organisme prêteur. </w:t>
      </w:r>
    </w:p>
    <w:p>
      <w:pPr>
        <w:autoSpaceDN w:val="0"/>
        <w:tabs>
          <w:tab w:pos="5626" w:val="left"/>
        </w:tabs>
        <w:autoSpaceDE w:val="0"/>
        <w:widowControl/>
        <w:spacing w:line="233" w:lineRule="auto" w:before="1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Pendant la grossesse, avant le début du congé légal de maternité, la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règles relatives au paiement de la prestation et au cumul d’assurance </w:t>
      </w:r>
    </w:p>
    <w:p>
      <w:pPr>
        <w:autoSpaceDN w:val="0"/>
        <w:tabs>
          <w:tab w:pos="5626" w:val="left"/>
        </w:tabs>
        <w:autoSpaceDE w:val="0"/>
        <w:widowControl/>
        <w:spacing w:line="233" w:lineRule="auto" w:before="6" w:after="10"/>
        <w:ind w:left="14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Franchise s’applique,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plusieurs têtes telles que mentionnées ci-dessus pour la garantie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tabs>
          <w:tab w:pos="140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Après l’accouchement, normal ou prématuré, la Franchise s’applique à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compter de la fin du congé légal de maternité. </w:t>
      </w:r>
    </w:p>
    <w:p>
      <w:pPr>
        <w:autoSpaceDN w:val="0"/>
        <w:autoSpaceDE w:val="0"/>
        <w:widowControl/>
        <w:spacing w:line="358" w:lineRule="auto" w:before="226" w:after="0"/>
        <w:ind w:left="0" w:right="1152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B. Garantie Invalidité Permanente Totale (IPT)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B.1 Prestations périodiques : versement d’indemnités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4" w:space="0"/>
            <w:col w:w="579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0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Décès sont applicables à la garantie IPT en prestation unique. </w:t>
      </w:r>
    </w:p>
    <w:p>
      <w:pPr>
        <w:autoSpaceDN w:val="0"/>
        <w:autoSpaceDE w:val="0"/>
        <w:widowControl/>
        <w:spacing w:line="245" w:lineRule="auto" w:before="226" w:after="8"/>
        <w:ind w:left="102" w:right="2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paiement du capital restant dû ou des loyers restants dus en cas d’IPT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prestation unique entraine la fin de toutes les garanties pour l’Assuré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concerné et ne pourra donner lieu au versement de prestations au titre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d’une autre garantie octroyée par la Mutuelle à ce même Assuré.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4" w:space="0"/>
            <w:col w:w="5790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prestations périodiques sont versées au Bénéficiaire en cas d’IPT de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l’Assuré, pendant la période de validité de la garantie, la Mutuelle verse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indemnité égale à 100% des échéances des prêts garantis multipliés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quotité assurée, dans la limite des échéances réellement dues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à l’organisme prêteur, y compris les intérêts, sur la base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dernier tableau d’amortissement connu et accepté par la Mutuelle,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pendant la période d’IPT médicalement justifiée.</w:t>
      </w:r>
    </w:p>
    <w:p>
      <w:pPr>
        <w:autoSpaceDN w:val="0"/>
        <w:autoSpaceDE w:val="0"/>
        <w:widowControl/>
        <w:spacing w:line="245" w:lineRule="auto" w:before="226" w:after="0"/>
        <w:ind w:left="0" w:right="10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Sont exclus de la garantie les échéances échues et non réglées ainsi que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intérêts, frais ou toutes autres pénalités à courir en exécution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clauses du contrat de prêt au jour de la survenance du Sinistre. </w:t>
      </w:r>
    </w:p>
    <w:p>
      <w:pPr>
        <w:autoSpaceDN w:val="0"/>
        <w:autoSpaceDE w:val="0"/>
        <w:widowControl/>
        <w:spacing w:line="245" w:lineRule="auto" w:before="228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versement des indemnités journalières s’effectue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dès la fin de la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période de Franchise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indiquée au Certificat Individuel d’Adhésion ou sur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dernier avenant venant le modifier. Il se poursuit jusqu’à la fin de l’IPT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médicalement justifiée et tant que le terme des garanties tel que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déterminé à l’article 8.2 n’est pas atteint. </w:t>
      </w:r>
    </w:p>
    <w:p>
      <w:pPr>
        <w:autoSpaceDN w:val="0"/>
        <w:autoSpaceDE w:val="0"/>
        <w:widowControl/>
        <w:spacing w:line="245" w:lineRule="auto" w:before="22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Chaque Sinistre bénéficiera de la même période de Franchise et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même durée maximum d’indemnisation. </w:t>
      </w:r>
    </w:p>
    <w:p>
      <w:pPr>
        <w:autoSpaceDN w:val="0"/>
        <w:autoSpaceDE w:val="0"/>
        <w:widowControl/>
        <w:spacing w:line="245" w:lineRule="auto" w:before="226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S’agissant de prêts avec une période de différé d’amortissement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(pendant la période de différé) ou de prêts in fine, il sera versé, au prorata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temporis et à terme échu les seuls intérêts annuels dus par l’Adhérent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titre du prêt garanti et dans la limite de la quotité assurée.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conséquent, s’il s’agit d’un différé total (le remboursement du capital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intérêts est différé), aucune prestation n’est due. Pour les prêts in fine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les prêts relais, la garantie n’inclut pas la prise en charge de la dernière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échéance (remboursement du capital). </w:t>
      </w:r>
    </w:p>
    <w:p>
      <w:pPr>
        <w:autoSpaceDN w:val="0"/>
        <w:autoSpaceDE w:val="0"/>
        <w:widowControl/>
        <w:spacing w:line="245" w:lineRule="auto" w:before="1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En cas de pluralité d’Assurés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un même prêt, et d’arrêt de travail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concomitant des coassurés sur la même période, il pourra être versé 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prestation dans la double limite des Quotités Assurées et de 100%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l’échéance réellement due à ’organisme prêteur. </w:t>
      </w:r>
    </w:p>
    <w:p>
      <w:pPr>
        <w:autoSpaceDN w:val="0"/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B.2 Prestation unique : versement du capital restant dû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226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peut opter à l’adhésion pour le versement d’une prestation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unique en cas d’IPT, à la condition qu’il soit en activité ou qu’il réside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France continentale. </w:t>
      </w:r>
    </w:p>
    <w:p>
      <w:pPr>
        <w:autoSpaceDN w:val="0"/>
        <w:autoSpaceDE w:val="0"/>
        <w:widowControl/>
        <w:spacing w:line="245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prestation est égale au capital restant dû à la date de reconnaissance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l’IPT auquel est appliqué la Quotité Assurée.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B.3 Détermination du taux Global d’invalidité « N »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ouvrir droit aux prestations au titre de la garantie IPT, le taux global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d’invalidité « N » doit être au moins égal à 66%. </w:t>
      </w:r>
    </w:p>
    <w:p>
      <w:pPr>
        <w:autoSpaceDN w:val="0"/>
        <w:autoSpaceDE w:val="0"/>
        <w:widowControl/>
        <w:spacing w:line="245" w:lineRule="auto" w:before="8" w:after="0"/>
        <w:ind w:left="100" w:right="16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d’invalidité est apprécié en fonction du taux d’invalidité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fonctionnelle et du taux d’invalidité professionnelle. Ces derniers sont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appréciés grâce à une expertise médicale effectuée par un médecin expert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missionné par la Mutuelle, dès lors que l'état de l'Assuré peut être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considéré comme consolidé (stabilisé). </w:t>
      </w:r>
    </w:p>
    <w:p>
      <w:pPr>
        <w:autoSpaceDN w:val="0"/>
        <w:autoSpaceDE w:val="0"/>
        <w:widowControl/>
        <w:spacing w:line="245" w:lineRule="auto" w:before="8" w:after="0"/>
        <w:ind w:left="100" w:right="16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d’invalidité fonctionnelle est établi d’après le barème de droit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commun du Concours Médical en vigueur au jour de constatation de l’état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d’invalidité, quelle que soit la profession de l’Assuré. </w:t>
      </w:r>
    </w:p>
    <w:p>
      <w:pPr>
        <w:autoSpaceDN w:val="0"/>
        <w:autoSpaceDE w:val="0"/>
        <w:widowControl/>
        <w:spacing w:line="245" w:lineRule="auto" w:before="226" w:after="0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d’invalidité professionnelle est apprécié par rapport à l’activité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professionnelle exercée par l’Assuré. </w:t>
      </w:r>
    </w:p>
    <w:p>
      <w:pPr>
        <w:autoSpaceDN w:val="0"/>
        <w:autoSpaceDE w:val="0"/>
        <w:widowControl/>
        <w:spacing w:line="245" w:lineRule="auto" w:before="226" w:after="0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global d’invalidité « N » est déterminé en fonction des taux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d'invalidité fonctionnelle et professionnelle selon le tableau suivant : </w:t>
      </w:r>
    </w:p>
    <w:p>
      <w:pPr>
        <w:autoSpaceDN w:val="0"/>
        <w:autoSpaceDE w:val="0"/>
        <w:widowControl/>
        <w:spacing w:line="240" w:lineRule="auto" w:before="226" w:after="0"/>
        <w:ind w:left="1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483610" cy="22174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217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76" w:lineRule="exact" w:before="1172" w:after="148"/>
        <w:ind w:left="0" w:right="20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7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V0124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10" w:after="0"/>
        <w:ind w:left="0" w:right="21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V0124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6 Cours André Philip - 69100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Villeurbanne. 20240521_ZENIOO0124_NI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48" w:val="left"/>
        </w:tabs>
        <w:autoSpaceDE w:val="0"/>
        <w:widowControl/>
        <w:spacing w:line="240" w:lineRule="auto" w:before="0" w:after="0"/>
        <w:ind w:left="2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80"/>
        <w:sectPr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Assurés sans activité professionnelle au jour du sinistre, le taux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global d’invalidité « N » est déterminé en fonction du seul taux d'invalidité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L’option DOS et PSY permet à l’assuré d’être couvert en cas d’ITT, d’IPT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d’IPP résultant d’une atteinte discale et / ou vertébrale et / ou radiculaire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fonctionnelle.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résultant d’une affection psychiatrique, sans condition d’intervention </w:t>
      </w:r>
    </w:p>
    <w:p>
      <w:pPr>
        <w:autoSpaceDN w:val="0"/>
        <w:autoSpaceDE w:val="0"/>
        <w:widowControl/>
        <w:spacing w:line="230" w:lineRule="auto" w:before="8" w:after="10"/>
        <w:ind w:left="0" w:right="260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chirurgicale ou d’hospitalisation, dont le périmètre est définie par la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statue sur le droit à prestation. Les pièces émanant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Sécurité sociale ou d’organismes similaires n’engagent pas la Mutuelle. </w:t>
      </w:r>
    </w:p>
    <w:p>
      <w:pPr>
        <w:autoSpaceDN w:val="0"/>
        <w:autoSpaceDE w:val="0"/>
        <w:widowControl/>
        <w:spacing w:line="233" w:lineRule="auto" w:before="228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C. Garantie Invalidité Permanente Partielle (IPP)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4" w:space="0"/>
            <w:col w:w="579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446"/>
        <w:ind w:left="102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après sélection médicale et proposition tarifaire adaptée 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situation personnelle de l’Assuré.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4" w:space="0"/>
            <w:col w:w="5790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45" w:lineRule="auto" w:before="0" w:after="0"/>
        <w:ind w:left="0" w:right="4176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Cette garantie ne peut être souscrite qu’en complément des garanties ITT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 Option « DOS »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IPT. </w:t>
      </w:r>
    </w:p>
    <w:p>
      <w:pPr>
        <w:autoSpaceDN w:val="0"/>
        <w:tabs>
          <w:tab w:pos="5626" w:val="left"/>
        </w:tabs>
        <w:autoSpaceDE w:val="0"/>
        <w:widowControl/>
        <w:spacing w:line="245" w:lineRule="auto" w:before="8" w:after="6"/>
        <w:ind w:left="0" w:right="144" w:firstLine="0"/>
        <w:jc w:val="left"/>
      </w:pP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Avec l’option « DOS et PSY », les Sinistres résultant et/ou provenant des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C.1 Prestations périodiques sous forme d’indemnités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maladies et atteintes  suivantes sont couvertes sans condition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d’IPP de l’Assuré constatée pendant la période de validité de la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d’hospitalisation :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la Mutuelle verse, en fonction du taux global d’invalidité « N » de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71"/>
        <w:gridCol w:w="3771"/>
        <w:gridCol w:w="3771"/>
      </w:tblGrid>
      <w:tr>
        <w:trPr>
          <w:trHeight w:hRule="exact" w:val="204"/>
        </w:trPr>
        <w:tc>
          <w:tcPr>
            <w:tcW w:type="dxa" w:w="58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l’Assuré au prorata temporis et à terme échu une fraction des échéances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Hernie discale,</w:t>
            </w:r>
          </w:p>
        </w:tc>
      </w:tr>
      <w:tr>
        <w:trPr>
          <w:trHeight w:hRule="exact" w:val="220"/>
        </w:trPr>
        <w:tc>
          <w:tcPr>
            <w:tcW w:type="dxa" w:w="58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réellement dues par l’Adhérent à l’organisme prêteur, y compris les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protrusion discale,</w:t>
            </w:r>
          </w:p>
        </w:tc>
      </w:tr>
      <w:tr>
        <w:trPr>
          <w:trHeight w:hRule="exact" w:val="220"/>
        </w:trPr>
        <w:tc>
          <w:tcPr>
            <w:tcW w:type="dxa" w:w="58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intérêts, en fonction de la Quotité Assurée, pendant la période d’IPP sur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cervicalgie,</w:t>
            </w:r>
          </w:p>
        </w:tc>
      </w:tr>
      <w:tr>
        <w:trPr>
          <w:trHeight w:hRule="exact" w:val="220"/>
        </w:trPr>
        <w:tc>
          <w:tcPr>
            <w:tcW w:type="dxa" w:w="58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la base du dernier tableau d’amortissement connu et accepté par la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dorsalgie,</w:t>
            </w:r>
          </w:p>
        </w:tc>
      </w:tr>
      <w:tr>
        <w:trPr>
          <w:trHeight w:hRule="exact" w:val="220"/>
        </w:trPr>
        <w:tc>
          <w:tcPr>
            <w:tcW w:type="dxa" w:w="58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Mutuelle.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lombalgie,</w:t>
            </w:r>
          </w:p>
        </w:tc>
      </w:tr>
      <w:tr>
        <w:trPr>
          <w:trHeight w:hRule="exact" w:val="231"/>
        </w:trPr>
        <w:tc>
          <w:tcPr>
            <w:tcW w:type="dxa" w:w="58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Cette fraction de l’indemnité est égale à (N-33%)/66 des échéances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sciatalgie,</w:t>
            </w:r>
          </w:p>
        </w:tc>
      </w:tr>
      <w:tr>
        <w:trPr>
          <w:trHeight w:hRule="exact" w:val="189"/>
        </w:trPr>
        <w:tc>
          <w:tcPr>
            <w:tcW w:type="dxa" w:w="3771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cruralgie,</w:t>
            </w:r>
          </w:p>
        </w:tc>
      </w:tr>
      <w:tr>
        <w:trPr>
          <w:trHeight w:hRule="exact" w:val="220"/>
        </w:trPr>
        <w:tc>
          <w:tcPr>
            <w:tcW w:type="dxa" w:w="58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multipliée par la Quotité Assurée.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radiculalgie,</w:t>
            </w:r>
          </w:p>
        </w:tc>
      </w:tr>
      <w:tr>
        <w:trPr>
          <w:trHeight w:hRule="exact" w:val="248"/>
        </w:trPr>
        <w:tc>
          <w:tcPr>
            <w:tcW w:type="dxa" w:w="58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Sont exclus de la garantie les échéances échues et non réglées ainsi que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4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discopathie,</w:t>
            </w:r>
          </w:p>
        </w:tc>
      </w:tr>
      <w:tr>
        <w:trPr>
          <w:trHeight w:hRule="exact" w:val="192"/>
        </w:trPr>
        <w:tc>
          <w:tcPr>
            <w:tcW w:type="dxa" w:w="3771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scoliose,</w:t>
            </w:r>
          </w:p>
        </w:tc>
      </w:tr>
      <w:tr>
        <w:trPr>
          <w:trHeight w:hRule="exact" w:val="220"/>
        </w:trPr>
        <w:tc>
          <w:tcPr>
            <w:tcW w:type="dxa" w:w="58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intérêts, frais ou toutes autres pénalités à courir en exécution des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cyphose,</w:t>
            </w:r>
          </w:p>
        </w:tc>
      </w:tr>
      <w:tr>
        <w:trPr>
          <w:trHeight w:hRule="exact" w:val="220"/>
        </w:trPr>
        <w:tc>
          <w:tcPr>
            <w:tcW w:type="dxa" w:w="58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clauses du contrat de prêt au jour de la survenance du Sinistre.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2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lordose,</w:t>
            </w:r>
          </w:p>
        </w:tc>
      </w:tr>
      <w:tr>
        <w:trPr>
          <w:trHeight w:hRule="exact" w:val="234"/>
        </w:trPr>
        <w:tc>
          <w:tcPr>
            <w:tcW w:type="dxa" w:w="58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2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S’agissant de prêts avec une période différée d’amortissement ou de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canal lombaire étroit,</w:t>
            </w:r>
          </w:p>
        </w:tc>
      </w:tr>
      <w:tr>
        <w:trPr>
          <w:trHeight w:hRule="exact" w:val="206"/>
        </w:trPr>
        <w:tc>
          <w:tcPr>
            <w:tcW w:type="dxa" w:w="3771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sciatique,</w:t>
            </w:r>
          </w:p>
        </w:tc>
      </w:tr>
      <w:tr>
        <w:trPr>
          <w:trHeight w:hRule="exact" w:val="220"/>
        </w:trPr>
        <w:tc>
          <w:tcPr>
            <w:tcW w:type="dxa" w:w="58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prêts in fine, il sera versé, au prorata temporis et à terme échu les seuls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2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spondylolisthésis,</w:t>
            </w:r>
          </w:p>
        </w:tc>
      </w:tr>
      <w:tr>
        <w:trPr>
          <w:trHeight w:hRule="exact" w:val="200"/>
        </w:trPr>
        <w:tc>
          <w:tcPr>
            <w:tcW w:type="dxa" w:w="58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intérêts annuels dus par l’Adhérent au titre du prêt garanti. Pour les prêts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spondylarthrose,</w:t>
            </w:r>
          </w:p>
        </w:tc>
      </w:tr>
      <w:tr>
        <w:trPr>
          <w:trHeight w:hRule="exact" w:val="220"/>
        </w:trPr>
        <w:tc>
          <w:tcPr>
            <w:tcW w:type="dxa" w:w="58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in fine la garantie n’inclut pas la prise en charge de la dernière échéance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fracture vertébrale,</w:t>
            </w:r>
          </w:p>
        </w:tc>
      </w:tr>
      <w:tr>
        <w:trPr>
          <w:trHeight w:hRule="exact" w:val="220"/>
        </w:trPr>
        <w:tc>
          <w:tcPr>
            <w:tcW w:type="dxa" w:w="58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(remboursement du capital).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luxation vertébrale,</w:t>
            </w:r>
          </w:p>
        </w:tc>
      </w:tr>
      <w:tr>
        <w:trPr>
          <w:trHeight w:hRule="exact" w:val="212"/>
        </w:trPr>
        <w:tc>
          <w:tcPr>
            <w:tcW w:type="dxa" w:w="3771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entorse vertébrale,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augmentation de la mensualité qui interviendrait durant la phase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versement des prestations ou dans les 6 mois précédents l’arrêt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travail, ne sera pas prise en considération sauf si cette augmentation 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été prévue à l’origine dans l’accord de Prêt et n’est pas laissé à l’initiative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l’Assuré.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tabs>
          <w:tab w:pos="820" w:val="left"/>
          <w:tab w:pos="1180" w:val="left"/>
        </w:tabs>
        <w:autoSpaceDE w:val="0"/>
        <w:widowControl/>
        <w:spacing w:line="245" w:lineRule="auto" w:before="0" w:after="226"/>
        <w:ind w:left="100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>névralgie cervico-brachiale</w:t>
      </w:r>
      <w:r>
        <w:rPr>
          <w:rFonts w:ascii="Segoe UI" w:hAnsi="Segoe UI" w:eastAsia="Segoe UI"/>
          <w:b/>
          <w:i w:val="0"/>
          <w:color w:val="000000"/>
          <w:sz w:val="18"/>
        </w:rPr>
        <w:t xml:space="preserve">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certains cas, la Mutuelle peut imposer dans le Bon pour accord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spéciales excluant la couverture de ces atteintes ; maintenir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une condition d’hospitalisation ou d’intervention chirurgicale.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57"/>
        <w:gridCol w:w="5657"/>
      </w:tblGrid>
      <w:tr>
        <w:trPr>
          <w:trHeight w:hRule="exact" w:val="384"/>
        </w:trPr>
        <w:tc>
          <w:tcPr>
            <w:tcW w:type="dxa" w:w="4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0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C.2 Détermination du taux Global d’Invalidité « N »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84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B. Option « PSY »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"/>
        <w:ind w:left="0" w:right="0"/>
      </w:pP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détermination du taux Global d’Invalidité « N » est identique à celle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utilisée pour l'IPT au paragraphe B.3 de la notice d’information.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4" w:space="0"/>
            <w:col w:w="579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0"/>
        <w:ind w:left="102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Avec l’option « DOS et PSY »,les Sinistres résultant et ou provenant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maladies et troubles suivants sont pris en charge sans condition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4" w:space="0"/>
            <w:col w:w="579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71"/>
        <w:gridCol w:w="3771"/>
        <w:gridCol w:w="3771"/>
      </w:tblGrid>
      <w:tr>
        <w:trPr>
          <w:trHeight w:hRule="exact" w:val="316"/>
        </w:trPr>
        <w:tc>
          <w:tcPr>
            <w:tcW w:type="dxa" w:w="55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 taux d’invalidité doit être égal ou supérieur à 33%. </w:t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0" w:right="98" w:firstLine="0"/>
              <w:jc w:val="both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La prise en charge des remboursements s’applique pendant la durée de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l’invalidité et tant que le terme des prestations tel que déterminé à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l’article 8.2 n’est pas atteint.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La garantie cesse d’être due si l’Assuré est reconnu en état d’IPT ou de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PTIA et pris en charge au titre de l’une de ces garanties. </w:t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0" w:right="94" w:firstLine="0"/>
              <w:jc w:val="both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Toute reprise d’une activité professionnelle équivalente à temps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plein entraine la cessation des prestations au titre de la garantie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IPP, le taux Global d’Invalidité « N » étant dans ce cas réévalué. </w:t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0" w:right="94" w:firstLine="0"/>
              <w:jc w:val="both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  <w:u w:val="single"/>
              </w:rPr>
              <w:t>En cas de pluralité d’Assurés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 pour un même prêt, et d’IPP concomitant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des coassurés sur la même période, il pourra être versé une prestation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dans la double limite des Quotités assurées et de 100% de l’échéance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réellement due à l’organisme prêteur. </w:t>
            </w:r>
          </w:p>
          <w:p>
            <w:pPr>
              <w:autoSpaceDN w:val="0"/>
              <w:autoSpaceDE w:val="0"/>
              <w:widowControl/>
              <w:spacing w:line="233" w:lineRule="auto" w:before="226" w:after="0"/>
              <w:ind w:left="0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9.3 Option « DOS et PSY »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 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d’hospitalisation: </w:t>
            </w:r>
          </w:p>
        </w:tc>
      </w:tr>
      <w:tr>
        <w:trPr>
          <w:trHeight w:hRule="exact" w:val="320"/>
        </w:trPr>
        <w:tc>
          <w:tcPr>
            <w:tcW w:type="dxa" w:w="377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2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Dépression,</w:t>
            </w:r>
          </w:p>
        </w:tc>
      </w:tr>
      <w:tr>
        <w:trPr>
          <w:trHeight w:hRule="exact" w:val="220"/>
        </w:trPr>
        <w:tc>
          <w:tcPr>
            <w:tcW w:type="dxa" w:w="377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dépression nerveuse,</w:t>
            </w:r>
          </w:p>
        </w:tc>
      </w:tr>
      <w:tr>
        <w:trPr>
          <w:trHeight w:hRule="exact" w:val="220"/>
        </w:trPr>
        <w:tc>
          <w:tcPr>
            <w:tcW w:type="dxa" w:w="377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dépression réactionnelle,</w:t>
            </w:r>
          </w:p>
        </w:tc>
      </w:tr>
      <w:tr>
        <w:trPr>
          <w:trHeight w:hRule="exact" w:val="220"/>
        </w:trPr>
        <w:tc>
          <w:tcPr>
            <w:tcW w:type="dxa" w:w="377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anxiété,</w:t>
            </w:r>
          </w:p>
        </w:tc>
      </w:tr>
      <w:tr>
        <w:trPr>
          <w:trHeight w:hRule="exact" w:val="220"/>
        </w:trPr>
        <w:tc>
          <w:tcPr>
            <w:tcW w:type="dxa" w:w="377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trouble bipolaire,</w:t>
            </w:r>
          </w:p>
        </w:tc>
      </w:tr>
      <w:tr>
        <w:trPr>
          <w:trHeight w:hRule="exact" w:val="220"/>
        </w:trPr>
        <w:tc>
          <w:tcPr>
            <w:tcW w:type="dxa" w:w="377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trouble obsessionnel compulsif (TOC),</w:t>
            </w:r>
          </w:p>
        </w:tc>
      </w:tr>
      <w:tr>
        <w:trPr>
          <w:trHeight w:hRule="exact" w:val="220"/>
        </w:trPr>
        <w:tc>
          <w:tcPr>
            <w:tcW w:type="dxa" w:w="377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syndrome de fatigue chronique,</w:t>
            </w:r>
          </w:p>
        </w:tc>
      </w:tr>
      <w:tr>
        <w:trPr>
          <w:trHeight w:hRule="exact" w:val="200"/>
        </w:trPr>
        <w:tc>
          <w:tcPr>
            <w:tcW w:type="dxa" w:w="377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asthénie,</w:t>
            </w:r>
          </w:p>
        </w:tc>
      </w:tr>
      <w:tr>
        <w:trPr>
          <w:trHeight w:hRule="exact" w:val="220"/>
        </w:trPr>
        <w:tc>
          <w:tcPr>
            <w:tcW w:type="dxa" w:w="377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burnout,</w:t>
            </w:r>
          </w:p>
        </w:tc>
      </w:tr>
      <w:tr>
        <w:trPr>
          <w:trHeight w:hRule="exact" w:val="220"/>
        </w:trPr>
        <w:tc>
          <w:tcPr>
            <w:tcW w:type="dxa" w:w="377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2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bore-out,</w:t>
            </w:r>
          </w:p>
        </w:tc>
      </w:tr>
      <w:tr>
        <w:trPr>
          <w:trHeight w:hRule="exact" w:val="220"/>
        </w:trPr>
        <w:tc>
          <w:tcPr>
            <w:tcW w:type="dxa" w:w="377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boulimie,</w:t>
            </w:r>
          </w:p>
        </w:tc>
      </w:tr>
      <w:tr>
        <w:trPr>
          <w:trHeight w:hRule="exact" w:val="220"/>
        </w:trPr>
        <w:tc>
          <w:tcPr>
            <w:tcW w:type="dxa" w:w="377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anorexie,</w:t>
            </w:r>
          </w:p>
        </w:tc>
      </w:tr>
      <w:tr>
        <w:trPr>
          <w:trHeight w:hRule="exact" w:val="220"/>
        </w:trPr>
        <w:tc>
          <w:tcPr>
            <w:tcW w:type="dxa" w:w="377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2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hyperphagie,</w:t>
            </w:r>
          </w:p>
        </w:tc>
      </w:tr>
      <w:tr>
        <w:trPr>
          <w:trHeight w:hRule="exact" w:val="220"/>
        </w:trPr>
        <w:tc>
          <w:tcPr>
            <w:tcW w:type="dxa" w:w="377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schizophrénie,</w:t>
            </w:r>
          </w:p>
        </w:tc>
      </w:tr>
      <w:tr>
        <w:trPr>
          <w:trHeight w:hRule="exact" w:val="220"/>
        </w:trPr>
        <w:tc>
          <w:tcPr>
            <w:tcW w:type="dxa" w:w="377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2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phobie,</w:t>
            </w:r>
          </w:p>
        </w:tc>
      </w:tr>
      <w:tr>
        <w:trPr>
          <w:trHeight w:hRule="exact" w:val="220"/>
        </w:trPr>
        <w:tc>
          <w:tcPr>
            <w:tcW w:type="dxa" w:w="377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insomnie,</w:t>
            </w:r>
          </w:p>
        </w:tc>
      </w:tr>
      <w:tr>
        <w:trPr>
          <w:trHeight w:hRule="exact" w:val="220"/>
        </w:trPr>
        <w:tc>
          <w:tcPr>
            <w:tcW w:type="dxa" w:w="377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narcolepsie,</w:t>
            </w:r>
          </w:p>
        </w:tc>
      </w:tr>
      <w:tr>
        <w:trPr>
          <w:trHeight w:hRule="exact" w:val="250"/>
        </w:trPr>
        <w:tc>
          <w:tcPr>
            <w:tcW w:type="dxa" w:w="377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6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hypersomnie,</w:t>
            </w:r>
          </w:p>
        </w:tc>
      </w:tr>
    </w:tbl>
    <w:p>
      <w:pPr>
        <w:autoSpaceDN w:val="0"/>
        <w:autoSpaceDE w:val="0"/>
        <w:widowControl/>
        <w:spacing w:line="176" w:lineRule="exact" w:before="36" w:after="0"/>
        <w:ind w:left="0" w:right="20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8</w:t>
      </w:r>
    </w:p>
    <w:p>
      <w:pPr>
        <w:autoSpaceDN w:val="0"/>
        <w:autoSpaceDE w:val="0"/>
        <w:widowControl/>
        <w:spacing w:line="245" w:lineRule="auto" w:before="148" w:after="0"/>
        <w:ind w:left="0" w:right="2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V0124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10" w:after="0"/>
        <w:ind w:left="0" w:right="21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V0124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6 Cours André Philip - 69100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Villeurbanne. 20240521_ZENIOO0124_NI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78" w:val="left"/>
        </w:tabs>
        <w:autoSpaceDE w:val="0"/>
        <w:widowControl/>
        <w:spacing w:line="240" w:lineRule="auto" w:before="0" w:after="0"/>
        <w:ind w:left="26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80"/>
        <w:sectPr>
          <w:pgSz w:w="11906" w:h="16838"/>
          <w:pgMar w:top="212" w:right="194" w:bottom="186" w:left="368" w:header="720" w:footer="720" w:gutter="0"/>
          <w:cols/>
          <w:docGrid w:linePitch="360"/>
        </w:sectPr>
      </w:pPr>
    </w:p>
    <w:p>
      <w:pPr>
        <w:autoSpaceDN w:val="0"/>
        <w:tabs>
          <w:tab w:pos="1110" w:val="left"/>
        </w:tabs>
        <w:autoSpaceDE w:val="0"/>
        <w:widowControl/>
        <w:spacing w:line="235" w:lineRule="auto" w:before="0" w:after="0"/>
        <w:ind w:left="7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>syndrome de stress post traumatique,</w:t>
      </w:r>
    </w:p>
    <w:p>
      <w:pPr>
        <w:autoSpaceDN w:val="0"/>
        <w:tabs>
          <w:tab w:pos="1110" w:val="left"/>
        </w:tabs>
        <w:autoSpaceDE w:val="0"/>
        <w:widowControl/>
        <w:spacing w:line="233" w:lineRule="auto" w:before="6" w:after="0"/>
        <w:ind w:left="7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>stress réactionnel,</w:t>
      </w:r>
    </w:p>
    <w:p>
      <w:pPr>
        <w:autoSpaceDN w:val="0"/>
        <w:tabs>
          <w:tab w:pos="1110" w:val="left"/>
        </w:tabs>
        <w:autoSpaceDE w:val="0"/>
        <w:widowControl/>
        <w:spacing w:line="235" w:lineRule="auto" w:before="8" w:after="0"/>
        <w:ind w:left="7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fibromyalgie. </w:t>
      </w:r>
    </w:p>
    <w:p>
      <w:pPr>
        <w:autoSpaceDN w:val="0"/>
        <w:autoSpaceDE w:val="0"/>
        <w:widowControl/>
        <w:spacing w:line="245" w:lineRule="auto" w:before="6" w:after="0"/>
        <w:ind w:left="30" w:right="8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certains cas, la Mutuelle peut imposer dans le Bon pour accord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spéciales excluant la couverture de ces affections, maintenir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une condition d’hospitalisation. </w:t>
      </w:r>
    </w:p>
    <w:p>
      <w:pPr>
        <w:autoSpaceDN w:val="0"/>
        <w:autoSpaceDE w:val="0"/>
        <w:widowControl/>
        <w:spacing w:line="233" w:lineRule="auto" w:before="228" w:after="0"/>
        <w:ind w:left="30" w:right="0" w:firstLine="0"/>
        <w:jc w:val="left"/>
      </w:pPr>
      <w:r>
        <w:rPr>
          <w:shd w:val="clear" w:color="auto" w:fill="d8d9d8"/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10 – EXCLUSIONS</w:t>
      </w:r>
      <w:r>
        <w:rPr>
          <w:shd w:val="clear" w:color="auto" w:fill="d8d9d8"/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tabs>
          <w:tab w:pos="170" w:val="left"/>
        </w:tabs>
        <w:autoSpaceDE w:val="0"/>
        <w:widowControl/>
        <w:spacing w:line="245" w:lineRule="auto" w:before="226" w:after="0"/>
        <w:ind w:left="3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Ne sont pas pris en charge au titre de toutes les garanties les suites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et conséquences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du suicide de l’Assuré survenant pendant la première année qui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suit la date d’effet de l’adhésion, sauf si le prêt a été contracté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pour financer l’acquisition du logement principal de l’Assuré. Dans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ce cas toutefois, seul le montant du prêt dans la limite du plafond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défini à l’article D.223-1 du code de la mutualité est garanti. En cas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 modification apportées aux garanties (augmentation des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capitaux assurés ou remise en vigueur de l’adhésion), le suicide est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également exclu au cours de la première année qui suit la prise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d’effet de la modification apportée aux garanties, mais ne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concerne le cas échéant que l’augmentation de garantie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du fait volontaire de l’assuré ou du bénéficiaire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 guerres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 la participation de l’assuré à des émeutes, insurrections,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mouvements populaires, rixes, attentats sauf cas de légitime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défense ou d’assistance à personne en danger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 la manipulation d’armes ou d’explosifs interdits par la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législation française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Nucléaire sauf radiologie médicale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d’accident de navigation aérienne sauf appareil avec certificat de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navigabilité et pilote avec un brevet/licence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d’accidents de la route où l’assuré est conducteur, s’il a un taux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d’alcoolémie supérieur au taux légal en vigueur, ou s’il conduisait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sous l’emprise de drogues, stupéfiants ou produits toxiques et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médicaments non prescrits médicalement ou consommés au-delà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des doses prescrites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 l’usage de stupéfiants ou de drogues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 la participation à des paris, essais, tentatives de records,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exhibitions, acrobaties aériennes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 la pratique des sports non représentés par une fédération et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agréé par le ministère ; </w:t>
      </w:r>
    </w:p>
    <w:p>
      <w:pPr>
        <w:autoSpaceDN w:val="0"/>
        <w:tabs>
          <w:tab w:pos="170" w:val="left"/>
          <w:tab w:pos="1054" w:val="left"/>
          <w:tab w:pos="1188" w:val="left"/>
          <w:tab w:pos="1310" w:val="left"/>
          <w:tab w:pos="2240" w:val="left"/>
          <w:tab w:pos="2460" w:val="left"/>
          <w:tab w:pos="3304" w:val="left"/>
          <w:tab w:pos="3544" w:val="left"/>
          <w:tab w:pos="4368" w:val="left"/>
          <w:tab w:pos="4538" w:val="left"/>
        </w:tabs>
        <w:autoSpaceDE w:val="0"/>
        <w:widowControl/>
        <w:spacing w:line="245" w:lineRule="auto" w:before="226" w:after="0"/>
        <w:ind w:left="3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Ne sont pas garantis au titre des garanties I.T.T, I.P.T et I.P.P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Sinistres résultant et/ou provenant des maladies et troubles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suivants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: </w:t>
      </w:r>
      <w:r>
        <w:tab/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Dépression,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dépression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nerveuse,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dépression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réactionnelle, anxiété, trouble bipolaire, trouble obsessionnel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compulsif (TOC), syndrome de fatigue chronique, asthénie,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burnout, </w:t>
      </w:r>
      <w:r>
        <w:tab/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bore-out,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boulimie,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anorexie,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hyperphagie,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schizophrénie, phobie, insomnie, narcolepsie, hypersomnie,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syndrome de stress post traumatique, stress réactionnel,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>fibromyalgie,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sauf si ces cas donnent lieu à une hospitalisation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continue de plus de 8 jours. </w:t>
      </w:r>
    </w:p>
    <w:p>
      <w:pPr>
        <w:autoSpaceDN w:val="0"/>
        <w:tabs>
          <w:tab w:pos="170" w:val="left"/>
          <w:tab w:pos="1222" w:val="left"/>
          <w:tab w:pos="2328" w:val="left"/>
          <w:tab w:pos="3402" w:val="left"/>
          <w:tab w:pos="4434" w:val="left"/>
        </w:tabs>
        <w:autoSpaceDE w:val="0"/>
        <w:widowControl/>
        <w:spacing w:line="245" w:lineRule="auto" w:before="8" w:after="0"/>
        <w:ind w:left="3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Sinistres résultant et/ou provenant des maladies et atteintes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suivantes : Hernie discale, protrusion discale, cervicalgie,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dorsalgie,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lombalgie,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sciatalgie,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cruralgie,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radiculalgie,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discopathie, scoliose, cyphose, lordose, canal lombaire étroit,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sciatique, spondylolisthésis, spondylarthrose, fracture vertébrale,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>luxation vertébrale, entorse vertébrale, névralgie cervico-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brachiale,, sauf si ces cas donnent lieu à une intervention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chirurgicale ou une hospitalisation continue de plus de 8 jours. </w:t>
      </w:r>
    </w:p>
    <w:p>
      <w:pPr>
        <w:autoSpaceDN w:val="0"/>
        <w:autoSpaceDE w:val="0"/>
        <w:widowControl/>
        <w:spacing w:line="233" w:lineRule="auto" w:before="8" w:after="0"/>
        <w:ind w:left="3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Sinistres en cours avant la Date d’effet, </w:t>
      </w:r>
    </w:p>
    <w:p>
      <w:pPr>
        <w:sectPr>
          <w:type w:val="continuous"/>
          <w:pgSz w:w="11906" w:h="16838"/>
          <w:pgMar w:top="212" w:right="194" w:bottom="186" w:left="368" w:header="720" w:footer="720" w:gutter="0"/>
          <w:cols w:num="2" w:equalWidth="0">
            <w:col w:w="5542" w:space="0"/>
            <w:col w:w="5802" w:space="0"/>
          </w:cols>
          <w:docGrid w:linePitch="360"/>
        </w:sectPr>
      </w:pPr>
    </w:p>
    <w:p>
      <w:pPr>
        <w:autoSpaceDN w:val="0"/>
        <w:tabs>
          <w:tab w:pos="256" w:val="left"/>
        </w:tabs>
        <w:autoSpaceDE w:val="0"/>
        <w:widowControl/>
        <w:spacing w:line="245" w:lineRule="auto" w:before="0" w:after="0"/>
        <w:ind w:left="114" w:right="144" w:firstLine="0"/>
        <w:jc w:val="left"/>
      </w:pP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le congé maternité et paternité prévu par le code du travail, y </w:t>
      </w:r>
      <w:r>
        <w:tab/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compris par assimilation pour les personnes non salariées </w:t>
      </w:r>
    </w:p>
    <w:p>
      <w:pPr>
        <w:autoSpaceDN w:val="0"/>
        <w:tabs>
          <w:tab w:pos="256" w:val="left"/>
        </w:tabs>
        <w:autoSpaceDE w:val="0"/>
        <w:widowControl/>
        <w:spacing w:line="245" w:lineRule="auto" w:before="226" w:after="0"/>
        <w:ind w:left="114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Pour toutes les garanties sont exclus sans possibilité de rachat, les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accidents dus à la pratique de tout sport ou activité sportive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suivants: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accidents de navigation aérienne sauf si l’Assuré se trouve à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bord d’un appareil muni d’un certificat valable de navigabilité et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conduit par un pilote possédant un brevet valable pour l’appareil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utilisé et une licence non périmée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conséquences de toute participation à des exhibitions,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records, tentatives de records, de paris, d’essai sur prototype 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 saut à l'élastique, le sky flying, le sky surfing, le zorbing, le base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jump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sports non représentés par une fédération et agréé par le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ministère en charge des sports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sports exercés à titre professionnel ou sous contrat rémunéré ; </w:t>
      </w:r>
    </w:p>
    <w:p>
      <w:pPr>
        <w:autoSpaceDN w:val="0"/>
        <w:tabs>
          <w:tab w:pos="256" w:val="left"/>
        </w:tabs>
        <w:autoSpaceDE w:val="0"/>
        <w:widowControl/>
        <w:spacing w:line="245" w:lineRule="auto" w:before="226" w:after="0"/>
        <w:ind w:left="114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Sont couverts les sports suivants pratiqués en qualité d'amateur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dans le cadre d'un club et/ou fédération et dans le respect des règles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de sécurité et réglementaires, sous réserve d'une déclaration par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l'assuré et étude préalable par l'organisme assureur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: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Sports aériens (à voile, à aile ou à moteur)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Sports nécessitant l’utilisation d’un engin terrestre à moteur 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Sports de neige ou de glace(exceptée : 1°) la pratique sur piste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balisée de ski alpin ou de fond, de monoski et de surf sur pistes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balisées ainsi que du patinage ; 2° la pratique en hors piste de ski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alpin, de ski de fond, de monoski et de surf jusqu’à 1 200 000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euros)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Alpinisme, randonnées de montagne au-delà de 2500 mètres,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trekking et l’escalade (excepté lorsqu'elle est pratiquée sur mur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artificiel)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>Sports de navigation au-delà de 20 milles des côtes et activité sub-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aquatique au-delà de 40 mètres de profondeur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Sports ou activités fluviales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Spéléologie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Rallyes-raids, courses de survie, activités sportives en zone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désertique, épreuves combinées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VTT de descente, freeride, bicross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Toutes activités de voltiges ou acrobaties ; </w:t>
      </w:r>
    </w:p>
    <w:p>
      <w:pPr>
        <w:autoSpaceDN w:val="0"/>
        <w:autoSpaceDE w:val="0"/>
        <w:widowControl/>
        <w:spacing w:line="245" w:lineRule="auto" w:before="226" w:after="0"/>
        <w:ind w:left="114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Pour les sports rachetables, les baptêmes ou initiations encadrées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par un moniteur diplômé d'état sont couverts. </w:t>
      </w:r>
    </w:p>
    <w:p>
      <w:pPr>
        <w:autoSpaceDN w:val="0"/>
        <w:tabs>
          <w:tab w:pos="256" w:val="left"/>
        </w:tabs>
        <w:autoSpaceDE w:val="0"/>
        <w:widowControl/>
        <w:spacing w:line="245" w:lineRule="auto" w:before="226" w:after="0"/>
        <w:ind w:left="114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Pour toutes les garanties sont exclus avec la possibilité de racheter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leur couverture au titre de toutes les garanties, les Sinistres de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l’Assuré exerçant l’une des professions suivantes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professions relevant du régime « ENIM »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professions sur site d’exploitation pétrolière,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professions impliquant une activité minière, souterraine ou en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galerie,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professions en lien avec la sécurité, la surveillance ou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nécessitant le port d’une arme. </w:t>
      </w:r>
    </w:p>
    <w:p>
      <w:pPr>
        <w:autoSpaceDN w:val="0"/>
        <w:autoSpaceDE w:val="0"/>
        <w:widowControl/>
        <w:spacing w:line="245" w:lineRule="auto" w:before="10" w:after="0"/>
        <w:ind w:left="256" w:right="262" w:hanging="142"/>
        <w:jc w:val="both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professions liées au service secret, au commando, aux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brigades spécialisées, aux opérations militaires extérieures au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territoire national, aux missions sous mandat de l’ONU. </w:t>
      </w:r>
    </w:p>
    <w:p>
      <w:pPr>
        <w:autoSpaceDN w:val="0"/>
        <w:tabs>
          <w:tab w:pos="256" w:val="left"/>
        </w:tabs>
        <w:autoSpaceDE w:val="0"/>
        <w:widowControl/>
        <w:spacing w:line="245" w:lineRule="auto" w:before="10" w:after="0"/>
        <w:ind w:left="114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professions en relation avec les travaux forestiers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Militaire, Pompier et profession de la sécurité civile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professions comportant la manipulation et/ou transport de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substances bactériologiques, nucléaires chimiques, toxiques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et/ou explosives </w:t>
      </w:r>
    </w:p>
    <w:p>
      <w:pPr>
        <w:autoSpaceDN w:val="0"/>
        <w:autoSpaceDE w:val="0"/>
        <w:widowControl/>
        <w:spacing w:line="176" w:lineRule="exact" w:before="314" w:after="148"/>
        <w:ind w:left="0" w:right="20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9</w:t>
      </w:r>
    </w:p>
    <w:p>
      <w:pPr>
        <w:sectPr>
          <w:type w:val="nextColumn"/>
          <w:pgSz w:w="11906" w:h="16838"/>
          <w:pgMar w:top="212" w:right="194" w:bottom="186" w:left="368" w:header="720" w:footer="720" w:gutter="0"/>
          <w:cols w:num="2" w:equalWidth="0">
            <w:col w:w="5542" w:space="0"/>
            <w:col w:w="580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0" w:right="2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V0124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10" w:after="0"/>
        <w:ind w:left="30" w:right="21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V0124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6 Cours André Philip - 69100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Villeurbanne. 20240521_ZENIOO0124_NI </w:t>
      </w:r>
    </w:p>
    <w:p>
      <w:pPr>
        <w:sectPr>
          <w:type w:val="continuous"/>
          <w:pgSz w:w="11906" w:h="16838"/>
          <w:pgMar w:top="212" w:right="194" w:bottom="186" w:left="3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78" w:val="left"/>
        </w:tabs>
        <w:autoSpaceDE w:val="0"/>
        <w:widowControl/>
        <w:spacing w:line="240" w:lineRule="auto" w:before="0" w:after="0"/>
        <w:ind w:left="26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80"/>
        <w:sectPr>
          <w:pgSz w:w="11906" w:h="16838"/>
          <w:pgMar w:top="212" w:right="194" w:bottom="186" w:left="368" w:header="720" w:footer="720" w:gutter="0"/>
          <w:cols/>
          <w:docGrid w:linePitch="360"/>
        </w:sectPr>
      </w:pPr>
    </w:p>
    <w:p>
      <w:pPr>
        <w:autoSpaceDN w:val="0"/>
        <w:tabs>
          <w:tab w:pos="170" w:val="left"/>
        </w:tabs>
        <w:autoSpaceDE w:val="0"/>
        <w:widowControl/>
        <w:spacing w:line="245" w:lineRule="auto" w:before="0" w:after="0"/>
        <w:ind w:left="30" w:right="0" w:firstLine="0"/>
        <w:jc w:val="left"/>
      </w:pP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Les professions en relation avec la montagne :guide montagne, </w:t>
      </w:r>
      <w:r>
        <w:tab/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moniteur de ski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Professions en relation avec l’aérien. </w:t>
      </w:r>
    </w:p>
    <w:p>
      <w:pPr>
        <w:autoSpaceDN w:val="0"/>
        <w:tabs>
          <w:tab w:pos="170" w:val="left"/>
        </w:tabs>
        <w:autoSpaceDE w:val="0"/>
        <w:widowControl/>
        <w:spacing w:line="245" w:lineRule="auto" w:before="8" w:after="0"/>
        <w:ind w:left="3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Caristes, dockers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professions de l’audiovisuel et du spectacle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Journalistes et reporters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Artistes, de cinéma, de télévision, professions des arts forains, du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cirque. </w:t>
      </w:r>
    </w:p>
    <w:p>
      <w:pPr>
        <w:autoSpaceDN w:val="0"/>
        <w:tabs>
          <w:tab w:pos="170" w:val="left"/>
        </w:tabs>
        <w:autoSpaceDE w:val="0"/>
        <w:widowControl/>
        <w:spacing w:line="245" w:lineRule="auto" w:before="8" w:after="0"/>
        <w:ind w:left="3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Intermittent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Intérimaires et saisonniers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Armurier, artificier, démineur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Cascadeurs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Guide de chasse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Tauréador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Vulcanologue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Sportif professionnel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Professions avec des risques liés à des missions humanitaires,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politique sou de séjours à l’étranger. </w:t>
      </w:r>
    </w:p>
    <w:p>
      <w:pPr>
        <w:autoSpaceDN w:val="0"/>
        <w:autoSpaceDE w:val="0"/>
        <w:widowControl/>
        <w:spacing w:line="245" w:lineRule="auto" w:before="444" w:after="0"/>
        <w:ind w:left="30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Ne sont pas pris en charge au titre des garanties ITT, IPT, et IPP les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suites et conséquences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</w:p>
    <w:p>
      <w:pPr>
        <w:autoSpaceDN w:val="0"/>
        <w:tabs>
          <w:tab w:pos="170" w:val="left"/>
        </w:tabs>
        <w:autoSpaceDE w:val="0"/>
        <w:widowControl/>
        <w:spacing w:line="245" w:lineRule="auto" w:before="226" w:after="0"/>
        <w:ind w:left="3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D’une tentative de suicide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Du congé maternité et paternité prévu par le code du travail, y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compris par assimilation pour les personnes non salariées 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Des sports exercés à titre professionnel ou sous contrat rémunéré. </w:t>
      </w:r>
    </w:p>
    <w:p>
      <w:pPr>
        <w:autoSpaceDN w:val="0"/>
        <w:tabs>
          <w:tab w:pos="170" w:val="left"/>
        </w:tabs>
        <w:autoSpaceDE w:val="0"/>
        <w:widowControl/>
        <w:spacing w:line="245" w:lineRule="auto" w:before="228" w:after="0"/>
        <w:ind w:left="3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Liste de professions à risques non rachetables pour les garanties I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TT,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IPP et IPT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Professions de la voyance et de la divination (par exemple :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médium, magnétiseur, astrologue, radiesthésiste) </w:t>
      </w:r>
    </w:p>
    <w:p>
      <w:pPr>
        <w:autoSpaceDN w:val="0"/>
        <w:autoSpaceDE w:val="0"/>
        <w:widowControl/>
        <w:spacing w:line="245" w:lineRule="auto" w:before="446" w:after="0"/>
        <w:ind w:left="3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11 – LOI APPLICABLE ET JURIDICTION COMPETENTE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expressément précisé que le Contrat en vigueur au moment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l’Adhésion fait la loi entre les parties. Ainsi, les éventuels règlements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mutualistes adoptées ultérieurement par la Mutuelle s'appliqueront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exclusivement aux nouvelles affaires conclues après leur adoption.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conséquent, le bénéfice des nouveaux Règlements mutualistes 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pourra être revendiqué par l’Adhérent pour régir les Sinistres à venir 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rapportant à son Adhésion antérieure. </w:t>
      </w:r>
    </w:p>
    <w:p>
      <w:pPr>
        <w:autoSpaceDN w:val="0"/>
        <w:autoSpaceDE w:val="0"/>
        <w:widowControl/>
        <w:spacing w:line="233" w:lineRule="auto" w:before="226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est régi par la loi française, à laquelle les parties déclarent se </w:t>
      </w:r>
    </w:p>
    <w:p>
      <w:pPr>
        <w:sectPr>
          <w:type w:val="continuous"/>
          <w:pgSz w:w="11906" w:h="16838"/>
          <w:pgMar w:top="212" w:right="194" w:bottom="186" w:left="368" w:header="720" w:footer="720" w:gutter="0"/>
          <w:cols w:num="2" w:equalWidth="0">
            <w:col w:w="555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modifications de situation personnelle de l'Assuré en cours de Contrat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n'ont aucune incidence sur les garanties accordées qui sont maintenues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aux mêmes conditions. </w:t>
      </w:r>
    </w:p>
    <w:p>
      <w:pPr>
        <w:autoSpaceDN w:val="0"/>
        <w:autoSpaceDE w:val="0"/>
        <w:widowControl/>
        <w:spacing w:line="245" w:lineRule="auto" w:before="226" w:after="4"/>
        <w:ind w:left="100" w:right="144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6"/>
        </w:rPr>
        <w:t xml:space="preserve">12.2 Modification du tableau d’amortissement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modification du tableau d’amortissement et/ou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caractéristiques du ou des prêts couverts par le Contrat, l’Assuré doit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informer la Mutuelle dès qu’il en a connaissance et lui transmettre 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23" w:type="dxa"/>
      </w:tblPr>
      <w:tblGrid>
        <w:gridCol w:w="3781"/>
        <w:gridCol w:w="3781"/>
        <w:gridCol w:w="3781"/>
      </w:tblGrid>
      <w:tr>
        <w:trPr>
          <w:trHeight w:hRule="exact" w:val="216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justificatif de l’organisme prêteur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(Tableau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d’amortissement et 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00" w:right="2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attestation) par lettre recommandée avec accusé de réception et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maximum dans un délai de 3 mois. En cas de déclaration hors délai,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rétroactivité sera limitée à 3 mois. </w:t>
      </w:r>
    </w:p>
    <w:p>
      <w:pPr>
        <w:autoSpaceDN w:val="0"/>
        <w:autoSpaceDE w:val="0"/>
        <w:widowControl/>
        <w:spacing w:line="245" w:lineRule="auto" w:before="8" w:after="0"/>
        <w:ind w:left="100" w:right="2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procèdera à l’émission d’un avenant au Certificat Individuel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 prenant effet rétroactivement à la date de modification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pourra être amenée, le cas échéant, à rembourser à l’Assuré une fraction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cotisation payée. </w:t>
      </w:r>
    </w:p>
    <w:p>
      <w:pPr>
        <w:autoSpaceDN w:val="0"/>
        <w:autoSpaceDE w:val="0"/>
        <w:widowControl/>
        <w:spacing w:line="245" w:lineRule="auto" w:before="10" w:after="0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 la variation à la hausse est supérieur à 10% du capital restant dû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assuré, l’accord de la Mutuelle est requis. Elle pourra exiger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l’accomplissement de nouvelles formalités de sélection des risques. </w:t>
      </w:r>
      <w:r>
        <w:rPr>
          <w:rFonts w:ascii="Open Sans" w:hAnsi="Open Sans" w:eastAsia="Open Sans"/>
          <w:b/>
          <w:i w:val="0"/>
          <w:color w:val="000000"/>
          <w:sz w:val="16"/>
        </w:rPr>
        <w:t>Cette modification sera refusée pendant une période d’I.T.T., de mi-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temps thérapeutique, d’I.P.T., d’I.P.P. de l’Assuré. </w:t>
      </w:r>
    </w:p>
    <w:p>
      <w:pPr>
        <w:autoSpaceDN w:val="0"/>
        <w:tabs>
          <w:tab w:pos="386" w:val="left"/>
          <w:tab w:pos="526" w:val="left"/>
        </w:tabs>
        <w:autoSpaceDE w:val="0"/>
        <w:widowControl/>
        <w:spacing w:line="245" w:lineRule="auto" w:before="286" w:after="0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d’augmentation de la durée initiale du prêt en cours d’assurance : il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est possible, sans avoir à effectuer de nouvelles formalités d’adhésion,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d’augmenter la durée initiale du prêt en cours d’assurance suite à 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variation du taux d’intérêt et/ou à une variation du montant de l’échéance,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 réserve de respecter les conditions cumulatives suivantes 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▪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durée supplémentaire n’excède pas 24 mois,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▪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nouvelle durée totale du prêt n’excède pas les durées prévues à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l’article 4,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▪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prêt est amortissable. </w:t>
      </w:r>
    </w:p>
    <w:p>
      <w:pPr>
        <w:autoSpaceDN w:val="0"/>
        <w:autoSpaceDE w:val="0"/>
        <w:widowControl/>
        <w:spacing w:line="245" w:lineRule="auto" w:before="228" w:after="0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remboursement anticipé total : la Mutuelle procèdera 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résiliation du Contrat et remboursera la fraction des cotisations payées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couvrant la période postérieure à la date de remboursement anticipé.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remboursement anticipé partiel : la Mutuelle procèdera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l’émission d’un avenant prenant effet rétroactivement à la date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remboursement partiel du prêt et pourra être amenée à rembourser 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fraction des cotisations payées. </w:t>
      </w:r>
    </w:p>
    <w:p>
      <w:pPr>
        <w:autoSpaceDN w:val="0"/>
        <w:autoSpaceDE w:val="0"/>
        <w:widowControl/>
        <w:spacing w:line="245" w:lineRule="auto" w:before="228" w:after="166"/>
        <w:ind w:left="100" w:right="26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augmentations d’échéance intervenant après la date de l’arrêt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travail ou dans les 6 mois précédant la date d’arrêt de travail sont sans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effet sur le montant des prestations versées en ITT, d’IPT et d’IPP. </w:t>
      </w:r>
    </w:p>
    <w:p>
      <w:pPr>
        <w:sectPr>
          <w:type w:val="nextColumn"/>
          <w:pgSz w:w="11906" w:h="16838"/>
          <w:pgMar w:top="212" w:right="194" w:bottom="186" w:left="368" w:header="720" w:footer="720" w:gutter="0"/>
          <w:cols w:num="2" w:equalWidth="0">
            <w:col w:w="5556" w:space="0"/>
            <w:col w:w="5788" w:space="0"/>
          </w:cols>
          <w:docGrid w:linePitch="360"/>
        </w:sectPr>
      </w:pPr>
    </w:p>
    <w:p>
      <w:pPr>
        <w:autoSpaceDN w:val="0"/>
        <w:tabs>
          <w:tab w:pos="5656" w:val="left"/>
        </w:tabs>
        <w:autoSpaceDE w:val="0"/>
        <w:widowControl/>
        <w:spacing w:line="298" w:lineRule="auto" w:before="0" w:after="166"/>
        <w:ind w:left="3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soumettre. </w:t>
      </w:r>
      <w:r>
        <w:tab/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12.3 Modification des garanties </w:t>
      </w:r>
    </w:p>
    <w:p>
      <w:pPr>
        <w:sectPr>
          <w:type w:val="continuous"/>
          <w:pgSz w:w="11906" w:h="16838"/>
          <w:pgMar w:top="212" w:right="194" w:bottom="186" w:left="3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3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fait élection de domicile à son siège à Paris. </w:t>
      </w:r>
    </w:p>
    <w:p>
      <w:pPr>
        <w:autoSpaceDN w:val="0"/>
        <w:autoSpaceDE w:val="0"/>
        <w:widowControl/>
        <w:spacing w:line="245" w:lineRule="auto" w:before="226" w:after="0"/>
        <w:ind w:left="30" w:right="14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 litige né de l’exécution, de l’inexécution ou de l’interprétation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Contrat sera de la compétence du Tribunal du domicile de l’Assuré ou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l’ayant droit, si ce dernier est domicilié en France. </w:t>
      </w:r>
    </w:p>
    <w:p>
      <w:pPr>
        <w:autoSpaceDN w:val="0"/>
        <w:autoSpaceDE w:val="0"/>
        <w:widowControl/>
        <w:spacing w:line="245" w:lineRule="auto" w:before="10" w:after="0"/>
        <w:ind w:left="3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 l’Assuré ou l’ayant droit est domicilié hors de France, la seule juridiction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compétente est celle des Tribunaux de Paris. </w:t>
      </w:r>
    </w:p>
    <w:p>
      <w:pPr>
        <w:autoSpaceDN w:val="0"/>
        <w:autoSpaceDE w:val="0"/>
        <w:widowControl/>
        <w:spacing w:line="230" w:lineRule="auto" w:before="228" w:after="0"/>
        <w:ind w:left="3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12 – MODIFICATIONS EN COURS DE CONTRAT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228" w:after="0"/>
        <w:ind w:left="30" w:right="5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demandes de modification devront être adressées à la Mutuelle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l’adresse suivante : Groupe MNCAP 5 rue Dosne 75116 PARIS ou à l’adresse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électronique : contact@mncap.fr. </w:t>
      </w:r>
    </w:p>
    <w:p>
      <w:pPr>
        <w:autoSpaceDN w:val="0"/>
        <w:autoSpaceDE w:val="0"/>
        <w:widowControl/>
        <w:spacing w:line="245" w:lineRule="auto" w:before="226" w:after="0"/>
        <w:ind w:left="30" w:right="144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6"/>
        </w:rPr>
        <w:t xml:space="preserve">12.1 Irrévocabilité des garanties- Modification de la situation 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personnelle de l’Assuré </w:t>
      </w:r>
    </w:p>
    <w:p>
      <w:pPr>
        <w:sectPr>
          <w:type w:val="continuous"/>
          <w:pgSz w:w="11906" w:h="16838"/>
          <w:pgMar w:top="212" w:right="194" w:bottom="186" w:left="368" w:header="720" w:footer="720" w:gutter="0"/>
          <w:cols w:num="2" w:equalWidth="0">
            <w:col w:w="5604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2" w:right="2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demandes de modifications des garanties ou d’augmentation ou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diminution de la Quotité assurée par l’Assuré ne pourront être effectuées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sans le consentement exprès de l’organisme prêteur. Elles donnent lieu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de nouvelles formalités d’adhésion et sont soumises à l’accord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Mutuelle. </w:t>
      </w:r>
    </w:p>
    <w:p>
      <w:pPr>
        <w:autoSpaceDN w:val="0"/>
        <w:autoSpaceDE w:val="0"/>
        <w:widowControl/>
        <w:spacing w:line="245" w:lineRule="auto" w:before="8" w:after="0"/>
        <w:ind w:left="52" w:right="16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est tenu d’informer la Mutuelle de tout changement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domicile à défaut les courriers transmis par la Mutuelle à son dernier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domicile seront réputés avoir été reçus. </w:t>
      </w:r>
    </w:p>
    <w:p>
      <w:pPr>
        <w:autoSpaceDN w:val="0"/>
        <w:autoSpaceDE w:val="0"/>
        <w:widowControl/>
        <w:spacing w:line="245" w:lineRule="auto" w:before="228" w:after="0"/>
        <w:ind w:left="52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13 – FORMALITES A RESPECTER EN CAS DE SINISTRE ET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REGLEMENT DES PRESTATIONS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226" w:after="0"/>
        <w:ind w:left="52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13.1 Règlement des prestations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prestations, payées en euros, sont versées en fonction du dernier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tableau d’amortissement connu et accepté par la Mutuelle et dans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limite des sommes réellement dues à l’organisme prêteur. </w:t>
      </w:r>
    </w:p>
    <w:p>
      <w:pPr>
        <w:autoSpaceDN w:val="0"/>
        <w:autoSpaceDE w:val="0"/>
        <w:widowControl/>
        <w:spacing w:line="176" w:lineRule="exact" w:before="254" w:after="148"/>
        <w:ind w:left="0" w:right="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10</w:t>
      </w:r>
    </w:p>
    <w:p>
      <w:pPr>
        <w:sectPr>
          <w:type w:val="nextColumn"/>
          <w:pgSz w:w="11906" w:h="16838"/>
          <w:pgMar w:top="212" w:right="194" w:bottom="186" w:left="368" w:header="720" w:footer="720" w:gutter="0"/>
          <w:cols w:num="2" w:equalWidth="0">
            <w:col w:w="5604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0" w:right="2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V0124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10" w:after="0"/>
        <w:ind w:left="30" w:right="21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V0124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6 Cours André Philip - 69100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Villeurbanne. 20240521_ZENIOO0124_NI </w:t>
      </w:r>
    </w:p>
    <w:p>
      <w:pPr>
        <w:sectPr>
          <w:type w:val="continuous"/>
          <w:pgSz w:w="11906" w:h="16838"/>
          <w:pgMar w:top="212" w:right="194" w:bottom="186" w:left="3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71"/>
        <w:gridCol w:w="3771"/>
        <w:gridCol w:w="3771"/>
      </w:tblGrid>
      <w:tr>
        <w:trPr>
          <w:trHeight w:hRule="exact" w:val="774"/>
        </w:trPr>
        <w:tc>
          <w:tcPr>
            <w:tcW w:type="dxa" w:w="57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3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87120" cy="420369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120" cy="4203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8" w:after="0"/>
              <w:ind w:left="0" w:right="110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72210" cy="471169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4711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0"/>
        </w:trPr>
        <w:tc>
          <w:tcPr>
            <w:tcW w:type="dxa" w:w="57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13.2 Formalités en cas de Sinistre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 </w:t>
            </w:r>
          </w:p>
        </w:tc>
        <w:tc>
          <w:tcPr>
            <w:tcW w:type="dxa" w:w="3771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1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Certificat médical indiquant la cause de l’invalidité </w:t>
            </w:r>
          </w:p>
        </w:tc>
      </w:tr>
      <w:tr>
        <w:trPr>
          <w:trHeight w:hRule="exact" w:val="220"/>
        </w:trPr>
        <w:tc>
          <w:tcPr>
            <w:tcW w:type="dxa" w:w="57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Pour faire valoir ses droits aux prestations, tout Assuré doit être à jour de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10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Comptes rendus hospitalier et opératoire </w:t>
            </w:r>
          </w:p>
        </w:tc>
      </w:tr>
      <w:tr>
        <w:trPr>
          <w:trHeight w:hRule="exact" w:val="220"/>
        </w:trPr>
        <w:tc>
          <w:tcPr>
            <w:tcW w:type="dxa" w:w="57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ses cotisations.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10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Copie des examens radiologiques, sanguins … </w:t>
            </w:r>
          </w:p>
        </w:tc>
      </w:tr>
      <w:tr>
        <w:trPr>
          <w:trHeight w:hRule="exact" w:val="220"/>
        </w:trPr>
        <w:tc>
          <w:tcPr>
            <w:tcW w:type="dxa" w:w="57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La Caution doit notamment justifier de la mise en œuvre d’une procédure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110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Certificats d’Arrêt de travail précédents l’invalidité </w:t>
            </w:r>
          </w:p>
        </w:tc>
      </w:tr>
      <w:tr>
        <w:trPr>
          <w:trHeight w:hRule="exact" w:val="210"/>
        </w:trPr>
        <w:tc>
          <w:tcPr>
            <w:tcW w:type="dxa" w:w="57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contentieuse de recouvrement engagée à son encontre, antérieure à la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10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 PV de gendarmerie ou de police en cas d'accident. Et s'il n'y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survenance de l’ITT, l’IPT ou l’IPP. </w:t>
      </w:r>
    </w:p>
    <w:p>
      <w:pPr>
        <w:autoSpaceDN w:val="0"/>
        <w:autoSpaceDE w:val="0"/>
        <w:widowControl/>
        <w:spacing w:line="233" w:lineRule="auto" w:before="22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vue de l’ouverture du dossier Sinistre, les pièces à fournir à l’attention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886" w:space="0"/>
            <w:col w:w="542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460" w:right="30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n'a pas alors il convient d'obtenir le CR des services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d'urgence (SAMU/SMUR), ou à défaut un CM (à communiquer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à établir) précisant les circonstances détaillées en cas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886" w:space="0"/>
            <w:col w:w="5428" w:space="0"/>
          </w:cols>
          <w:docGrid w:linePitch="360"/>
        </w:sectPr>
      </w:pPr>
    </w:p>
    <w:p>
      <w:pPr>
        <w:autoSpaceDN w:val="0"/>
        <w:tabs>
          <w:tab w:pos="6346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Médecin-Conseil de la Mutuelle sont les suivantes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d’accident </w:t>
      </w:r>
    </w:p>
    <w:p>
      <w:pPr>
        <w:autoSpaceDN w:val="0"/>
        <w:tabs>
          <w:tab w:pos="360" w:val="left"/>
          <w:tab w:pos="720" w:val="left"/>
          <w:tab w:pos="5626" w:val="left"/>
        </w:tabs>
        <w:autoSpaceDE w:val="0"/>
        <w:widowControl/>
        <w:spacing w:line="245" w:lineRule="auto" w:before="228" w:after="0"/>
        <w:ind w:left="0" w:right="288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Documents à fournir en cas de décès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tous les cas, si une pièce est manquante ou que les circonstances 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Offre de prêt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justifient, la Mutuelle peut demander des documents supplémentaires 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Tableau d’amortissement émis à la date du décès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nécessaires à l’étude du sinistre. </w:t>
      </w:r>
    </w:p>
    <w:p>
      <w:pPr>
        <w:autoSpaceDN w:val="0"/>
        <w:tabs>
          <w:tab w:pos="720" w:val="left"/>
          <w:tab w:pos="5626" w:val="left"/>
        </w:tabs>
        <w:autoSpaceDE w:val="0"/>
        <w:widowControl/>
        <w:spacing w:line="245" w:lineRule="auto" w:before="10" w:after="0"/>
        <w:ind w:left="360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Attestation de la banque indiquant le capital restant dû au jour </w:t>
      </w:r>
      <w:r>
        <w:br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décès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13.3 Continuation du service des prestations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Justificatif d’identité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poursuite du paiement des prestations suppose, qu’à l’occasion des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Acte de intégral de décès </w:t>
      </w:r>
      <w:r>
        <w:br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contrôles médicaux que la Mutuelle peut à tout moment diligenter, ait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Certificat médical indiquant la cause du décès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été vérifié le bien-fondé de la poursuite du service des prestations. La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Comptes rendus hospitalier et opératoire s’il y a lieu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poursuite du service des prestations suppose également la production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PV de gendarmerie ou de police en cas d'accident. Et s'il n'y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d’une attestation mensuelle certifiant de l’état d’ITT ou d’une attestation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n'a pas alors il convient d'obtenir le CR des services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trimestrielle en cas d’IPP. </w:t>
      </w:r>
    </w:p>
    <w:p>
      <w:pPr>
        <w:autoSpaceDN w:val="0"/>
        <w:tabs>
          <w:tab w:pos="5626" w:val="left"/>
        </w:tabs>
        <w:autoSpaceDE w:val="0"/>
        <w:widowControl/>
        <w:spacing w:line="245" w:lineRule="auto" w:before="8" w:after="0"/>
        <w:ind w:left="720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d'urgence (SAMU/SMUR), ou à défaut un CM (à communiquer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à établir) précisant les circonstances détaillées en cas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pièces émanant de la Sécurité Sociale ou d’organismes similaires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d’accident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n’engagent pas la Mutuelle. Les pièces émanant de la CDAPH 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permettent pas, à elles seules, de justifier d’une ITT, IPP, IPT ou PTIA. </w:t>
      </w:r>
    </w:p>
    <w:p>
      <w:pPr>
        <w:autoSpaceDN w:val="0"/>
        <w:autoSpaceDE w:val="0"/>
        <w:widowControl/>
        <w:spacing w:line="233" w:lineRule="auto" w:before="10" w:after="4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Documents à fournir en cas de PTIA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2.00000000000003" w:type="dxa"/>
      </w:tblPr>
      <w:tblGrid>
        <w:gridCol w:w="1131"/>
        <w:gridCol w:w="1131"/>
        <w:gridCol w:w="1131"/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rHeight w:hRule="exact" w:val="211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1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1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Offre de prêt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Il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est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rappelé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que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toute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réticence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ou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déclaration </w:t>
            </w:r>
          </w:p>
        </w:tc>
      </w:tr>
      <w:tr>
        <w:trPr>
          <w:trHeight w:hRule="exact" w:val="199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1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Tableau d’amortissement émis au jour de la reconnaissance de </w:t>
            </w:r>
          </w:p>
        </w:tc>
        <w:tc>
          <w:tcPr>
            <w:tcW w:type="dxa" w:w="56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intentionnellement fausse de la part de l’Assuré ou de ses ayants-</w:t>
            </w:r>
          </w:p>
        </w:tc>
      </w:tr>
      <w:tr>
        <w:trPr>
          <w:trHeight w:hRule="exact" w:val="244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11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11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l’état de PTIA </w:t>
            </w:r>
          </w:p>
        </w:tc>
        <w:tc>
          <w:tcPr>
            <w:tcW w:type="dxa" w:w="56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droits, de même que la production de documents inexacts ou </w:t>
            </w:r>
          </w:p>
        </w:tc>
      </w:tr>
      <w:tr>
        <w:trPr>
          <w:trHeight w:hRule="exact" w:val="196"/>
        </w:trPr>
        <w:tc>
          <w:tcPr>
            <w:tcW w:type="dxa" w:w="1131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Attestation de la banque indiquant le capital restant dû au jour </w:t>
            </w:r>
          </w:p>
        </w:tc>
        <w:tc>
          <w:tcPr>
            <w:tcW w:type="dxa" w:w="56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mensongers quant à la date, aux circonstances du Sinistre, </w:t>
            </w:r>
          </w:p>
        </w:tc>
      </w:tr>
      <w:tr>
        <w:trPr>
          <w:trHeight w:hRule="exact" w:val="238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11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1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la reconnaissance de l’état de PTIA </w:t>
            </w:r>
          </w:p>
        </w:tc>
        <w:tc>
          <w:tcPr>
            <w:tcW w:type="dxa" w:w="56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entrainent la déchéance de tout droit aux garanties de la notice </w:t>
            </w:r>
          </w:p>
        </w:tc>
      </w:tr>
      <w:tr>
        <w:trPr>
          <w:trHeight w:hRule="exact" w:val="202"/>
        </w:trPr>
        <w:tc>
          <w:tcPr>
            <w:tcW w:type="dxa" w:w="1131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1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Justificatif d’identité </w:t>
            </w:r>
          </w:p>
        </w:tc>
        <w:tc>
          <w:tcPr>
            <w:tcW w:type="dxa" w:w="56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2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d’information pour le Sinistre en cause. </w:t>
            </w:r>
          </w:p>
        </w:tc>
      </w:tr>
      <w:tr>
        <w:trPr>
          <w:trHeight w:hRule="exact" w:val="24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11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1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Certificat médical indiquant la cause de la PTIA </w:t>
            </w:r>
          </w:p>
        </w:tc>
        <w:tc>
          <w:tcPr>
            <w:tcW w:type="dxa" w:w="566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124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ARTICLE 14 – BENEFICIAIRES DES PRESTATIONS</w:t>
            </w:r>
          </w:p>
        </w:tc>
      </w:tr>
      <w:tr>
        <w:trPr>
          <w:trHeight w:hRule="exact" w:val="19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1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1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Comptes rendus hospitalier et opératoire s’il y a lieu </w:t>
            </w:r>
          </w:p>
        </w:tc>
        <w:tc>
          <w:tcPr>
            <w:tcW w:type="dxa" w:w="9048"/>
            <w:gridSpan w:val="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1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1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Attestation de tierce personne </w:t>
            </w:r>
          </w:p>
        </w:tc>
        <w:tc>
          <w:tcPr>
            <w:tcW w:type="dxa" w:w="566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 Bénéficiaire des prestations est l’organisme prêteur. </w:t>
            </w:r>
          </w:p>
        </w:tc>
      </w:tr>
      <w:tr>
        <w:trPr>
          <w:trHeight w:hRule="exact" w:val="20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11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 PV de gendarmerie ou de police en cas d'accident. Et s'il n'y </w:t>
            </w:r>
          </w:p>
        </w:tc>
        <w:tc>
          <w:tcPr>
            <w:tcW w:type="dxa" w:w="9048"/>
            <w:gridSpan w:val="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720" w:right="1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n'a pas alors il convient d'obtenir le CR des services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d'urgence (SAMU/SMUR), ou à défaut un CM (à communiquer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à établir) précisant les circonstances détaillées en cas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04" w:space="0"/>
            <w:col w:w="581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22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15 – TERRITORIALITE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est couvert dans le Monde entier, pour tout déplacement à titre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personnel, professionnel ou humanitaire) à l’étranger, sans limitation en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04" w:space="0"/>
            <w:col w:w="5810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0"/>
        <w:ind w:left="7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d’accident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termes de durée de séjour. </w:t>
      </w:r>
    </w:p>
    <w:p>
      <w:pPr>
        <w:autoSpaceDN w:val="0"/>
        <w:autoSpaceDE w:val="0"/>
        <w:widowControl/>
        <w:spacing w:line="230" w:lineRule="auto" w:before="10" w:after="0"/>
        <w:ind w:left="0" w:right="264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risque de décès est couvert, sous réserve que la preuve du décès soit </w:t>
      </w:r>
    </w:p>
    <w:p>
      <w:pPr>
        <w:autoSpaceDN w:val="0"/>
        <w:tabs>
          <w:tab w:pos="5626" w:val="left"/>
        </w:tabs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Documents à fournir en cas de ITT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fournie au moyen d’un certificat établi par la représentation française </w:t>
      </w:r>
    </w:p>
    <w:p>
      <w:pPr>
        <w:autoSpaceDN w:val="0"/>
        <w:tabs>
          <w:tab w:pos="720" w:val="left"/>
          <w:tab w:pos="5626" w:val="left"/>
        </w:tabs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Offre de prêt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(consulat ou ambassade) dans le pays concerné. </w:t>
      </w:r>
    </w:p>
    <w:p>
      <w:pPr>
        <w:autoSpaceDN w:val="0"/>
        <w:tabs>
          <w:tab w:pos="720" w:val="left"/>
          <w:tab w:pos="5626" w:val="left"/>
        </w:tabs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Tableau d’amortissement émis à la date de l’arrêt de travail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risques de PTIA, d’ITT, d’IPT ou IPP doivent être constatés </w:t>
      </w:r>
    </w:p>
    <w:p>
      <w:pPr>
        <w:autoSpaceDN w:val="0"/>
        <w:tabs>
          <w:tab w:pos="720" w:val="left"/>
          <w:tab w:pos="5626" w:val="left"/>
        </w:tabs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Justificatif d’identité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médicalement en France ou par une autorité médicale reconnue par la </w:t>
      </w:r>
    </w:p>
    <w:p>
      <w:pPr>
        <w:autoSpaceDN w:val="0"/>
        <w:tabs>
          <w:tab w:pos="720" w:val="left"/>
          <w:tab w:pos="5626" w:val="left"/>
        </w:tabs>
        <w:autoSpaceDE w:val="0"/>
        <w:widowControl/>
        <w:spacing w:line="230" w:lineRule="auto" w:before="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cas échéant le contrat ou certificat de travail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Mutuelle. </w:t>
      </w:r>
    </w:p>
    <w:p>
      <w:pPr>
        <w:autoSpaceDN w:val="0"/>
        <w:tabs>
          <w:tab w:pos="720" w:val="left"/>
          <w:tab w:pos="5626" w:val="left"/>
        </w:tabs>
        <w:autoSpaceDE w:val="0"/>
        <w:widowControl/>
        <w:spacing w:line="233" w:lineRule="auto" w:before="1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Certificat médical indiquant la cause de l’arrêt de travail et le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frais d’établissement de ces certificats sont à la charge de l’Assuré. </w:t>
      </w:r>
    </w:p>
    <w:p>
      <w:pPr>
        <w:autoSpaceDN w:val="0"/>
        <w:autoSpaceDE w:val="0"/>
        <w:widowControl/>
        <w:spacing w:line="233" w:lineRule="auto" w:before="8" w:after="4"/>
        <w:ind w:left="7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cas échéant indiquant la prescription de repos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2.00000000000003" w:type="dxa"/>
      </w:tblPr>
      <w:tblGrid>
        <w:gridCol w:w="1029"/>
        <w:gridCol w:w="1029"/>
        <w:gridCol w:w="1029"/>
        <w:gridCol w:w="1029"/>
        <w:gridCol w:w="1029"/>
        <w:gridCol w:w="1029"/>
        <w:gridCol w:w="1029"/>
        <w:gridCol w:w="1029"/>
        <w:gridCol w:w="1029"/>
        <w:gridCol w:w="1029"/>
        <w:gridCol w:w="1029"/>
      </w:tblGrid>
      <w:tr>
        <w:trPr>
          <w:trHeight w:hRule="exact" w:val="209"/>
        </w:trPr>
        <w:tc>
          <w:tcPr>
            <w:tcW w:type="dxa" w:w="440"/>
            <w:tcBorders>
              <w:bottom w:sz="3.199999999999818" w:val="single" w:color="#00223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11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5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1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Comptes rendus hospitalier et opératoire </w:t>
            </w:r>
          </w:p>
        </w:tc>
        <w:tc>
          <w:tcPr>
            <w:tcW w:type="dxa" w:w="7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ARTICLE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16 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–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DECISION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DE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LA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MUTUELLE,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CONTRÔLE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ET </w:t>
            </w:r>
          </w:p>
        </w:tc>
      </w:tr>
      <w:tr>
        <w:trPr>
          <w:trHeight w:hRule="exact" w:val="206"/>
        </w:trPr>
        <w:tc>
          <w:tcPr>
            <w:tcW w:type="dxa" w:w="440"/>
            <w:tcBorders>
              <w:top w:sz="3.199999999999818" w:val="single" w:color="#00223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1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5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1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Copie des examens radiologiques, sanguins … </w:t>
            </w:r>
          </w:p>
        </w:tc>
        <w:tc>
          <w:tcPr>
            <w:tcW w:type="dxa" w:w="5556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CONTESTATION</w:t>
            </w:r>
          </w:p>
        </w:tc>
      </w:tr>
      <w:tr>
        <w:trPr>
          <w:trHeight w:hRule="exact" w:val="22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1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5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1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Certificats d’arrêts de travail </w:t>
            </w:r>
          </w:p>
        </w:tc>
        <w:tc>
          <w:tcPr>
            <w:tcW w:type="dxa" w:w="5556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La Mutuelle peut, à tout moment, faire procéder aux visites médicales ou </w:t>
            </w:r>
          </w:p>
        </w:tc>
      </w:tr>
      <w:tr>
        <w:trPr>
          <w:trHeight w:hRule="exact" w:val="24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11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5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1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le PV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gendarmerie ou de police en cas d'accident. Et s'il n'y </w:t>
            </w:r>
          </w:p>
        </w:tc>
        <w:tc>
          <w:tcPr>
            <w:tcW w:type="dxa" w:w="5556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expertises par les soins d’un médecin désigné par elle, contrôles, </w:t>
            </w:r>
          </w:p>
        </w:tc>
      </w:tr>
      <w:tr>
        <w:trPr>
          <w:trHeight w:hRule="exact" w:val="220"/>
        </w:trPr>
        <w:tc>
          <w:tcPr>
            <w:tcW w:type="dxa" w:w="1029"/>
            <w:vMerge/>
            <w:tcBorders/>
          </w:tcPr>
          <w:p/>
        </w:tc>
        <w:tc>
          <w:tcPr>
            <w:tcW w:type="dxa" w:w="5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1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en n'a pas alors il convient d'obtenir le CR des services </w:t>
            </w:r>
          </w:p>
        </w:tc>
        <w:tc>
          <w:tcPr>
            <w:tcW w:type="dxa" w:w="5556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enquêtes et vérifications qu’elle juge nécessaires, soit pour son compte </w:t>
            </w:r>
          </w:p>
        </w:tc>
      </w:tr>
      <w:tr>
        <w:trPr>
          <w:trHeight w:hRule="exact" w:val="214"/>
        </w:trPr>
        <w:tc>
          <w:tcPr>
            <w:tcW w:type="dxa" w:w="1029"/>
            <w:vMerge/>
            <w:tcBorders/>
          </w:tcPr>
          <w:p/>
        </w:tc>
        <w:tc>
          <w:tcPr>
            <w:tcW w:type="dxa" w:w="5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1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d'urgence (SAMU/SMUR), ou à défaut un CM (à communiquer </w:t>
            </w:r>
          </w:p>
        </w:tc>
        <w:tc>
          <w:tcPr>
            <w:tcW w:type="dxa" w:w="5556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soit celui de tout organisme avec lequel elle est liée.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7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à établir) précisant les circonstances détaillées en cas </w:t>
      </w:r>
    </w:p>
    <w:p>
      <w:pPr>
        <w:autoSpaceDN w:val="0"/>
        <w:autoSpaceDE w:val="0"/>
        <w:widowControl/>
        <w:spacing w:line="233" w:lineRule="auto" w:before="8" w:after="0"/>
        <w:ind w:left="7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d’accident </w:t>
      </w:r>
    </w:p>
    <w:p>
      <w:pPr>
        <w:autoSpaceDN w:val="0"/>
        <w:autoSpaceDE w:val="0"/>
        <w:widowControl/>
        <w:spacing w:line="233" w:lineRule="auto" w:before="226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Documents à fournir en cas d’IPT ou d’IPT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</w:p>
    <w:p>
      <w:pPr>
        <w:autoSpaceDN w:val="0"/>
        <w:tabs>
          <w:tab w:pos="720" w:val="left"/>
        </w:tabs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Offre de prêt </w:t>
      </w:r>
    </w:p>
    <w:p>
      <w:pPr>
        <w:autoSpaceDN w:val="0"/>
        <w:tabs>
          <w:tab w:pos="720" w:val="left"/>
        </w:tabs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Tableau d’amortissement émis à la date de consolidation </w:t>
      </w:r>
    </w:p>
    <w:p>
      <w:pPr>
        <w:autoSpaceDN w:val="0"/>
        <w:tabs>
          <w:tab w:pos="720" w:val="left"/>
        </w:tabs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Justificatif d’identité </w:t>
      </w:r>
    </w:p>
    <w:p>
      <w:pPr>
        <w:autoSpaceDN w:val="0"/>
        <w:tabs>
          <w:tab w:pos="720" w:val="left"/>
        </w:tabs>
        <w:autoSpaceDE w:val="0"/>
        <w:widowControl/>
        <w:spacing w:line="230" w:lineRule="auto" w:before="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cas échéant le contrat ou certificat de travail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04" w:space="0"/>
            <w:col w:w="581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22" w:right="25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Lors de la déclaration de Sinistre initiale, l’Assuré, ou ses ayants-droits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cas de décès, est tenu de fournir, sous peine de déchéance, sur simple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demande, les certificats ou tout autre renseignement d’état civil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médicaux dont la Mutuelle aurait besoin pour juger de son état de santé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avant, au moment et après son adhésion. </w:t>
      </w:r>
    </w:p>
    <w:p>
      <w:pPr>
        <w:autoSpaceDN w:val="0"/>
        <w:autoSpaceDE w:val="0"/>
        <w:widowControl/>
        <w:spacing w:line="176" w:lineRule="exact" w:before="532" w:after="148"/>
        <w:ind w:left="0" w:right="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11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04" w:space="0"/>
            <w:col w:w="581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V0124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10" w:after="0"/>
        <w:ind w:left="0" w:right="21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V0124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6 Cours André Philip - 69100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Villeurbanne. 20240521_ZENIOO0124_NI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48" w:val="left"/>
        </w:tabs>
        <w:autoSpaceDE w:val="0"/>
        <w:widowControl/>
        <w:spacing w:line="240" w:lineRule="auto" w:before="0" w:after="0"/>
        <w:ind w:left="2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80"/>
        <w:sectPr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cours de la période d’indemnisation, le contrôle suspend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paiements jusqu’à prise de décision par la Mutuelle. </w:t>
      </w:r>
    </w:p>
    <w:p>
      <w:pPr>
        <w:autoSpaceDN w:val="0"/>
        <w:autoSpaceDE w:val="0"/>
        <w:widowControl/>
        <w:spacing w:line="230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précisé que la modification de l’état de santé de l’Assuré peut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0"/>
        <w:ind w:left="100" w:right="288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Toute action dérivant du Contrat est prescrite par deux (2) ans à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compter du jour de l’évènement qui lui a donné naissance, selon les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délais et les dispositions :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- de l’article L221–11 du Code de la Mutualité (prescription) qui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entrainer la révision de son taux d’invalidité et de son droit à prestation.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prévoit : </w:t>
      </w:r>
    </w:p>
    <w:p>
      <w:pPr>
        <w:autoSpaceDN w:val="0"/>
        <w:autoSpaceDE w:val="0"/>
        <w:widowControl/>
        <w:spacing w:line="230" w:lineRule="auto" w:before="8" w:after="0"/>
        <w:ind w:left="0" w:right="304" w:firstLine="0"/>
        <w:jc w:val="right"/>
      </w:pPr>
      <w:r>
        <w:rPr>
          <w:rFonts w:ascii="Open Sans" w:hAnsi="Open Sans" w:eastAsia="Open Sans"/>
          <w:b/>
          <w:i/>
          <w:color w:val="000000"/>
          <w:sz w:val="16"/>
        </w:rPr>
        <w:t xml:space="preserve">« Toutes actions dérivant des opérations régies par le présent titre sont </w:t>
      </w:r>
    </w:p>
    <w:p>
      <w:pPr>
        <w:autoSpaceDN w:val="0"/>
        <w:tabs>
          <w:tab w:pos="5626" w:val="left"/>
        </w:tabs>
        <w:autoSpaceDE w:val="0"/>
        <w:widowControl/>
        <w:spacing w:line="233" w:lineRule="auto" w:before="1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 refus de prise en charge initial ou de poursuite de la prise en charge </w:t>
      </w:r>
      <w:r>
        <w:tab/>
      </w:r>
      <w:r>
        <w:rPr>
          <w:rFonts w:ascii="Open Sans" w:hAnsi="Open Sans" w:eastAsia="Open Sans"/>
          <w:b/>
          <w:i/>
          <w:color w:val="000000"/>
          <w:sz w:val="16"/>
        </w:rPr>
        <w:t xml:space="preserve">prescrites par deux ans à compter de l’évènement qui y donne </w:t>
      </w:r>
    </w:p>
    <w:p>
      <w:pPr>
        <w:autoSpaceDN w:val="0"/>
        <w:tabs>
          <w:tab w:pos="5626" w:val="left"/>
        </w:tabs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Mutuelle à la suite d’un contrôle médical peut faire l’objet d’une </w:t>
      </w:r>
      <w:r>
        <w:tab/>
      </w:r>
      <w:r>
        <w:rPr>
          <w:rFonts w:ascii="Open Sans" w:hAnsi="Open Sans" w:eastAsia="Open Sans"/>
          <w:b/>
          <w:i/>
          <w:color w:val="000000"/>
          <w:sz w:val="16"/>
        </w:rPr>
        <w:t xml:space="preserve">naissance. </w:t>
      </w:r>
    </w:p>
    <w:p>
      <w:pPr>
        <w:autoSpaceDN w:val="0"/>
        <w:tabs>
          <w:tab w:pos="5626" w:val="left"/>
        </w:tabs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procédure de tierce expertise. </w:t>
      </w:r>
      <w:r>
        <w:tab/>
      </w:r>
      <w:r>
        <w:rPr>
          <w:rFonts w:ascii="Open Sans" w:hAnsi="Open Sans" w:eastAsia="Open Sans"/>
          <w:b/>
          <w:i/>
          <w:color w:val="000000"/>
          <w:sz w:val="16"/>
        </w:rPr>
        <w:t xml:space="preserve">Toutefois ce délai ne court : </w:t>
      </w:r>
    </w:p>
    <w:p>
      <w:pPr>
        <w:autoSpaceDN w:val="0"/>
        <w:autoSpaceDE w:val="0"/>
        <w:widowControl/>
        <w:spacing w:line="233" w:lineRule="auto" w:before="10" w:after="8"/>
        <w:ind w:left="0" w:right="304" w:firstLine="0"/>
        <w:jc w:val="right"/>
      </w:pPr>
      <w:r>
        <w:rPr>
          <w:rFonts w:ascii="Open Sans" w:hAnsi="Open Sans" w:eastAsia="Open Sans"/>
          <w:b/>
          <w:i/>
          <w:color w:val="000000"/>
          <w:sz w:val="16"/>
        </w:rPr>
        <w:t>1)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En cas de réticence, omission, déclaration fausse ou inexacte sur le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invite alors le médecin de l’Assuré, et celui choisi par elle,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désigner un médecin tiers expert chargé de procéder à un nouvel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examen. A défaut d’entente à ce sujet, la désignation est faite, 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 de la Mutuelle par le Président du Tribunal de Grande Instance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ressort duquel se trouve la résidence de l’Assuré. Les conclusions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tiers expert s’imposent aux parties sous réserve du recours par voie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86" w:right="288" w:firstLine="0"/>
        <w:jc w:val="left"/>
      </w:pPr>
      <w:r>
        <w:rPr>
          <w:rFonts w:ascii="Open Sans" w:hAnsi="Open Sans" w:eastAsia="Open Sans"/>
          <w:b/>
          <w:i/>
          <w:color w:val="000000"/>
          <w:sz w:val="16"/>
        </w:rPr>
        <w:t xml:space="preserve">risque couru, du fait du membre participant, que du jour où la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Mutuelle ou l’Union en a eu connaissance. </w:t>
      </w:r>
    </w:p>
    <w:p>
      <w:pPr>
        <w:autoSpaceDN w:val="0"/>
        <w:tabs>
          <w:tab w:pos="386" w:val="left"/>
        </w:tabs>
        <w:autoSpaceDE w:val="0"/>
        <w:widowControl/>
        <w:spacing w:line="245" w:lineRule="auto" w:before="8" w:after="0"/>
        <w:ind w:left="100" w:right="288" w:firstLine="0"/>
        <w:jc w:val="left"/>
      </w:pPr>
      <w:r>
        <w:rPr>
          <w:rFonts w:ascii="Open Sans" w:hAnsi="Open Sans" w:eastAsia="Open Sans"/>
          <w:b/>
          <w:i/>
          <w:color w:val="000000"/>
          <w:sz w:val="16"/>
        </w:rPr>
        <w:t>2)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En cas de réalisation du risque, que du jour où les intéressés en ont </w:t>
      </w:r>
      <w:r>
        <w:tab/>
      </w:r>
      <w:r>
        <w:rPr>
          <w:rFonts w:ascii="Open Sans" w:hAnsi="Open Sans" w:eastAsia="Open Sans"/>
          <w:b/>
          <w:i/>
          <w:color w:val="000000"/>
          <w:sz w:val="16"/>
        </w:rPr>
        <w:t xml:space="preserve">eu connaissance, s’ils prouvent qu’ils l’ont ignoré jusque-là. </w:t>
      </w:r>
    </w:p>
    <w:p>
      <w:pPr>
        <w:autoSpaceDN w:val="0"/>
        <w:autoSpaceDE w:val="0"/>
        <w:widowControl/>
        <w:spacing w:line="245" w:lineRule="auto" w:before="10" w:after="10"/>
        <w:ind w:left="100" w:right="288" w:firstLine="0"/>
        <w:jc w:val="left"/>
      </w:pPr>
      <w:r>
        <w:rPr>
          <w:rFonts w:ascii="Open Sans" w:hAnsi="Open Sans" w:eastAsia="Open Sans"/>
          <w:b/>
          <w:i/>
          <w:color w:val="000000"/>
          <w:sz w:val="16"/>
        </w:rPr>
        <w:t xml:space="preserve">Quand l’action du participant, du Bénéficiaire ou de l’ayant droit contre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la Mutuelle ou l’Union a pour cause le recours d’un tiers, le délai de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45" w:lineRule="auto" w:before="0" w:after="8"/>
        <w:ind w:left="0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droit. </w:t>
      </w:r>
      <w:r>
        <w:tab/>
      </w:r>
      <w:r>
        <w:rPr>
          <w:rFonts w:ascii="Open Sans" w:hAnsi="Open Sans" w:eastAsia="Open Sans"/>
          <w:b/>
          <w:i/>
          <w:color w:val="000000"/>
          <w:sz w:val="16"/>
        </w:rPr>
        <w:t xml:space="preserve">prescription ne court que du jour où ce tiers a exercé une action en </w:t>
      </w:r>
      <w:r>
        <w:tab/>
      </w:r>
      <w:r>
        <w:rPr>
          <w:rFonts w:ascii="Open Sans" w:hAnsi="Open Sans" w:eastAsia="Open Sans"/>
          <w:b/>
          <w:i/>
          <w:color w:val="000000"/>
          <w:sz w:val="16"/>
        </w:rPr>
        <w:t xml:space="preserve">justice contre le membre participant ou l’ayant droit, ou a été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honoraires du médecin désigné par la Mutuelle et ceux du tiers </w:t>
      </w:r>
      <w:r>
        <w:tab/>
      </w:r>
      <w:r>
        <w:rPr>
          <w:rFonts w:ascii="Open Sans" w:hAnsi="Open Sans" w:eastAsia="Open Sans"/>
          <w:b/>
          <w:i/>
          <w:color w:val="000000"/>
          <w:sz w:val="16"/>
        </w:rPr>
        <w:t xml:space="preserve">indemnisé par celui-ci ».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expert sont à la charge de la Mutuelle. Toutefois dans le cas, où le tiers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expert confirmerait la décision de rejet prise à l’égard de l’Assuré, les frais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trois médecins seraient à la charge de ce dernier qui en fait l’avance.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302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La prescription est portée à 10 ans dans les contrats d’assurance sur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la vie lorsque le Bénéficiaire est une personne distincte de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l’Adhérent et, dans les contrats d’assurance contre les Accidents </w:t>
      </w:r>
      <w:r>
        <w:rPr>
          <w:rFonts w:ascii="Open Sans" w:hAnsi="Open Sans" w:eastAsia="Open Sans"/>
          <w:b/>
          <w:i w:val="0"/>
          <w:color w:val="000000"/>
          <w:sz w:val="16"/>
        </w:rPr>
        <w:t>atteignant les personnes lorsque les Bénéficiaires sont les ayants-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8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17 – RECLAMATION - MEDIATION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droits de l’Assuré décédé.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difficultés liées à l’interprétation et/ou à l’exécution de la notice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d’information, l’Assuré pourra s’adresser par écrit à :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Groupe MNCAP, Service Gestion des réclamations, 5 rue Dosne 75116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0"/>
        <w:ind w:left="100" w:right="304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Pour les contrats d’assurance sur la vie, nonobstant les dispositions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du 2), les actions du Bénéficiaire sont prescrites au plus tard trente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ans à compter du décès du membre participant.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>PARIS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- de l’article L221-12 (interruption de la prescription) du Code de la </w:t>
      </w:r>
    </w:p>
    <w:p>
      <w:pPr>
        <w:autoSpaceDN w:val="0"/>
        <w:tabs>
          <w:tab w:pos="5626" w:val="left"/>
        </w:tabs>
        <w:autoSpaceDE w:val="0"/>
        <w:widowControl/>
        <w:spacing w:line="233" w:lineRule="auto" w:before="1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s’engage à accuser réception de sa demande dans les 10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Mutualité qui prévoit :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jours ouvrables suivant sa réception et à lui apporter une réponse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maximum dans les deux mois. </w:t>
      </w:r>
    </w:p>
    <w:p>
      <w:pPr>
        <w:autoSpaceDN w:val="0"/>
        <w:autoSpaceDE w:val="0"/>
        <w:widowControl/>
        <w:spacing w:line="245" w:lineRule="auto" w:before="228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désaccord avec la position définitive de la Mutuelle c'est-à-dire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après épuisement des voies de recours internes à la Mutuelle, l’Assuré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ses ayants droits peut(vent) demander l’avis du Médiateur de la FNMF à : </w:t>
      </w:r>
      <w:r>
        <w:rPr>
          <w:rFonts w:ascii="Open Sans" w:hAnsi="Open Sans" w:eastAsia="Open Sans"/>
          <w:b/>
          <w:i w:val="0"/>
          <w:color w:val="000000"/>
          <w:sz w:val="16"/>
        </w:rPr>
        <w:t>Service Médiation, 255 rue de Vaugirard, 75719 Paris cedex 15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ou via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 formulaire de saisine sur le site www.mediateur-mutualite.fr.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302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«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La prescription est interrompue par une des causes ordinaires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d'interruption de la prescription et par la désignation d'experts à la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suite de la réalisation d'un risque. L'interruption de la prescription de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l'action peut, en outre, résulter de l'envoi d'une lettre recommandée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avec accusé de réception adressée par la mutuelle ou l'union au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membre participant, en ce qui concerne l'action en paiement de la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cotisation, et par le membre participant, le Bénéficiaire ou l'ayant droit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à la mutuelle ou à l'union, en ce qui concerne le règlement de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l'indemnité ».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57"/>
        <w:gridCol w:w="1257"/>
        <w:gridCol w:w="1257"/>
        <w:gridCol w:w="1257"/>
        <w:gridCol w:w="1257"/>
        <w:gridCol w:w="1257"/>
        <w:gridCol w:w="1257"/>
        <w:gridCol w:w="1257"/>
        <w:gridCol w:w="1257"/>
      </w:tblGrid>
      <w:tr>
        <w:trPr>
          <w:trHeight w:hRule="exact" w:val="190"/>
        </w:trPr>
        <w:tc>
          <w:tcPr>
            <w:tcW w:type="dxa" w:w="3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modalités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la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procédure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amiable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médiation seront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Information complémentaire : Les causes ordinaires d’interruption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communiquées sur demande adressée à :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Groupe MNCAP – Service Gestion des réclamations – 5 rue Dosne -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0" w:right="288" w:firstLine="0"/>
        <w:jc w:val="center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de la prescription visées à l’article L.221-12 du Code de la mutualité </w:t>
      </w:r>
      <w:r>
        <w:rPr>
          <w:rFonts w:ascii="Open Sans" w:hAnsi="Open Sans" w:eastAsia="Open Sans"/>
          <w:b/>
          <w:i w:val="0"/>
          <w:color w:val="000000"/>
          <w:sz w:val="16"/>
        </w:rPr>
        <w:t>sont énoncées aux articles 2240 à 2246 du Code civil reproduits ci-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8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75116 PARIS.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après. Pour prendre connaissance de toute mise à jour éventuelle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demande écrite et signée devra autoriser le médiateur à prendre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connaissance de l’ensemble du dossier et en particulier du volet médical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4" w:space="0"/>
            <w:col w:w="579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2" w:right="288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des dispositions précitées, l’Adhérent/Assuré est invité à consulter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 site officiel «www.legifrance.gouv.fr ».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4" w:space="0"/>
            <w:col w:w="5790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détenu par le service médical de la Mutuelle.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Article 2240 du Code civil : </w:t>
      </w:r>
    </w:p>
    <w:p>
      <w:pPr>
        <w:autoSpaceDN w:val="0"/>
        <w:autoSpaceDE w:val="0"/>
        <w:widowControl/>
        <w:spacing w:line="230" w:lineRule="auto" w:before="8" w:after="10"/>
        <w:ind w:left="0" w:right="306" w:firstLine="0"/>
        <w:jc w:val="right"/>
      </w:pPr>
      <w:r>
        <w:rPr>
          <w:rFonts w:ascii="Open Sans" w:hAnsi="Open Sans" w:eastAsia="Open Sans"/>
          <w:b/>
          <w:i/>
          <w:color w:val="000000"/>
          <w:sz w:val="16"/>
        </w:rPr>
        <w:t xml:space="preserve">« La reconnaissance par le débiteur du droit de celui contre lequel il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recours au médiateur est gratuit. Le médiateur formulera un avis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motivé dans le délai qu’il aura indiqué dans la confirmation de sa saisine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auprès de l’Assuré et de la Mutuelle. </w:t>
      </w:r>
    </w:p>
    <w:p>
      <w:pPr>
        <w:autoSpaceDN w:val="0"/>
        <w:autoSpaceDE w:val="0"/>
        <w:widowControl/>
        <w:spacing w:line="233" w:lineRule="auto" w:before="1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saisine du médiateur interrompt le cours de la prescription. </w:t>
      </w:r>
    </w:p>
    <w:p>
      <w:pPr>
        <w:autoSpaceDN w:val="0"/>
        <w:autoSpaceDE w:val="0"/>
        <w:widowControl/>
        <w:spacing w:line="230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ARTICLE 18 – DELAIS DE DECLARATION DES SINISTRES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ET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288" w:firstLine="0"/>
        <w:jc w:val="left"/>
      </w:pPr>
      <w:r>
        <w:rPr>
          <w:rFonts w:ascii="Open Sans" w:hAnsi="Open Sans" w:eastAsia="Open Sans"/>
          <w:b/>
          <w:i/>
          <w:color w:val="000000"/>
          <w:sz w:val="16"/>
        </w:rPr>
        <w:t xml:space="preserve">prescrivait interrompt le délai de prescription. »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Article 2241 du Code civil : </w:t>
      </w:r>
      <w:r>
        <w:br/>
      </w:r>
      <w:r>
        <w:rPr>
          <w:rFonts w:ascii="Open Sans" w:hAnsi="Open Sans" w:eastAsia="Open Sans"/>
          <w:b/>
          <w:i/>
          <w:color w:val="000000"/>
          <w:sz w:val="16"/>
        </w:rPr>
        <w:t xml:space="preserve">« La demande en justice, même en référé, interrompt le délai de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prescription ainsi que le délai de forclusion. Il en est de même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lorsqu'elle est portée devant une juridiction incompétente ou lorsque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l'acte de saisine de la juridiction est annulé par l'effet d'un vice de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PRESCRIPTION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Open Sans" w:hAnsi="Open Sans" w:eastAsia="Open Sans"/>
          <w:b/>
          <w:i/>
          <w:color w:val="000000"/>
          <w:sz w:val="16"/>
        </w:rPr>
        <w:t xml:space="preserve">procédure. » </w:t>
      </w:r>
    </w:p>
    <w:p>
      <w:pPr>
        <w:autoSpaceDN w:val="0"/>
        <w:autoSpaceDE w:val="0"/>
        <w:widowControl/>
        <w:spacing w:line="230" w:lineRule="auto" w:before="10" w:after="10"/>
        <w:ind w:left="0" w:right="3578" w:firstLine="0"/>
        <w:jc w:val="righ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Article 2242 du Code civil :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18.1 Délai de déclaration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En cas d’ITT, d’IPP ou d’IPT est considéré comme forclos tout Assuré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n’ayant pas formulé sa demande de prestation à la Mutuelle dans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six mois suivant la survenance du Sinistre sauf impossibilité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médicale démontrée. Passé ce délai la Mutuelle ne règlera que les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8" w:space="0"/>
            <w:col w:w="57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98" w:right="288" w:firstLine="0"/>
        <w:jc w:val="left"/>
      </w:pPr>
      <w:r>
        <w:rPr>
          <w:rFonts w:ascii="Open Sans" w:hAnsi="Open Sans" w:eastAsia="Open Sans"/>
          <w:b/>
          <w:i/>
          <w:color w:val="000000"/>
          <w:sz w:val="16"/>
        </w:rPr>
        <w:t xml:space="preserve">« L'interruption résultant de la demande en justice produit ses effets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jusqu'à l'extinction de l'instance. »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Article 2243 du Code civil : </w:t>
      </w:r>
      <w:r>
        <w:br/>
      </w:r>
      <w:r>
        <w:rPr>
          <w:rFonts w:ascii="Open Sans" w:hAnsi="Open Sans" w:eastAsia="Open Sans"/>
          <w:b/>
          <w:i/>
          <w:color w:val="000000"/>
          <w:sz w:val="16"/>
        </w:rPr>
        <w:t xml:space="preserve">« L'interruption est non avenue si le demandeur se désiste de sa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demande ou laisse périmer l'instance, ou si sa demande est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8" w:space="0"/>
            <w:col w:w="5786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45" w:lineRule="auto" w:before="0" w:after="0"/>
        <w:ind w:left="0" w:right="3456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mensualités à échoir. </w:t>
      </w:r>
      <w:r>
        <w:tab/>
      </w:r>
      <w:r>
        <w:rPr>
          <w:rFonts w:ascii="Open Sans" w:hAnsi="Open Sans" w:eastAsia="Open Sans"/>
          <w:b/>
          <w:i/>
          <w:color w:val="000000"/>
          <w:sz w:val="16"/>
        </w:rPr>
        <w:t xml:space="preserve">définitivement rejetée. »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Article 2244 du Code civil :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18.2 Prescription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176" w:lineRule="exact" w:before="96" w:after="0"/>
        <w:ind w:left="0" w:right="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12</w:t>
      </w:r>
    </w:p>
    <w:p>
      <w:pPr>
        <w:autoSpaceDN w:val="0"/>
        <w:autoSpaceDE w:val="0"/>
        <w:widowControl/>
        <w:spacing w:line="245" w:lineRule="auto" w:before="148" w:after="0"/>
        <w:ind w:left="0" w:right="2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V0124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10" w:after="0"/>
        <w:ind w:left="0" w:right="21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V0124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6 Cours André Philip - 69100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Villeurbanne. 20240521_ZENIOO0124_NI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48" w:val="left"/>
        </w:tabs>
        <w:autoSpaceDE w:val="0"/>
        <w:widowControl/>
        <w:spacing w:line="240" w:lineRule="auto" w:before="0" w:after="0"/>
        <w:ind w:left="2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80"/>
        <w:sectPr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/>
          <w:i/>
          <w:color w:val="000000"/>
          <w:sz w:val="16"/>
        </w:rPr>
        <w:t xml:space="preserve">« Le délai de prescription ou le délai de forclusion est également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interrompu par une mesure conservatoire prise en application du code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04" w:space="0"/>
            <w:col w:w="581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22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remboursement anticipé du prêt, de décès ou de PTIA,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cotisations perçues indûment seront restituées dans la limite de deux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04" w:space="0"/>
            <w:col w:w="5810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/>
          <w:i/>
          <w:color w:val="000000"/>
          <w:sz w:val="16"/>
        </w:rPr>
        <w:t xml:space="preserve">des procédures civiles d'exécution ou un acte d'exécution forcée. »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années de cotisation. </w:t>
      </w:r>
    </w:p>
    <w:p>
      <w:pPr>
        <w:autoSpaceDN w:val="0"/>
        <w:autoSpaceDE w:val="0"/>
        <w:widowControl/>
        <w:spacing w:line="230" w:lineRule="auto" w:before="8" w:after="1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Article 2245 du Code civil :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22" w:firstLine="0"/>
        <w:jc w:val="both"/>
      </w:pPr>
      <w:r>
        <w:rPr>
          <w:rFonts w:ascii="Open Sans" w:hAnsi="Open Sans" w:eastAsia="Open Sans"/>
          <w:b/>
          <w:i/>
          <w:color w:val="000000"/>
          <w:sz w:val="16"/>
        </w:rPr>
        <w:t xml:space="preserve">« L'interpellation faite à l'un des débiteurs solidaires par une demande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en justice ou par un acte d'exécution forcée ou la reconnaissance par le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débiteur du droit de celui contre lequel il prescrivait interrompt le délai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de prescription contre tous les autres, même contre leurs héritiers. En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revanche, l'interpellation faite à l'un des héritiers d'un débiteur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solidaire ou la reconnaissance de cet héritier n'interrompt pas le délai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de prescription à l'égard des autres cohéritiers, même en cas de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créance hypothécaire, si l'obligation est divisible. Cette interpellation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ou cette reconnaissance n'interrompt le délai de prescription, à l'égard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des autres codébiteurs, que pour la part dont cet héritier est tenu. Pour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04" w:space="0"/>
            <w:col w:w="581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22" w:right="30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refus du (des) prêt(s) par l’Organisme Prêteur, l’Adhérent doit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déclarer à la Mutuelle ce refus, dès qu’il en a connaissance accompagnée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pièces justificatives. Les cotisations afférentes à ce(s) prêt(s) perçues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la Mutuelle, lors de l’adhésion, seront alors intégralement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remboursées et le Contrat sera alors réputé ne jamais avoir pris effet. </w:t>
      </w:r>
    </w:p>
    <w:p>
      <w:pPr>
        <w:autoSpaceDN w:val="0"/>
        <w:autoSpaceDE w:val="0"/>
        <w:widowControl/>
        <w:spacing w:line="245" w:lineRule="auto" w:before="228" w:after="10"/>
        <w:ind w:left="122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déclaration dans un délai supérieur à 3 mois à compter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date de refus du (des) prêt(s) par l’Organisme Prêteur : la Mutuelle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procèdera à la résiliation du Contrat dans les mêmes conditions qu’une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résiliation faisant suite à un remboursement anticipé total du prêt.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04" w:space="0"/>
            <w:col w:w="581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/>
          <w:i/>
          <w:color w:val="000000"/>
          <w:sz w:val="16"/>
        </w:rPr>
        <w:t xml:space="preserve">interrompre le délai de prescription pour le tout, à l'égard des autres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/>
          <w:i/>
          <w:color w:val="000000"/>
          <w:sz w:val="16"/>
        </w:rPr>
        <w:t xml:space="preserve">codébiteurs, il faut l'interpellation faite à tous les héritiers du débiteur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décédé ou la reconnaissance de tous ces héritiers. »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Article 2246 du Code civil : </w:t>
      </w:r>
      <w:r>
        <w:br/>
      </w:r>
      <w:r>
        <w:rPr>
          <w:rFonts w:ascii="Open Sans" w:hAnsi="Open Sans" w:eastAsia="Open Sans"/>
          <w:b/>
          <w:i/>
          <w:color w:val="000000"/>
          <w:sz w:val="16"/>
        </w:rPr>
        <w:t xml:space="preserve">« L’interpellation faite au débiteur principal ou sa reconnaissance </w:t>
      </w:r>
      <w:r>
        <w:rPr>
          <w:rFonts w:ascii="Open Sans" w:hAnsi="Open Sans" w:eastAsia="Open Sans"/>
          <w:b/>
          <w:i/>
          <w:color w:val="000000"/>
          <w:sz w:val="16"/>
        </w:rPr>
        <w:t xml:space="preserve">interrompt le délai de prescription contre la caution. » 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19 – COTISATIONS D’ASSURANCE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Irrévocabilité des cotisations</w:t>
      </w: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: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 réserve de l’exactitude des informations fournies, le taux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d’assurance communiqué lors de l’adhésion est irrévocable pendant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la durée de ladite adhésion (sauf en cas de mise en place,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nouvelles taxes réglementaires et/ou de changement du taux de taxe,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06" w:space="0"/>
            <w:col w:w="58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20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cotisation fixée à l’adhésion est garantie sur toute la durée du Contrat.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cotisation comprend la taxe spéciale sur les conventions d’assurance.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modifications de cette dernière au cours de la période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validité des garanties, la Mutuelle informera l’Adhérent de cette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modification et la cotisation sera révisée. </w:t>
      </w:r>
    </w:p>
    <w:p>
      <w:pPr>
        <w:autoSpaceDN w:val="0"/>
        <w:autoSpaceDE w:val="0"/>
        <w:widowControl/>
        <w:spacing w:line="245" w:lineRule="auto" w:before="226" w:after="0"/>
        <w:ind w:left="120" w:right="30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non-paiement de la cotisation, il sera procédé, à l’initiative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à l’envoi d’une lettre de mise en demeure en application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l’article L 221 – 7 du Code de la Mutualité. Cette lettre recommandée est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envoyée par la Mutuelle 10 jours au plus tôt après la date à partir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laquelle les sommes dues doivent être payées. </w:t>
      </w:r>
    </w:p>
    <w:p>
      <w:pPr>
        <w:autoSpaceDN w:val="0"/>
        <w:autoSpaceDE w:val="0"/>
        <w:widowControl/>
        <w:spacing w:line="230" w:lineRule="auto" w:before="8" w:after="10"/>
        <w:ind w:left="12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Un double de ce courrier sera transmis au Bénéficiaire acceptant du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06" w:space="0"/>
            <w:col w:w="580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applicables au présent Contrat).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Contrat. </w:t>
      </w:r>
    </w:p>
    <w:p>
      <w:pPr>
        <w:autoSpaceDN w:val="0"/>
        <w:autoSpaceDE w:val="0"/>
        <w:widowControl/>
        <w:spacing w:line="233" w:lineRule="auto" w:before="1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sont accordées moyennant le paiement d’une cotisation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2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exprimée par un taux d’assurance appliqué au capital emprunté restant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dû à chaque Date d’échéance (sur la base du dernier tableau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d’amortissement en vigueur contractuel du prêt, connu et accepté par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Mutuelle) documenté dans le Certificat individuel d’adhésion. </w:t>
      </w:r>
    </w:p>
    <w:p>
      <w:pPr>
        <w:autoSpaceDN w:val="0"/>
        <w:autoSpaceDE w:val="0"/>
        <w:widowControl/>
        <w:spacing w:line="245" w:lineRule="auto" w:before="10" w:after="0"/>
        <w:ind w:left="0" w:right="1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d’assurance évolue chaque année et est calculé suivant l’Âge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l’Assuré(déterminé par différence de millésime entre l’année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naissance et l’année en cours), la catégorie socio-professionnelle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l’Assuré, les risques professionnels, sportifs et médicaux déclarés,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garanties, l’objet du prêt, le type d’amortissement, et les options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souscrites, la Quotité choisie, la Franchise, la durée du prêt, le montant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prêt, la commission du courtier et l’adhésion du Conjoint. </w:t>
      </w:r>
    </w:p>
    <w:p>
      <w:pPr>
        <w:autoSpaceDN w:val="0"/>
        <w:autoSpaceDE w:val="0"/>
        <w:widowControl/>
        <w:spacing w:line="245" w:lineRule="auto" w:before="1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>Des tarifs différents sont appliqués pour les Assurés fumeurs et les non-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fumeurs. Lors de l’établissement de la Demande Individuelle d’Adhésion,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qui remplit les conditions pour bénéficier du tarif préférentiel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non-fumeur doit certifier, dans la déclaration « non-fumeur », ne pas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avoir fumé de cigarettes (y compris de cigarettes électroniques), cigares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pipes au cours des 24 mois précédant la date de signature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 Individuelle d’Adhésion et ne pas avoir dû arrêter de fumer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suite à la demande expresse du corps médical. </w:t>
      </w:r>
    </w:p>
    <w:p>
      <w:pPr>
        <w:autoSpaceDN w:val="0"/>
        <w:autoSpaceDE w:val="0"/>
        <w:widowControl/>
        <w:spacing w:line="233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cotisations, y compris les taxes en vigueur, sont à échoir.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06" w:space="0"/>
            <w:col w:w="58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20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porté à la connaissance de l’Assuré qu’en cours de Contrat, dès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premier impayé, la cotisation de l’Assuré sera majorée des frais suivants: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- 9€ par rejet de prélèvement bancaire ou mise en demeure pour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non-paiement de la cotisation ;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- 9€ par rejet pour provision insuffisante sur le compte bancaire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prélevé ou d’opposition de prélèvement. </w:t>
      </w:r>
    </w:p>
    <w:p>
      <w:pPr>
        <w:autoSpaceDN w:val="0"/>
        <w:autoSpaceDE w:val="0"/>
        <w:widowControl/>
        <w:spacing w:line="245" w:lineRule="auto" w:before="226" w:after="0"/>
        <w:ind w:left="120" w:right="30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défaut de paiement d’une cotisation dans les trois mois suivant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l’échéance peut entrainer la radiation de l’Adhérent de la Mutuelle et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résiliation de l’ensemble des garanties souscrites par l’Assuré au terme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 délai de 40 jours à compter de l’envoi de la mise en demeure. </w:t>
      </w:r>
    </w:p>
    <w:p>
      <w:pPr>
        <w:autoSpaceDN w:val="0"/>
        <w:autoSpaceDE w:val="0"/>
        <w:widowControl/>
        <w:spacing w:line="233" w:lineRule="auto" w:before="226" w:after="0"/>
        <w:ind w:left="1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cotisations échues non payées restent dues. </w:t>
      </w:r>
    </w:p>
    <w:p>
      <w:pPr>
        <w:autoSpaceDN w:val="0"/>
        <w:autoSpaceDE w:val="0"/>
        <w:widowControl/>
        <w:spacing w:line="245" w:lineRule="auto" w:before="226" w:after="0"/>
        <w:ind w:left="120" w:right="30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perception de cotisations, qui ne serait pas conforme à l’acceptation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risque ou qui serait effectuée hors acceptation du risque, ne pourrait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aucun cas être considérée comme valant couverture de risque,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n’aurait aucune conséquence de droit autre que le remboursement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sommes indûment perçues, même si celles-ci avaient été reversées 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Mutuelle. </w:t>
      </w:r>
    </w:p>
    <w:p>
      <w:pPr>
        <w:autoSpaceDN w:val="0"/>
        <w:autoSpaceDE w:val="0"/>
        <w:widowControl/>
        <w:spacing w:line="230" w:lineRule="auto" w:before="228" w:after="10"/>
        <w:ind w:left="12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20 – ADHESION A LA MUTUELLE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06" w:space="0"/>
            <w:col w:w="580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Selon la périodicité demandée par l’Adhérent et acceptée par la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Frais d’Adhésion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</w:p>
    <w:p>
      <w:pPr>
        <w:autoSpaceDN w:val="0"/>
        <w:tabs>
          <w:tab w:pos="884" w:val="left"/>
          <w:tab w:pos="1278" w:val="left"/>
          <w:tab w:pos="2266" w:val="left"/>
          <w:tab w:pos="3066" w:val="left"/>
          <w:tab w:pos="3554" w:val="left"/>
          <w:tab w:pos="4268" w:val="left"/>
          <w:tab w:pos="5626" w:val="left"/>
        </w:tabs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cotisations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peuvent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être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payées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annuellement,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application des statuts de la Mutuelle, afin de bénéficier de </w:t>
      </w:r>
    </w:p>
    <w:p>
      <w:pPr>
        <w:autoSpaceDN w:val="0"/>
        <w:tabs>
          <w:tab w:pos="1610" w:val="left"/>
          <w:tab w:pos="3216" w:val="left"/>
          <w:tab w:pos="3686" w:val="left"/>
          <w:tab w:pos="5166" w:val="left"/>
          <w:tab w:pos="5626" w:val="left"/>
        </w:tabs>
        <w:autoSpaceDE w:val="0"/>
        <w:widowControl/>
        <w:spacing w:line="230" w:lineRule="auto" w:before="10" w:after="1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semestriellement,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trimestriellement,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mensuellement.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l’assurance, il y a lieu d’adhérer à la Mutuelle en qualité de membre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prélèvement automatique est obligatoire. </w:t>
      </w:r>
    </w:p>
    <w:p>
      <w:pPr>
        <w:autoSpaceDN w:val="0"/>
        <w:autoSpaceDE w:val="0"/>
        <w:widowControl/>
        <w:spacing w:line="245" w:lineRule="auto" w:before="22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Quelle que soit la périodicité choisie, la première quittance représentant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cotisations dues de la Date d’effet au terme suivant, est prélevée au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30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participant. Les Adhésions sont nominatives et donnent lieu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paiement d’un droit d’entrée fixé à 2€. L’Adhérent participe à l’élection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délégués de sections à l’Assemblée Générale de la Mutuelle. </w:t>
      </w:r>
    </w:p>
    <w:p>
      <w:pPr>
        <w:autoSpaceDN w:val="0"/>
        <w:autoSpaceDE w:val="0"/>
        <w:widowControl/>
        <w:spacing w:line="233" w:lineRule="auto" w:before="8" w:after="10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perd sa qualité de membre participant de la Mutuelle dans les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26" w:space="0"/>
            <w:col w:w="5788" w:space="0"/>
          </w:cols>
          <w:docGrid w:linePitch="360"/>
        </w:sectPr>
      </w:pPr>
    </w:p>
    <w:p>
      <w:pPr>
        <w:autoSpaceDN w:val="0"/>
        <w:tabs>
          <w:tab w:pos="5626" w:val="left"/>
          <w:tab w:pos="5768" w:val="left"/>
        </w:tabs>
        <w:autoSpaceDE w:val="0"/>
        <w:widowControl/>
        <w:spacing w:line="245" w:lineRule="auto" w:before="0" w:after="0"/>
        <w:ind w:left="0" w:right="1296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plus tôt 14 jours calendaires avant la date d’échéance du mandat SEPA.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hypothèses suivantes : </w:t>
      </w:r>
      <w:r>
        <w:br/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Par démission, en cas de renonciation au prêt,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Par radiation, en cas d’expiration des contrats de prêts </w:t>
      </w:r>
    </w:p>
    <w:p>
      <w:pPr>
        <w:autoSpaceDN w:val="0"/>
        <w:autoSpaceDE w:val="0"/>
        <w:widowControl/>
        <w:spacing w:line="176" w:lineRule="exact" w:before="314" w:after="0"/>
        <w:ind w:left="0" w:right="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13</w:t>
      </w:r>
    </w:p>
    <w:p>
      <w:pPr>
        <w:autoSpaceDN w:val="0"/>
        <w:autoSpaceDE w:val="0"/>
        <w:widowControl/>
        <w:spacing w:line="245" w:lineRule="auto" w:before="148" w:after="0"/>
        <w:ind w:left="0" w:right="2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V0124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10" w:after="0"/>
        <w:ind w:left="0" w:right="21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V0124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6 Cours André Philip - 69100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Villeurbanne. 20240521_ZENIOO0124_NI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48" w:val="left"/>
        </w:tabs>
        <w:autoSpaceDE w:val="0"/>
        <w:widowControl/>
        <w:spacing w:line="240" w:lineRule="auto" w:before="0" w:after="0"/>
        <w:ind w:left="2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80"/>
        <w:sectPr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tout état de cause, les garanties cessent dès la perte de la qualité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membre participant de la Mutuelle. 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21- LUTTE CONTRE LE BLANCHIMENT D’ARGENT –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FINCANCEMENT DU TERRORISME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participe activement à la lutte contre le blanchiment d’argent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le financement du terrorisme par la mise en place de procédures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appropriées pour identifier et évaluer les risques auxquels elle est exposée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peut être amenée à interroger les parties au Contrat (Adhérent, Assurés,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Bénéficiaires, tiers payeurs le cas échéant) pour obtenir des précisions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76" w:space="0"/>
            <w:col w:w="573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0" w:right="16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recueillies à des tiers dûment habilités, et le cas échéant, à ses réassureurs,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strict respect de la réglementation applicable lorsque cette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communication est strictement nécessaire pour la ou les finalités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déclarées. Pour plus d'informations sur les réassureurs et leur utilisation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données, veuillez contacter le délégué à la protection des données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personnelles de la MNCAP. </w:t>
      </w:r>
    </w:p>
    <w:p>
      <w:pPr>
        <w:autoSpaceDN w:val="0"/>
        <w:autoSpaceDE w:val="0"/>
        <w:widowControl/>
        <w:spacing w:line="245" w:lineRule="auto" w:before="10" w:after="8"/>
        <w:ind w:left="50" w:right="1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données personnelles traitées ne sont pas conservées au-delà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durée nécessaire à la gestion de ces missions et des litiges susceptibles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d’en résulter, conformément aux règles de prescription applicables ou 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règles de conservation des documents comptables.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76" w:space="0"/>
            <w:col w:w="573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supplémentaires.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Compte tenu de la diversité des durées de conservation applicables au </w:t>
      </w:r>
    </w:p>
    <w:p>
      <w:pPr>
        <w:autoSpaceDN w:val="0"/>
        <w:tabs>
          <w:tab w:pos="5626" w:val="left"/>
        </w:tabs>
        <w:autoSpaceDE w:val="0"/>
        <w:widowControl/>
        <w:spacing w:line="230" w:lineRule="auto" w:before="1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ainsi notamment demandé au candidat à l’assurance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regard des différents types de données traitées, l’adhérent est invité à </w:t>
      </w:r>
    </w:p>
    <w:p>
      <w:pPr>
        <w:autoSpaceDN w:val="0"/>
        <w:tabs>
          <w:tab w:pos="566" w:val="left"/>
          <w:tab w:pos="5626" w:val="left"/>
        </w:tabs>
        <w:autoSpaceDE w:val="0"/>
        <w:widowControl/>
        <w:spacing w:line="235" w:lineRule="auto" w:before="8" w:after="0"/>
        <w:ind w:left="20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fournir une pièce d’identité à l’adhésion et au moment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prendre contact avec le délégué à la protection des données de MNCAP ou </w:t>
      </w:r>
    </w:p>
    <w:p>
      <w:pPr>
        <w:autoSpaceDN w:val="0"/>
        <w:tabs>
          <w:tab w:pos="5626" w:val="left"/>
        </w:tabs>
        <w:autoSpaceDE w:val="0"/>
        <w:widowControl/>
        <w:spacing w:line="230" w:lineRule="auto" w:before="8" w:after="0"/>
        <w:ind w:left="56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sinistre aux fins de vérification de son identité ;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ZENIOO, afin de s’informer en détail sur les durées de conservation </w:t>
      </w:r>
    </w:p>
    <w:p>
      <w:pPr>
        <w:autoSpaceDN w:val="0"/>
        <w:tabs>
          <w:tab w:pos="566" w:val="left"/>
          <w:tab w:pos="5626" w:val="left"/>
        </w:tabs>
        <w:autoSpaceDE w:val="0"/>
        <w:widowControl/>
        <w:spacing w:line="233" w:lineRule="auto" w:before="10" w:after="6"/>
        <w:ind w:left="20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renseigner la déclaration relative à la notion de Personne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desdites données.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6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Politiquement Exposée (PPE), telle que définie à l’article R 561-18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Code monétaire et financier, figurant sur la Demande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76" w:space="0"/>
            <w:col w:w="573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5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dispose à l’égard de MNCAP et de ZENIOO, conformément 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réglementations nationales et européennes en vigueur, des droits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76" w:space="0"/>
            <w:col w:w="573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0"/>
        <w:ind w:left="56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Individuelle d’Adhésion;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suivants : </w:t>
      </w:r>
    </w:p>
    <w:p>
      <w:pPr>
        <w:autoSpaceDN w:val="0"/>
        <w:autoSpaceDE w:val="0"/>
        <w:widowControl/>
        <w:spacing w:line="233" w:lineRule="auto" w:before="8" w:after="8"/>
        <w:ind w:left="0" w:right="1488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demander l’accès à ses données personnelles,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également demandé à l’Assuré, dans le cadre de la mise en œuvre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vigilance constante, d’informer la Mutuelle par mail s’il cessait d’être 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PPE ou s’il le devenait au cours de la relation d’affaire à l’adresse suivante :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76" w:space="0"/>
            <w:col w:w="573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50" w:right="86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demander la rectification de celles-ci,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demander leur effacement,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demander une limitation du traitement mis en œuvre,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76" w:space="0"/>
            <w:col w:w="573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45" w:lineRule="auto" w:before="0" w:after="1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conformite@mncap.fr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s’opposer au traitement, </w:t>
      </w:r>
      <w:r>
        <w:br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retirer son consentement quand le traitement est fondé sur le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22 – INFORMATIQUE, FICHIERS ET LIBERTES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consentement,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est informé et accepte que les données à caractère personnel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concernant fassent l’objet d’un traitement sous la responsabilité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MNCAP pour la gestion du contrat et de ZENIOO concernant la distribution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produit. Ainsi, MNCAP et ZENIOO, en tant que responsables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traitement, peuvent stocker, traiter, enregistrer et utiliser les données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personnelles le concernant et collectées tout au long de l’exécution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contrat et en particulier lors de l’adhésion ; dans le respect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réglementation applicable en matière de données personnelles,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notamment la loi Informatique et Libertés du 6 janvier 1978 modifiée par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76" w:space="0"/>
            <w:col w:w="573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à la portabilité des données le concernant,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d’introduire une réclamation auprès d’une autorité de contrôle,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définir des directives relatives au sort de ses données à caractère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personnel après son décès. </w:t>
      </w:r>
    </w:p>
    <w:p>
      <w:pPr>
        <w:autoSpaceDN w:val="0"/>
        <w:autoSpaceDE w:val="0"/>
        <w:widowControl/>
        <w:spacing w:line="245" w:lineRule="auto" w:before="226" w:after="8"/>
        <w:ind w:left="50" w:right="1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peut exercer ses droits en s’adressant à MNCAP 5, rue Dosne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75116 Paris ou dpo@mncap.fr. Les demandes portant sur les données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santé doivent être établies à l’attention du « Médecin Conseil ». MNCAP 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chargera de transmettre les demandes à ZENIOO et aux réassureurs, le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76" w:space="0"/>
            <w:col w:w="573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loi du 20 juin 2018 et le Règlement Général Européen sur la Protection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cas échéant. </w:t>
      </w:r>
    </w:p>
    <w:p>
      <w:pPr>
        <w:autoSpaceDN w:val="0"/>
        <w:autoSpaceDE w:val="0"/>
        <w:widowControl/>
        <w:spacing w:line="230" w:lineRule="auto" w:before="1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Données Personnelles (ou « RGDP »).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MNCAP a nommé un délégué à la protection des données personnelles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dont les coordonnées sont les suivantes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 xml:space="preserve"> dpo@mncap.fr </w:t>
          </w:r>
        </w:hyperlink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ZENIOO a nommé un délégué à la protection des données personnelles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dont les coordonnées sont les suivantes : dpo@zenioo.com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collecte et le traitement de ces données sont nécessaires aux fins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l’exécution du contrat, de l’adhésion à MNCAP, de la gestion de la relation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client et des éventuels litiges susceptibles d’en découler, ainsi que pour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l’amélioration des services proposés par MNCAP et ZENIOO, et ont pour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base juridique l’exécution du contrat. </w:t>
      </w:r>
    </w:p>
    <w:p>
      <w:pPr>
        <w:autoSpaceDN w:val="0"/>
        <w:autoSpaceDE w:val="0"/>
        <w:widowControl/>
        <w:spacing w:line="245" w:lineRule="auto" w:before="8" w:after="0"/>
        <w:ind w:left="0" w:right="5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Chaque formulaire indique si les données sont obligatoires ou facultatives.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données sont également conservées afin de permettre à MNCAP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ZENIOO de respecter les obligations légales et réglementaires leur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incombant, le cas échéant, telles que les obligations spécifiques liées 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lutte contre le terrorisme et le blanchiment d’argent. Dans ce cas,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traitement mis en œuvre a pour base juridique le respect d’une obligation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76" w:space="0"/>
            <w:col w:w="573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est informé de l’existence de la liste d'opposition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démarchage téléphonique « Bloctel », sur laquelle il peut s’inscrire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l’adresse suivante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hyperlink r:id="rId15" w:history="1">
          <w:r>
            <w:rPr>
              <w:rStyle w:val="Hyperlink"/>
            </w:rPr>
            <w:t xml:space="preserve"> https://conso.bloctel.fr/ </w:t>
          </w:r>
        </w:hyperlink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est informé de l’existence d’une prise de décision automatisée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MNCAP aux fins d’améliorer ses produits, d’évaluer sa situation et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personnaliser les offres qui pourraient lui être proposées. </w:t>
      </w:r>
    </w:p>
    <w:p>
      <w:pPr>
        <w:autoSpaceDN w:val="0"/>
        <w:autoSpaceDE w:val="0"/>
        <w:widowControl/>
        <w:spacing w:line="245" w:lineRule="auto" w:before="8" w:after="10"/>
        <w:ind w:left="5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est également informé que MNCAP et ZENIOO n’envisagent pas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d’effectuer un transfert des données personnelles vers un pays situé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dehors de l’Union Européenne. ZENIOO peut toutefois être amené, sous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contrôle, à effectuer des transferts hors de ce territoire. En tout état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cause ZENIOO s’engage à mettre en place des garanties appropriées pour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 transfert de données vers un pays situé hors de l’Union Européenne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à la Législation relative à la Protection des données.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D’une manière générale, MNCAP et ZENIOO s’engagent à respecter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de traitement et/ou la destination des données personnelles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76" w:space="0"/>
            <w:col w:w="573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légale.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qui leur ont été communiquées par l’adhérent ou auxquelles elles auront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Sauf opposition de l’Adhérent, les données personnelles ainsi recueillies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pourront également être utilisées à des fins de prospection commerciale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voie électronique, par ZENIOO, pour des produits et services similaires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ceux objets du contrat, sur la base juridique de leurs intérêts légitimes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74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accès dans le cadre de l’exécution du contrat. </w:t>
      </w:r>
    </w:p>
    <w:p>
      <w:pPr>
        <w:autoSpaceDN w:val="0"/>
        <w:autoSpaceDE w:val="0"/>
        <w:widowControl/>
        <w:spacing w:line="245" w:lineRule="auto" w:before="10" w:after="10"/>
        <w:ind w:left="52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engagements pris par MNCAP et ZENIOO au titre du présent article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survivront à la cessation du contrat pour quelque cause que ce soit.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désaccord persistant, le Candidat à l’assurance peut introduire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74" w:space="0"/>
            <w:col w:w="5740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respectifs.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une réclamation auprès de la CNIL à l’adresse suivante : Commission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Ces données personnelles sont strictement confidentielles et ne sont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Nationale Informatique et Libertés – 3 place de Fontenoy, 75007 Paris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destinées qu’aux services compétents de MNCAP et de ZENIOO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intervenant dans le cadre de l’exécution du contrat.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Le traitement des données personnelles par l’Association des Assurés de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cadre de l’exécution du contrat et/ou de ses suites, MNCAP peut </w:t>
      </w:r>
      <w:r>
        <w:br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Zenioo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également être amenée à communiquer certaines des données ainsi </w:t>
      </w:r>
    </w:p>
    <w:p>
      <w:pPr>
        <w:autoSpaceDN w:val="0"/>
        <w:autoSpaceDE w:val="0"/>
        <w:widowControl/>
        <w:spacing w:line="176" w:lineRule="exact" w:before="96" w:after="0"/>
        <w:ind w:left="0" w:right="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14</w:t>
      </w:r>
    </w:p>
    <w:p>
      <w:pPr>
        <w:autoSpaceDN w:val="0"/>
        <w:autoSpaceDE w:val="0"/>
        <w:widowControl/>
        <w:spacing w:line="245" w:lineRule="auto" w:before="148" w:after="0"/>
        <w:ind w:left="0" w:right="2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V0124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10" w:after="0"/>
        <w:ind w:left="0" w:right="21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V0124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6 Cours André Philip - 69100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Villeurbanne. 20240521_ZENIOO0124_NI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48" w:val="left"/>
        </w:tabs>
        <w:autoSpaceDE w:val="0"/>
        <w:widowControl/>
        <w:spacing w:line="240" w:lineRule="auto" w:before="0" w:after="0"/>
        <w:ind w:left="2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80"/>
        <w:sectPr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tant que Responsable de traitement, l’Association des Assurés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Zenioo collecte des données sur les Adhérents et les bénéficiaires de ses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aides, à des fins de réalisation de son objet social et notamment :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74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52" w:right="1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prolonge ce délai de renonciation de quatorze (14) jours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calendaires à compter du jour de la conclusion de L’Adhésion à trente (30)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jours calendaires à compter du prélèvement ou paiement de la première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74" w:space="0"/>
            <w:col w:w="57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2.0" w:type="dxa"/>
      </w:tblPr>
      <w:tblGrid>
        <w:gridCol w:w="3771"/>
        <w:gridCol w:w="3771"/>
        <w:gridCol w:w="3771"/>
      </w:tblGrid>
      <w:tr>
        <w:trPr>
          <w:trHeight w:hRule="exact" w:val="19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5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l’étude de la demande d’aide ; 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4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cotisation d’assurance. </w:t>
            </w:r>
          </w:p>
        </w:tc>
      </w:tr>
      <w:tr>
        <w:trPr>
          <w:trHeight w:hRule="exact" w:val="22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2" w:after="0"/>
              <w:ind w:left="0" w:right="1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5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la collecte de la Cotisation associative ; 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4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Dans les autres cas, l’Adhérent a la faculté de renoncer au contrat </w:t>
            </w:r>
          </w:p>
        </w:tc>
      </w:tr>
      <w:tr>
        <w:trPr>
          <w:trHeight w:hRule="exact" w:val="20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1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5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la réalisation d'études statistiques et actuarielles. 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44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d’assurance de la Mutuelle dans un délai de trente (30) jours à compter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 traitement est réalisé dans l’intérêt de l’Association, afin d’améliorer son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fonctionnement.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Ces données sont collectées directement auprès de l’Adhérent ou de son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74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355" w:lineRule="auto" w:before="0" w:after="10"/>
        <w:ind w:left="52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prélèvement ou paiement de la première cotisation d’assurance.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ce faire, il doit adresser au siège de la Mutuelle un courrier ou tout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74" w:space="0"/>
            <w:col w:w="5740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courtier en assurance.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autre support durable ou moyen prévu à l’article L.221-10-3 du code de </w:t>
      </w:r>
    </w:p>
    <w:p>
      <w:pPr>
        <w:autoSpaceDN w:val="0"/>
        <w:tabs>
          <w:tab w:pos="5626" w:val="left"/>
        </w:tabs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données sont conservées pendant toute la durée pendant laquelle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mutualité, avec copie à l’organisme de prêt concerné, reproduisant le </w:t>
      </w:r>
    </w:p>
    <w:p>
      <w:pPr>
        <w:autoSpaceDN w:val="0"/>
        <w:tabs>
          <w:tab w:pos="5626" w:val="left"/>
        </w:tabs>
        <w:autoSpaceDE w:val="0"/>
        <w:widowControl/>
        <w:spacing w:line="230" w:lineRule="auto" w:before="1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bénéficie de la qualité de membre de l’Association des Assurés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texte ci-dessous :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Zenioo puis, pendant la durée de prescription légale applicable.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sein de l’Association des Assurés de Zenioo, seules les personnes ayant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besoin de connaitre ces données dans le cadre de leurs missions y ont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74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52" w:right="260" w:firstLine="0"/>
        <w:jc w:val="both"/>
      </w:pPr>
      <w:r>
        <w:rPr>
          <w:rFonts w:ascii="Open Sans" w:hAnsi="Open Sans" w:eastAsia="Open Sans"/>
          <w:b w:val="0"/>
          <w:i/>
          <w:color w:val="000000"/>
          <w:sz w:val="16"/>
        </w:rPr>
        <w:t xml:space="preserve">Je soussigné « Nom, Prénom » né(e) le……… demeurant ……….., contrat de prêt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N°………. « raison sociale de l’organisme de prêt » déclare renoncer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expressément à l’adhésion de mon contrat d’assurance N°………. .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74" w:space="0"/>
            <w:col w:w="5740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accès. </w:t>
      </w:r>
      <w:r>
        <w:tab/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Je demande le remboursement des sommes déjà versées. </w:t>
      </w:r>
    </w:p>
    <w:p>
      <w:pPr>
        <w:autoSpaceDN w:val="0"/>
        <w:tabs>
          <w:tab w:pos="5626" w:val="left"/>
        </w:tabs>
        <w:autoSpaceDE w:val="0"/>
        <w:widowControl/>
        <w:spacing w:line="230" w:lineRule="auto" w:before="1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données peuvent également être transmisses aux délégataires de </w:t>
      </w:r>
      <w:r>
        <w:tab/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Fait à …………….le…………… « Signature » </w:t>
      </w:r>
    </w:p>
    <w:p>
      <w:pPr>
        <w:autoSpaceDN w:val="0"/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l’Association des Assurés de Zenioo, aux autorités administratives et </w:t>
      </w:r>
    </w:p>
    <w:p>
      <w:pPr>
        <w:autoSpaceDN w:val="0"/>
        <w:tabs>
          <w:tab w:pos="5626" w:val="left"/>
        </w:tabs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judiciaires pour satisfaire aux obligations légales et réglementaires en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cotisations éventuellement versées lui sont alors remboursées dans </w:t>
      </w:r>
    </w:p>
    <w:p>
      <w:pPr>
        <w:autoSpaceDN w:val="0"/>
        <w:tabs>
          <w:tab w:pos="5626" w:val="left"/>
        </w:tabs>
        <w:autoSpaceDE w:val="0"/>
        <w:widowControl/>
        <w:spacing w:line="233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vigueur.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 délai maximum de trente (30) jours à compter de la réception de la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données sont traitées sur le territoire de l’Union Européenne. Elles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peuvent toutefois faire l’objet, sous contrôle, de transferts hors de ce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74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52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>lettre ou tout autre support durable ou moyen prévu à l’article L.221-10-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3 du code de la mutualité.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74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territoire. Ces règles peuvent être transmises sur demande à l’Association.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à la loi « Informatique et Libertés » n° 78-17 du 6 janvier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1978 et au règlement européen (UE) n°2016/679 du Parlement européen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76" w:space="0"/>
            <w:col w:w="573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0"/>
        <w:ind w:left="5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Au-delà de ce délai, l’Adhérent pourra mettre fin au Contrat par résiliation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selon les dispositions prévues à l’article 25. La renonciation met fin à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76" w:space="0"/>
            <w:col w:w="573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du Conseil du 27 avril 2016, tout Adhérent dispose d’un droit d’accès, de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l’affiliation.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portabilité (dans les cas prévus par la loi uniquement), de rectification, de </w:t>
      </w:r>
    </w:p>
    <w:p>
      <w:pPr>
        <w:autoSpaceDN w:val="0"/>
        <w:tabs>
          <w:tab w:pos="5626" w:val="left"/>
        </w:tabs>
        <w:autoSpaceDE w:val="0"/>
        <w:widowControl/>
        <w:spacing w:line="230" w:lineRule="auto" w:before="1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limitation (dans les cas prévus par la loi uniquement), d’opposition et de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informe parallèlement le Bénéficiaire. </w:t>
      </w:r>
    </w:p>
    <w:p>
      <w:pPr>
        <w:autoSpaceDN w:val="0"/>
        <w:tabs>
          <w:tab w:pos="1114" w:val="left"/>
          <w:tab w:pos="2278" w:val="left"/>
          <w:tab w:pos="2744" w:val="left"/>
          <w:tab w:pos="3592" w:val="left"/>
          <w:tab w:pos="4532" w:val="left"/>
        </w:tabs>
        <w:autoSpaceDE w:val="0"/>
        <w:widowControl/>
        <w:spacing w:line="233" w:lineRule="auto" w:before="1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suppression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(uniquement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données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inexactes,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incomplètes,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équivoques, périmées ou dont le traitement est illicite) concernant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informations qui le concerne ainsi que du droit de définir des directives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relatives à la conservation, l’effacement et à la communication de ces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données après son décès. </w:t>
      </w:r>
    </w:p>
    <w:p>
      <w:pPr>
        <w:autoSpaceDN w:val="0"/>
        <w:autoSpaceDE w:val="0"/>
        <w:widowControl/>
        <w:spacing w:line="245" w:lineRule="auto" w:before="10" w:after="0"/>
        <w:ind w:left="0" w:right="5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peut exercer ses droits en adressant un courrier à l’adresse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suivante : Association des assurés Zenioo – 33 rue de la République, 69002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Lyon. Une copie de la pièce d’identité (recto-verso) du demandeur devra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être transmise lors de la demande. </w:t>
      </w:r>
    </w:p>
    <w:p>
      <w:pPr>
        <w:autoSpaceDN w:val="0"/>
        <w:autoSpaceDE w:val="0"/>
        <w:widowControl/>
        <w:spacing w:line="245" w:lineRule="auto" w:before="1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ou le bénéficiaire dispose également de la faculté d'introduire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une réclamation relative au traitement de ses données personnelles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le site de la CNIL en remplissant un formulaire de plainte en ligne ;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courrier postal en écrivant à : CNIL - 3 Place de Fontenoy - TSA 80715 -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76" w:space="0"/>
            <w:col w:w="573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0" w:right="2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défaut de remise des documents et informations énumérées à l’article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L.223–8 du Code de la mutualité entraine de plein droit la prorogation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délai de renonciation jusqu’au trentième jour calendaire révolu suivant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date de remise effective de ces documents. </w:t>
      </w:r>
    </w:p>
    <w:p>
      <w:pPr>
        <w:autoSpaceDN w:val="0"/>
        <w:autoSpaceDE w:val="0"/>
        <w:widowControl/>
        <w:spacing w:line="245" w:lineRule="auto" w:before="228" w:after="0"/>
        <w:ind w:left="5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25 – FACULTE DE RESILIATION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à l’article L.221-10 du Code de la mutualité, et sous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réserve des dispositions de la présente notice d’information relatives 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prise d’effet et à la durée de l’adhésion, l’Adhérent dispose de la faculté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résilier son adhésion à tout moment. </w:t>
      </w:r>
    </w:p>
    <w:p>
      <w:pPr>
        <w:autoSpaceDN w:val="0"/>
        <w:autoSpaceDE w:val="0"/>
        <w:widowControl/>
        <w:spacing w:line="230" w:lineRule="auto" w:before="228" w:after="8"/>
        <w:ind w:left="5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peut résilier son adhésion en notifiant sa demande à la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76" w:space="0"/>
            <w:col w:w="573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75334 PARIS CEDEX 07.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par l’envoi d’une lettre ou tout autre support durable ou moyen </w:t>
      </w:r>
    </w:p>
    <w:p>
      <w:pPr>
        <w:autoSpaceDN w:val="0"/>
        <w:autoSpaceDE w:val="0"/>
        <w:widowControl/>
        <w:spacing w:line="233" w:lineRule="auto" w:before="8" w:after="4"/>
        <w:ind w:left="0" w:right="260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prévu à l’article L.221-10-3 du code de la mutualité à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Groupe MNCAP 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14"/>
        <w:gridCol w:w="1414"/>
        <w:gridCol w:w="1414"/>
        <w:gridCol w:w="1414"/>
        <w:gridCol w:w="1414"/>
        <w:gridCol w:w="1414"/>
        <w:gridCol w:w="1414"/>
        <w:gridCol w:w="1414"/>
      </w:tblGrid>
      <w:tr>
        <w:trPr>
          <w:trHeight w:hRule="exact" w:val="194"/>
        </w:trPr>
        <w:tc>
          <w:tcPr>
            <w:tcW w:type="dxa" w:w="4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ARTICLE 23 – AUTORITES DE CONTROLE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64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rue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Dosne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75116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PARIS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ou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à 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>gestion-production@mncap.fr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rappelé que l’autorité de contrôle de la Mutuelle est l’ACPR (Autorité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Contrôle Prudentiel et de Résolution), sise à Paris, au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4 Place de Budapest - CS 92459 - 75436 Paris cedex 09. 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24 – DROIT DE RENONCIATION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à l’article L.223-8 du Code de la mutualité, l’Adhérent a la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74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au 3e alinéa de l'article L.221-10 du Code de la Mutualité. </w:t>
      </w:r>
    </w:p>
    <w:p>
      <w:pPr>
        <w:autoSpaceDN w:val="0"/>
        <w:autoSpaceDE w:val="0"/>
        <w:widowControl/>
        <w:spacing w:line="245" w:lineRule="auto" w:before="226" w:after="8"/>
        <w:ind w:left="52" w:right="26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tous les cas, l’Adhérent doit notifier sa demande de résiliation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auprès de l’Organisme prêteur, qui informera l’Adhérent de sa décision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d’acceptation ou de refus dans un délai de dix jours à compter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réception d’un autre contrat d’assurance de substitution.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74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1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faculté de renoncer au Contrat de la Mutuelle par lettre ou tout autre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support durable ou moyen prévu à l’article L.221-10-3 du code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mutualité pendant un délai de trente (30) jours calendaires révolus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compter du moment où il est informé que l’adhésion a pris effet. </w:t>
      </w:r>
    </w:p>
    <w:p>
      <w:pPr>
        <w:autoSpaceDN w:val="0"/>
        <w:autoSpaceDE w:val="0"/>
        <w:widowControl/>
        <w:spacing w:line="245" w:lineRule="auto" w:before="10" w:after="0"/>
        <w:ind w:left="0" w:right="5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Vente à distance, conformément à l'article L.221-18 du Code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mutualité (et les dispositions des articles L.121-26, L.121-26-1, L.121-28,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L.121-30 à L.121-33 du Code de la consommation, l’Assuré a la faculté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renoncer à L’Adhésion sous réserve de l’accord de l’organisme prêteur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un délai de quatorze (14) jours calendaires à compter du jour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conclusion de l’adhésion formalisée par l’envoi du Certificat Individuel </w:t>
      </w:r>
    </w:p>
    <w:p>
      <w:pPr>
        <w:sectPr>
          <w:type w:val="continuous"/>
          <w:pgSz w:w="11906" w:h="16838"/>
          <w:pgMar w:top="212" w:right="194" w:bottom="186" w:left="398" w:header="720" w:footer="720" w:gutter="0"/>
          <w:cols w:num="2" w:equalWidth="0">
            <w:col w:w="5576" w:space="0"/>
            <w:col w:w="573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0" w:right="2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à l’article L. 221-10-4 du code de la Mutualité, la Mutuelle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informe annuellement l’assuré de son droit à résiliation, en indiquant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un document les modalités de résiliation et les différents délais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notification et d’information à respecter. </w:t>
      </w:r>
    </w:p>
    <w:p>
      <w:pPr>
        <w:autoSpaceDN w:val="0"/>
        <w:autoSpaceDE w:val="0"/>
        <w:widowControl/>
        <w:spacing w:line="245" w:lineRule="auto" w:before="228" w:after="8"/>
        <w:ind w:left="5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26 – PARTICIPATION AUX BENEFICES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ne peut se prévaloir d’aucun droit individuel aux bénéfices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techniques et financiers de la notice d’information. Ceux-ci sont affectés,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fin de chaque exercice, à l’ensemble des provisions techniques ou des </w:t>
      </w:r>
    </w:p>
    <w:p>
      <w:pPr>
        <w:sectPr>
          <w:type w:val="nextColumn"/>
          <w:pgSz w:w="11906" w:h="16838"/>
          <w:pgMar w:top="212" w:right="194" w:bottom="186" w:left="398" w:header="720" w:footer="720" w:gutter="0"/>
          <w:cols w:num="2" w:equalWidth="0">
            <w:col w:w="5576" w:space="0"/>
            <w:col w:w="5738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réserves de la Mutuelle. </w:t>
      </w:r>
    </w:p>
    <w:p>
      <w:pPr>
        <w:autoSpaceDN w:val="0"/>
        <w:autoSpaceDE w:val="0"/>
        <w:widowControl/>
        <w:spacing w:line="176" w:lineRule="exact" w:before="314" w:after="0"/>
        <w:ind w:left="0" w:right="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15</w:t>
      </w:r>
    </w:p>
    <w:p>
      <w:pPr>
        <w:autoSpaceDN w:val="0"/>
        <w:autoSpaceDE w:val="0"/>
        <w:widowControl/>
        <w:spacing w:line="245" w:lineRule="auto" w:before="148" w:after="0"/>
        <w:ind w:left="0" w:right="2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V0124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10" w:after="0"/>
        <w:ind w:left="0" w:right="21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V0124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6 Cours André Philip - 69100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Villeurbanne. 20240521_ZENIOO0124_NI </w:t>
      </w:r>
    </w:p>
    <w:sectPr w:rsidR="00FC693F" w:rsidRPr="0006063C" w:rsidSect="00034616">
      <w:type w:val="continuous"/>
      <w:pgSz w:w="11906" w:h="16838"/>
      <w:pgMar w:top="212" w:right="194" w:bottom="186" w:left="39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www.legifrance.gouv.fr/affichCodeArticle.do?cidTexte=LEGITEXT000006069565&amp;idArticle=LEGIARTI000032222205&amp;dateTexte=&amp;categorieLien=cid" TargetMode="External"/><Relationship Id="rId12" Type="http://schemas.openxmlformats.org/officeDocument/2006/relationships/hyperlink" Target="http://www.aeras-infos.fr/" TargetMode="External"/><Relationship Id="rId13" Type="http://schemas.openxmlformats.org/officeDocument/2006/relationships/image" Target="media/image3.png"/><Relationship Id="rId14" Type="http://schemas.openxmlformats.org/officeDocument/2006/relationships/hyperlink" Target="mailto:dpo@mncap.fr" TargetMode="External"/><Relationship Id="rId15" Type="http://schemas.openxmlformats.org/officeDocument/2006/relationships/hyperlink" Target="https://conso.bloctel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