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-946150</wp:posOffset>
            </wp:positionH>
            <wp:positionV relativeFrom="page">
              <wp:posOffset>-789940</wp:posOffset>
            </wp:positionV>
            <wp:extent cx="2874010" cy="2852602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8526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</wp:posOffset>
            </wp:positionH>
            <wp:positionV relativeFrom="page">
              <wp:posOffset>3337560</wp:posOffset>
            </wp:positionV>
            <wp:extent cx="2284730" cy="773786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7378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2606040</wp:posOffset>
            </wp:positionH>
            <wp:positionV relativeFrom="page">
              <wp:posOffset>3342640</wp:posOffset>
            </wp:positionV>
            <wp:extent cx="2284730" cy="769208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6920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5072380</wp:posOffset>
            </wp:positionH>
            <wp:positionV relativeFrom="page">
              <wp:posOffset>3359150</wp:posOffset>
            </wp:positionV>
            <wp:extent cx="2286000" cy="760473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0473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.0" w:type="dxa"/>
      </w:tblPr>
      <w:tblGrid>
        <w:gridCol w:w="5741"/>
        <w:gridCol w:w="5741"/>
      </w:tblGrid>
      <w:tr>
        <w:trPr>
          <w:trHeight w:hRule="exact" w:val="1520"/>
        </w:trPr>
        <w:tc>
          <w:tcPr>
            <w:tcW w:type="dxa" w:w="9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78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759AAB"/>
                <w:sz w:val="20"/>
              </w:rPr>
              <w:t xml:space="preserve">FICHE PRODUIT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9240"/>
            </w:tblGrid>
            <w:tr>
              <w:trPr>
                <w:trHeight w:hRule="exact" w:val="1180"/>
              </w:trPr>
              <w:tc>
                <w:tcPr>
                  <w:tcW w:type="dxa" w:w="8840"/>
                  <w:tcBorders>
                    <w:start w:sz="12.0" w:val="single" w:color="#E42D45"/>
                    <w:top w:sz="12.0" w:val="single" w:color="#E42D4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98" w:after="0"/>
                    <w:ind w:left="206" w:right="0" w:firstLine="0"/>
                    <w:jc w:val="left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36"/>
                    </w:rPr>
                    <w:t xml:space="preserve">MNCAP ADE 0528 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22"/>
                    </w:rPr>
                    <w:t xml:space="preserve">by </w:t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627380" cy="18542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7380" cy="18542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216" w:right="0" w:firstLine="0"/>
                    <w:jc w:val="left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22"/>
                    </w:rPr>
                    <w:t xml:space="preserve">L’alternative 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32"/>
                    </w:rPr>
                    <w:t>+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22"/>
                    </w:rPr>
                    <w:t xml:space="preserve"> économique et 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32"/>
                    </w:rPr>
                    <w:t>+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22"/>
                    </w:rPr>
                    <w:t xml:space="preserve"> sécurisante face aux contrats bancaires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69340" cy="3771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" cy="377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0" w:lineRule="auto" w:before="626" w:after="0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Pourquoi choisir MNCAP ADE 0528 ? </w:t>
      </w:r>
    </w:p>
    <w:p>
      <w:pPr>
        <w:autoSpaceDN w:val="0"/>
        <w:tabs>
          <w:tab w:pos="1228" w:val="left"/>
        </w:tabs>
        <w:autoSpaceDE w:val="0"/>
        <w:widowControl/>
        <w:spacing w:line="230" w:lineRule="auto" w:before="104" w:after="0"/>
        <w:ind w:left="868" w:right="0" w:firstLine="0"/>
        <w:jc w:val="left"/>
      </w:pPr>
      <w:r>
        <w:rPr>
          <w:rFonts w:ascii="Symbol" w:hAnsi="Symbol" w:eastAsia="Symbol"/>
          <w:b w:val="0"/>
          <w:i w:val="0"/>
          <w:color w:val="002337"/>
          <w:sz w:val="20"/>
        </w:rPr>
        <w:t>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Offre dédiée aux plus de 50 ans </w:t>
      </w:r>
    </w:p>
    <w:p>
      <w:pPr>
        <w:autoSpaceDN w:val="0"/>
        <w:tabs>
          <w:tab w:pos="1228" w:val="left"/>
        </w:tabs>
        <w:autoSpaceDE w:val="0"/>
        <w:widowControl/>
        <w:spacing w:line="230" w:lineRule="auto" w:before="12" w:after="0"/>
        <w:ind w:left="86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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Couverture des capitaux jusqu’à 5 millions </w:t>
      </w:r>
    </w:p>
    <w:p>
      <w:pPr>
        <w:autoSpaceDN w:val="0"/>
        <w:tabs>
          <w:tab w:pos="1222" w:val="left"/>
        </w:tabs>
        <w:autoSpaceDE w:val="0"/>
        <w:widowControl/>
        <w:spacing w:line="233" w:lineRule="auto" w:before="12" w:after="0"/>
        <w:ind w:left="866" w:right="0" w:firstLine="0"/>
        <w:jc w:val="left"/>
      </w:pPr>
      <w:r>
        <w:rPr>
          <w:rFonts w:ascii="Symbol" w:hAnsi="Symbol" w:eastAsia="Symbol"/>
          <w:b w:val="0"/>
          <w:i w:val="0"/>
          <w:color w:val="002337"/>
          <w:sz w:val="20"/>
        </w:rPr>
        <w:t>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Option Invalidité Professionnelle pour les médicaux et paramédicaux </w:t>
      </w:r>
    </w:p>
    <w:p>
      <w:pPr>
        <w:autoSpaceDN w:val="0"/>
        <w:tabs>
          <w:tab w:pos="1222" w:val="left"/>
        </w:tabs>
        <w:autoSpaceDE w:val="0"/>
        <w:widowControl/>
        <w:spacing w:line="230" w:lineRule="auto" w:before="10" w:after="0"/>
        <w:ind w:left="866" w:right="0" w:firstLine="0"/>
        <w:jc w:val="left"/>
      </w:pPr>
      <w:r>
        <w:rPr>
          <w:rFonts w:ascii="Symbol" w:hAnsi="Symbol" w:eastAsia="Symbol"/>
          <w:b w:val="0"/>
          <w:i w:val="0"/>
          <w:color w:val="002337"/>
          <w:sz w:val="20"/>
        </w:rPr>
        <w:t>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20"/>
        </w:rPr>
        <w:t>Couverture du dos et du psy en inclusion</w:t>
      </w:r>
    </w:p>
    <w:p>
      <w:pPr>
        <w:autoSpaceDN w:val="0"/>
        <w:autoSpaceDE w:val="0"/>
        <w:widowControl/>
        <w:spacing w:line="230" w:lineRule="auto" w:before="366" w:after="0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>En un clin d’œil</w:t>
      </w:r>
    </w:p>
    <w:p>
      <w:pPr>
        <w:autoSpaceDN w:val="0"/>
        <w:autoSpaceDE w:val="0"/>
        <w:widowControl/>
        <w:spacing w:line="233" w:lineRule="auto" w:before="44" w:after="176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20"/>
        </w:rPr>
        <w:t>Produit géré par et assuré par MNCAP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14"/>
        <w:gridCol w:w="1914"/>
        <w:gridCol w:w="1914"/>
        <w:gridCol w:w="1914"/>
        <w:gridCol w:w="1914"/>
        <w:gridCol w:w="1914"/>
      </w:tblGrid>
      <w:tr>
        <w:trPr>
          <w:trHeight w:hRule="exact" w:val="366"/>
        </w:trPr>
        <w:tc>
          <w:tcPr>
            <w:tcW w:type="dxa" w:w="388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310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1"/>
              </w:rPr>
              <w:t xml:space="preserve">Pour vous </w:t>
            </w:r>
          </w:p>
        </w:tc>
        <w:tc>
          <w:tcPr>
            <w:tcW w:type="dxa" w:w="562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50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Pour votre client </w:t>
            </w:r>
          </w:p>
        </w:tc>
        <w:tc>
          <w:tcPr>
            <w:tcW w:type="dxa" w:w="572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26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Formalités médicales </w:t>
            </w:r>
          </w:p>
        </w:tc>
      </w:tr>
      <w:tr>
        <w:trPr>
          <w:trHeight w:hRule="exact" w:val="348"/>
        </w:trPr>
        <w:tc>
          <w:tcPr>
            <w:tcW w:type="dxa" w:w="1914"/>
            <w:vMerge/>
            <w:tcBorders>
              <w:bottom w:sz="8.0" w:val="single" w:color="#EEF4F5"/>
            </w:tcBorders>
          </w:tcPr>
          <w:p/>
        </w:tc>
        <w:tc>
          <w:tcPr>
            <w:tcW w:type="dxa" w:w="3318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Différents modes de </w:t>
            </w:r>
          </w:p>
        </w:tc>
        <w:tc>
          <w:tcPr>
            <w:tcW w:type="dxa" w:w="1914"/>
            <w:vMerge/>
            <w:tcBorders>
              <w:bottom w:sz="8.0" w:val="single" w:color="#EEF4F5"/>
            </w:tcBorders>
          </w:tcPr>
          <w:p/>
        </w:tc>
        <w:tc>
          <w:tcPr>
            <w:tcW w:type="dxa" w:w="3308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Parcours de souscription en </w:t>
            </w:r>
          </w:p>
        </w:tc>
        <w:tc>
          <w:tcPr>
            <w:tcW w:type="dxa" w:w="1914"/>
            <w:vMerge/>
            <w:tcBorders>
              <w:bottom w:sz="8.0" w:val="single" w:color="#EEF4F5"/>
            </w:tcBorders>
          </w:tcPr>
          <w:p/>
        </w:tc>
        <w:tc>
          <w:tcPr>
            <w:tcW w:type="dxa" w:w="3314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13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Questionnaire de santé jusqu’à </w:t>
            </w:r>
          </w:p>
        </w:tc>
      </w:tr>
      <w:tr>
        <w:trPr>
          <w:trHeight w:hRule="exact" w:val="250"/>
        </w:trPr>
        <w:tc>
          <w:tcPr>
            <w:tcW w:type="dxa" w:w="388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318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commissions linéaires ou </w:t>
            </w:r>
          </w:p>
        </w:tc>
        <w:tc>
          <w:tcPr>
            <w:tcW w:type="dxa" w:w="562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308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ligne y compris la sélection </w:t>
            </w:r>
          </w:p>
        </w:tc>
        <w:tc>
          <w:tcPr>
            <w:tcW w:type="dxa" w:w="572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314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3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60 ans et 350 000 € </w:t>
            </w:r>
          </w:p>
        </w:tc>
      </w:tr>
      <w:tr>
        <w:trPr>
          <w:trHeight w:hRule="exact" w:val="342"/>
        </w:trPr>
        <w:tc>
          <w:tcPr>
            <w:tcW w:type="dxa" w:w="1914"/>
            <w:vMerge/>
            <w:tcBorders>
              <w:top w:sz="8.0" w:val="single" w:color="#EEF4F5"/>
            </w:tcBorders>
          </w:tcPr>
          <w:p/>
        </w:tc>
        <w:tc>
          <w:tcPr>
            <w:tcW w:type="dxa" w:w="33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escomptés et précomptés </w:t>
            </w:r>
          </w:p>
        </w:tc>
        <w:tc>
          <w:tcPr>
            <w:tcW w:type="dxa" w:w="1914"/>
            <w:vMerge/>
            <w:tcBorders>
              <w:top w:sz="8.0" w:val="single" w:color="#EEF4F5"/>
            </w:tcBorders>
          </w:tcPr>
          <w:p/>
        </w:tc>
        <w:tc>
          <w:tcPr>
            <w:tcW w:type="dxa" w:w="3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médicale </w:t>
            </w:r>
          </w:p>
        </w:tc>
        <w:tc>
          <w:tcPr>
            <w:tcW w:type="dxa" w:w="1914"/>
            <w:vMerge/>
            <w:tcBorders>
              <w:top w:sz="8.0" w:val="single" w:color="#EEF4F5"/>
            </w:tcBorders>
          </w:tcPr>
          <w:p/>
        </w:tc>
        <w:tc>
          <w:tcPr>
            <w:tcW w:type="dxa" w:w="1914"/>
            <w:vMerge/>
            <w:tcBorders>
              <w:top w:sz="8.0" w:val="single" w:color="#EEF4F5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370" w:after="0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Garanties </w:t>
      </w:r>
    </w:p>
    <w:p>
      <w:pPr>
        <w:autoSpaceDN w:val="0"/>
        <w:autoSpaceDE w:val="0"/>
        <w:widowControl/>
        <w:spacing w:line="228" w:lineRule="auto" w:before="10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vous devez proposer des produits qui sont cohérents avec les exigences et </w:t>
      </w:r>
    </w:p>
    <w:p>
      <w:pPr>
        <w:autoSpaceDN w:val="0"/>
        <w:autoSpaceDE w:val="0"/>
        <w:widowControl/>
        <w:spacing w:line="230" w:lineRule="auto" w:before="10" w:after="138"/>
        <w:ind w:left="508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besoins du souscripteur éventuel ou de l’adhérent éventuel.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2870"/>
        <w:gridCol w:w="2870"/>
        <w:gridCol w:w="2870"/>
        <w:gridCol w:w="2870"/>
      </w:tblGrid>
      <w:tr>
        <w:trPr>
          <w:trHeight w:hRule="exact" w:val="498"/>
        </w:trPr>
        <w:tc>
          <w:tcPr>
            <w:tcW w:type="dxa" w:w="2270"/>
            <w:tcBorders>
              <w:end w:sz="3.9999999999998863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Description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à l’adhésion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à l’indemnisation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3.199999999999818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Décès Perte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et Irréversible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d’Autonomie (PTIA)</w:t>
            </w:r>
          </w:p>
        </w:tc>
        <w:tc>
          <w:tcPr>
            <w:tcW w:type="dxa" w:w="4824"/>
            <w:tcBorders>
              <w:start w:sz="3.9999999999998863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du capital restant dû au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jour du décès ou de la PTIA dans la limite de la quotité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souscrite </w:t>
            </w:r>
          </w:p>
        </w:tc>
        <w:tc>
          <w:tcPr>
            <w:tcW w:type="dxa" w:w="2130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Si Décès seul :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50 à 80 ans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/ PTIA : 65 ans </w:t>
            </w:r>
          </w:p>
        </w:tc>
        <w:tc>
          <w:tcPr>
            <w:tcW w:type="dxa" w:w="2120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: jusqu’au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85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PTIA : 67 ans 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Incapacité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Temporaire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(ITT) 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la limite de la quotité souscrite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50 à 65 ans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65 ans </w:t>
            </w:r>
          </w:p>
        </w:tc>
      </w:tr>
      <w:tr>
        <w:trPr>
          <w:trHeight w:hRule="exact" w:val="744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Permanente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(IP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) 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la limite de la quotité souscrite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50 à 65 ans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65 ans 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86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Permanente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Pa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r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tielle (IPP) 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 (N-33)/33 des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échéances dues dans la limite de la quotité souscrite </w:t>
            </w:r>
            <w:r>
              <w:rPr>
                <w:rFonts w:ascii="Open Sans" w:hAnsi="Open Sans" w:eastAsia="Open Sans"/>
                <w:b w:val="0"/>
                <w:i/>
                <w:color w:val="002337"/>
                <w:sz w:val="18"/>
              </w:rPr>
              <w:t>N étant le taux d’incapacité reconnu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50 à 65 ans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65 ans </w:t>
            </w:r>
          </w:p>
        </w:tc>
      </w:tr>
      <w:tr>
        <w:trPr>
          <w:trHeight w:hRule="exact" w:val="1372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3.2000000000007276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Permanente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Professionnelle en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capital (IP PRO)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4"/>
              </w:rPr>
              <w:t xml:space="preserve">Réservée aux médicaux et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4"/>
              </w:rPr>
              <w:t>par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4"/>
              </w:rPr>
              <w:t>a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4"/>
              </w:rPr>
              <w:t>médicaux</w:t>
            </w:r>
          </w:p>
        </w:tc>
        <w:tc>
          <w:tcPr>
            <w:tcW w:type="dxa" w:w="4824"/>
            <w:vMerge w:val="restart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du capital restant dû en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cas d’invalidité professionnelle à 100 % dans la limite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la quotité souscrite </w:t>
            </w:r>
          </w:p>
          <w:p>
            <w:pPr>
              <w:autoSpaceDN w:val="0"/>
              <w:autoSpaceDE w:val="0"/>
              <w:widowControl/>
              <w:spacing w:line="230" w:lineRule="auto" w:before="3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roduit vous pouvez vous référer au Document d’Information nor</w:t>
            </w:r>
          </w:p>
        </w:tc>
        <w:tc>
          <w:tcPr>
            <w:tcW w:type="dxa" w:w="2130"/>
            <w:vMerge w:val="restart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50 à 60 ans </w:t>
            </w:r>
          </w:p>
          <w:p>
            <w:pPr>
              <w:autoSpaceDN w:val="0"/>
              <w:autoSpaceDE w:val="0"/>
              <w:widowControl/>
              <w:spacing w:line="230" w:lineRule="auto" w:before="57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malisé sur le Produit (DIP) ou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3.2000000000007276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65 ans </w:t>
            </w:r>
          </w:p>
        </w:tc>
      </w:tr>
      <w:tr>
        <w:trPr>
          <w:trHeight w:hRule="exact" w:val="228"/>
        </w:trPr>
        <w:tc>
          <w:tcPr>
            <w:tcW w:type="dxa" w:w="11344"/>
            <w:gridSpan w:val="4"/>
            <w:tcBorders>
              <w:start w:sz="3.200000000000003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Pour plus de détails sur le produit vous pouvez vous référer au Document d’Information normalisé sur le Produit (DIP) ou à la notice d’informations</w:t>
            </w:r>
          </w:p>
        </w:tc>
      </w:tr>
    </w:tbl>
    <w:p>
      <w:pPr>
        <w:autoSpaceDN w:val="0"/>
        <w:autoSpaceDE w:val="0"/>
        <w:widowControl/>
        <w:spacing w:line="230" w:lineRule="auto" w:before="246" w:after="0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Marché cible </w:t>
      </w:r>
    </w:p>
    <w:p>
      <w:pPr>
        <w:autoSpaceDN w:val="0"/>
        <w:autoSpaceDE w:val="0"/>
        <w:widowControl/>
        <w:spacing w:line="230" w:lineRule="auto" w:before="10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Toute personne physique ou morale en cours de souscription d’un prêt ou ayant déjà souscrit un prêt, ayant le besoin </w:t>
      </w:r>
    </w:p>
    <w:p>
      <w:pPr>
        <w:autoSpaceDN w:val="0"/>
        <w:autoSpaceDE w:val="0"/>
        <w:widowControl/>
        <w:spacing w:line="230" w:lineRule="auto" w:before="28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d’assurance pour couvrir le nouveau prêt ou celui déjà existant (reprise Hamon / Bourquin) sous réserve de répondre aux </w:t>
      </w:r>
    </w:p>
    <w:p>
      <w:pPr>
        <w:autoSpaceDN w:val="0"/>
        <w:autoSpaceDE w:val="0"/>
        <w:widowControl/>
        <w:spacing w:line="230" w:lineRule="auto" w:before="30" w:after="0"/>
        <w:ind w:left="508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limites fixées dans la notice d’information du produit. </w:t>
      </w:r>
    </w:p>
    <w:p>
      <w:pPr>
        <w:autoSpaceDN w:val="0"/>
        <w:autoSpaceDE w:val="0"/>
        <w:widowControl/>
        <w:spacing w:line="230" w:lineRule="auto" w:before="190" w:after="0"/>
        <w:ind w:left="508" w:right="0" w:firstLine="0"/>
        <w:jc w:val="left"/>
      </w:pPr>
      <w:r>
        <w:rPr>
          <w:rFonts w:ascii="Open Sans" w:hAnsi="Open Sans" w:eastAsia="Open Sans"/>
          <w:b/>
          <w:i w:val="0"/>
          <w:color w:val="759AAB"/>
          <w:sz w:val="18"/>
        </w:rPr>
        <w:t>Cœur de cible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Les plus de 50 ans, CSP 1, non-fumeur </w:t>
      </w:r>
    </w:p>
    <w:p>
      <w:pPr>
        <w:autoSpaceDN w:val="0"/>
        <w:autoSpaceDE w:val="0"/>
        <w:widowControl/>
        <w:spacing w:line="228" w:lineRule="auto" w:before="1070" w:after="0"/>
        <w:ind w:left="0" w:right="458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1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8.0" w:type="dxa"/>
      </w:tblPr>
      <w:tblGrid>
        <w:gridCol w:w="5741"/>
        <w:gridCol w:w="5741"/>
      </w:tblGrid>
      <w:tr>
        <w:trPr>
          <w:trHeight w:hRule="exact" w:val="52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3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2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SAS au capital de 1.267.431 € euros, RCS de LYON n°884782582, intermédiaire en assurance immatriculé à l'ORIAS sous le n°200 058 79 (www.orias.fr)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 - 4 place de Budapest - CS 92459 - 75436 Paris Cedex 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60" w:right="212" w:bottom="88" w:left="2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93" w:type="dxa"/>
      </w:tblPr>
      <w:tblGrid>
        <w:gridCol w:w="11382"/>
      </w:tblGrid>
      <w:tr>
        <w:trPr>
          <w:trHeight w:hRule="exact" w:val="1200"/>
        </w:trPr>
        <w:tc>
          <w:tcPr>
            <w:tcW w:type="dxa" w:w="11340"/>
            <w:tcBorders>
              <w:start w:sz="8.0" w:val="single" w:color="#F9D4DA"/>
              <w:bottom w:sz="8.0" w:val="single" w:color="#F9D4DA"/>
            </w:tcBorders>
            <w:shd w:fill="fd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22" w:after="0"/>
              <w:ind w:left="410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E52E45"/>
                <w:sz w:val="26"/>
              </w:rPr>
              <w:t xml:space="preserve">Offre non éligible à la Loi Lemoine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L’offre n’est pas éligible pour les assurés dont le montant assuré est inférieur à 200 000 € et dont l’échéance du prêt arrive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avant le 60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de l'assuré. </w:t>
            </w:r>
          </w:p>
        </w:tc>
      </w:tr>
    </w:tbl>
    <w:p>
      <w:pPr>
        <w:autoSpaceDN w:val="0"/>
        <w:autoSpaceDE w:val="0"/>
        <w:widowControl/>
        <w:spacing w:line="230" w:lineRule="auto" w:before="332" w:after="202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Conditions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79" w:type="dxa"/>
      </w:tblPr>
      <w:tblGrid>
        <w:gridCol w:w="5691"/>
        <w:gridCol w:w="5691"/>
      </w:tblGrid>
      <w:tr>
        <w:trPr>
          <w:trHeight w:hRule="exact" w:val="258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Délai d’attente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Aucun </w:t>
            </w:r>
          </w:p>
        </w:tc>
      </w:tr>
      <w:tr>
        <w:trPr>
          <w:trHeight w:hRule="exact" w:val="254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Franchises (ITT / IPT)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 choix : 30, 60, 90, 120, 180 jours </w:t>
            </w:r>
          </w:p>
        </w:tc>
      </w:tr>
      <w:tr>
        <w:trPr>
          <w:trHeight w:hRule="exact" w:val="254"/>
        </w:trPr>
        <w:tc>
          <w:tcPr>
            <w:tcW w:type="dxa" w:w="2836"/>
            <w:tcBorders>
              <w:start w:sz="4.0" w:val="single" w:color="#AEC5CF"/>
              <w:top w:sz="3.199999999999818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dos </w:t>
            </w:r>
          </w:p>
        </w:tc>
        <w:tc>
          <w:tcPr>
            <w:tcW w:type="dxa" w:w="8508"/>
            <w:tcBorders>
              <w:start w:sz="3.199999999999818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 : couvert sans condition d’hospitalisation </w:t>
            </w:r>
          </w:p>
        </w:tc>
      </w:tr>
      <w:tr>
        <w:trPr>
          <w:trHeight w:hRule="exact" w:val="258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psy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 : couvert sans condition d’hospitalisation </w:t>
            </w:r>
          </w:p>
        </w:tc>
      </w:tr>
      <w:tr>
        <w:trPr>
          <w:trHeight w:hRule="exact" w:val="433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des sports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64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Exclusion des sports professionnels ou non représentés par une fédération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Sports de montagne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 : couverture des randonnées en dessous de 2 500 mètres. Exclusion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au-delà. Exclusion du trekking et de l’escalade sauf sur mur artificiel.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Sports de neige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 : couverture du ski alpin, de fond ou de surf sur piste balisée ouverte au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public ainsi que le patinage. Exclusion des autres sports de neige ou de glace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Sports avec engins à moteur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: exclusion tout sport nécessitant l’usage d’engins à moteur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(terre, mer et aérien)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Sports subaquatiques :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couverture si en deçà de 40 mètres de profondeur, exclusion au-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delà. Couverture de sports de navigation jusqu’à 20 miles des côtes, exclusion au-delà. </w:t>
            </w:r>
          </w:p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245" w:lineRule="auto" w:before="10" w:after="0"/>
              <w:ind w:left="104" w:right="144" w:firstLine="0"/>
              <w:jc w:val="left"/>
            </w:pPr>
            <w:r>
              <w:tab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Exclusion du rafting et canyoning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Sports équestres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 : couverture des sports équestres sauf voltige ou acrobaties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o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Sports de combat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 : couverture des sports de combat amateur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Sports aériens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 : exclusion du base jump, sky surfing, sky fying, saut à l’élastique, zorbing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br/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Exclusion du VTT de descente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, freeride, bicross </w:t>
            </w:r>
            <w:r>
              <w:rPr>
                <w:rFonts w:ascii="Open Sans" w:hAnsi="Open Sans" w:eastAsia="Open Sans"/>
                <w:b/>
                <w:i w:val="0"/>
                <w:color w:val="759AAB"/>
                <w:sz w:val="18"/>
              </w:rPr>
              <w:t xml:space="preserve">Rachat des exclusions possibles sous étude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759AAB"/>
                <w:sz w:val="18"/>
              </w:rPr>
              <w:t xml:space="preserve">Sports couverts dans le cadre d’un baptême ou d’une initiation encadrée par un moniteur </w:t>
            </w:r>
            <w:r>
              <w:rPr>
                <w:rFonts w:ascii="Open Sans" w:hAnsi="Open Sans" w:eastAsia="Open Sans"/>
                <w:b/>
                <w:i w:val="0"/>
                <w:color w:val="759AAB"/>
                <w:sz w:val="18"/>
              </w:rPr>
              <w:t>diplômé d’état</w:t>
            </w:r>
          </w:p>
        </w:tc>
      </w:tr>
      <w:tr>
        <w:trPr>
          <w:trHeight w:hRule="exact" w:val="990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Invalidité permanente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professionnelle en capital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(IP PRO)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Prêts professionnels exclusivement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Réservé aux professions médicales et paramédicales soient : médecin, pharmacien,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interne en médecine, sage-femme, chirurgien, chirurgien-dentiste, vétérinaire, </w:t>
            </w:r>
          </w:p>
          <w:p>
            <w:pPr>
              <w:autoSpaceDN w:val="0"/>
              <w:autoSpaceDE w:val="0"/>
              <w:widowControl/>
              <w:spacing w:line="228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kinésithérapeute, ostéopathe</w:t>
            </w:r>
          </w:p>
        </w:tc>
      </w:tr>
      <w:tr>
        <w:trPr>
          <w:trHeight w:hRule="exact" w:val="25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Mi-temps thérapeutique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50 % du montant garanti en ITT pendant 180 jours</w:t>
            </w:r>
          </w:p>
        </w:tc>
      </w:tr>
      <w:tr>
        <w:trPr>
          <w:trHeight w:hRule="exact" w:val="254"/>
        </w:trPr>
        <w:tc>
          <w:tcPr>
            <w:tcW w:type="dxa" w:w="2836"/>
            <w:tcBorders>
              <w:start w:sz="4.0" w:val="single" w:color="#AEC5CF"/>
              <w:top w:sz="3.199999999999818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Exonération des cotisations </w:t>
            </w:r>
          </w:p>
        </w:tc>
        <w:tc>
          <w:tcPr>
            <w:tcW w:type="dxa" w:w="8508"/>
            <w:tcBorders>
              <w:start w:sz="3.199999999999818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Non </w:t>
            </w:r>
          </w:p>
        </w:tc>
      </w:tr>
      <w:tr>
        <w:trPr>
          <w:trHeight w:hRule="exact" w:val="394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Territorialité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Couverture dans le monde entier </w:t>
            </w:r>
          </w:p>
        </w:tc>
      </w:tr>
      <w:tr>
        <w:trPr>
          <w:trHeight w:hRule="exact" w:val="256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Lieu de résidence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Résidence en France Métropolitaine ou DROM (hors Mayotte)</w:t>
            </w:r>
          </w:p>
        </w:tc>
      </w:tr>
      <w:tr>
        <w:trPr>
          <w:trHeight w:hRule="exact" w:val="720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Modalités de paiement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cotisations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2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Prélèvement automatique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Périodicité mensuelle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(*)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, trimestrielle, semestrielle ou annuelle au choix de l’assuré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(*) sous réserve d’un montant minimum de 12 €</w:t>
            </w:r>
          </w:p>
        </w:tc>
      </w:tr>
      <w:tr>
        <w:trPr>
          <w:trHeight w:hRule="exact" w:val="252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Association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12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€ par assuré, payable lors de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cotisation de l’assuré </w:t>
            </w:r>
          </w:p>
        </w:tc>
      </w:tr>
      <w:tr>
        <w:trPr>
          <w:trHeight w:hRule="exact" w:val="500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dossier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259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15 € par assuré, payable lors de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cotisation de l’assuré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2 € par assuré de frais de mutualité, payable lors de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sat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 </w:t>
            </w:r>
          </w:p>
        </w:tc>
      </w:tr>
      <w:tr>
        <w:trPr>
          <w:trHeight w:hRule="exact" w:val="748"/>
        </w:trPr>
        <w:tc>
          <w:tcPr>
            <w:tcW w:type="dxa" w:w="2836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courtage </w:t>
            </w:r>
          </w:p>
        </w:tc>
        <w:tc>
          <w:tcPr>
            <w:tcW w:type="dxa" w:w="8508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80" w:right="3168" w:hanging="176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Jusqu'à 3 000 € par assuré. Prélevé au choix :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avec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cotisation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ou fractionné la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année selon la périodicité du client </w:t>
            </w:r>
          </w:p>
        </w:tc>
      </w:tr>
    </w:tbl>
    <w:p>
      <w:pPr>
        <w:autoSpaceDN w:val="0"/>
        <w:autoSpaceDE w:val="0"/>
        <w:widowControl/>
        <w:spacing w:line="230" w:lineRule="auto" w:before="362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Rémunération </w:t>
      </w:r>
    </w:p>
    <w:p>
      <w:pPr>
        <w:autoSpaceDN w:val="0"/>
        <w:autoSpaceDE w:val="0"/>
        <w:widowControl/>
        <w:spacing w:line="230" w:lineRule="auto" w:before="102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il vous appartient de vérifier que les modalités de rémunération prévues </w:t>
      </w:r>
    </w:p>
    <w:p>
      <w:pPr>
        <w:autoSpaceDN w:val="0"/>
        <w:autoSpaceDE w:val="0"/>
        <w:widowControl/>
        <w:spacing w:line="230" w:lineRule="auto" w:before="8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ne sont pas de nature à créer un risque de conflit d’intérêts qui serait préjudiciable à votre client. </w:t>
      </w:r>
    </w:p>
    <w:p>
      <w:pPr>
        <w:autoSpaceDN w:val="0"/>
        <w:autoSpaceDE w:val="0"/>
        <w:widowControl/>
        <w:spacing w:line="230" w:lineRule="auto" w:before="132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Commissionnement au choix : </w:t>
      </w:r>
    </w:p>
    <w:p>
      <w:pPr>
        <w:autoSpaceDN w:val="0"/>
        <w:tabs>
          <w:tab w:pos="1152" w:val="left"/>
        </w:tabs>
        <w:autoSpaceDE w:val="0"/>
        <w:widowControl/>
        <w:spacing w:line="230" w:lineRule="auto" w:before="8" w:after="0"/>
        <w:ind w:left="792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Linéaire : 8 %, 10 %, 12 %, 15 % </w:t>
      </w:r>
    </w:p>
    <w:p>
      <w:pPr>
        <w:autoSpaceDN w:val="0"/>
        <w:tabs>
          <w:tab w:pos="1146" w:val="left"/>
        </w:tabs>
        <w:autoSpaceDE w:val="0"/>
        <w:widowControl/>
        <w:spacing w:line="230" w:lineRule="auto" w:before="28" w:after="0"/>
        <w:ind w:left="790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Escompté et précompté : 20/10, 30/10, 40/10, 50/10 </w:t>
      </w:r>
    </w:p>
    <w:p>
      <w:pPr>
        <w:autoSpaceDN w:val="0"/>
        <w:autoSpaceDE w:val="0"/>
        <w:widowControl/>
        <w:spacing w:line="228" w:lineRule="auto" w:before="190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tarif du produit est basé sur un taux de commissionnement de 40/10. </w:t>
      </w:r>
    </w:p>
    <w:p>
      <w:pPr>
        <w:autoSpaceDN w:val="0"/>
        <w:autoSpaceDE w:val="0"/>
        <w:widowControl/>
        <w:spacing w:line="228" w:lineRule="auto" w:before="942" w:after="0"/>
        <w:ind w:left="0" w:right="434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2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.0" w:type="dxa"/>
      </w:tblPr>
      <w:tblGrid>
        <w:gridCol w:w="5691"/>
        <w:gridCol w:w="5691"/>
      </w:tblGrid>
      <w:tr>
        <w:trPr>
          <w:trHeight w:hRule="exact" w:val="5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2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SAS au capital de 1.267.431 € euros, RCS de LYON n°884782582, intermédiaire en assurance immatriculé à l'ORIAS sous le n°200 058 79 (www.orias.fr)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 - 4 place de Budapest - CS 92459 - 75436 Paris Cedex 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96" w:right="236" w:bottom="8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457200</wp:posOffset>
            </wp:positionV>
            <wp:extent cx="6642100" cy="75819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581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5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La conformité en toute simplicité ! </w:t>
      </w:r>
    </w:p>
    <w:p>
      <w:pPr>
        <w:autoSpaceDN w:val="0"/>
        <w:autoSpaceDE w:val="0"/>
        <w:widowControl/>
        <w:spacing w:line="245" w:lineRule="auto" w:before="202" w:after="0"/>
        <w:ind w:left="52" w:right="7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gouvernance produit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Dans le cadre de notre démarche d’amélioration continue de la qualité de nos produits, faites-nous part de vos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retours si vous constatez que soit : </w:t>
      </w:r>
    </w:p>
    <w:p>
      <w:pPr>
        <w:autoSpaceDN w:val="0"/>
        <w:tabs>
          <w:tab w:pos="772" w:val="left"/>
        </w:tabs>
        <w:autoSpaceDE w:val="0"/>
        <w:widowControl/>
        <w:spacing w:line="245" w:lineRule="auto" w:before="8" w:after="0"/>
        <w:ind w:left="41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le produit n’est pas en adéquation avec les intérêts, objectifs et caractéristiques du marché cible précisé ci-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dessus ; </w:t>
      </w:r>
    </w:p>
    <w:p>
      <w:pPr>
        <w:autoSpaceDN w:val="0"/>
        <w:tabs>
          <w:tab w:pos="772" w:val="left"/>
        </w:tabs>
        <w:autoSpaceDE w:val="0"/>
        <w:widowControl/>
        <w:spacing w:line="245" w:lineRule="auto" w:before="10" w:after="0"/>
        <w:ind w:left="41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 circonstances relatives au produit sont susceptibles d’avoir des répercussions défavorables pour le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client ; </w:t>
      </w:r>
    </w:p>
    <w:p>
      <w:pPr>
        <w:autoSpaceDN w:val="0"/>
        <w:tabs>
          <w:tab w:pos="408" w:val="left"/>
          <w:tab w:pos="764" w:val="left"/>
        </w:tabs>
        <w:autoSpaceDE w:val="0"/>
        <w:widowControl/>
        <w:spacing w:line="245" w:lineRule="auto" w:before="8" w:after="0"/>
        <w:ind w:left="5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modalités de rémunération proposées pour le produit vous placent dans une situation de conflit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d’intérêt vis-à-vis du client ;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à partir de la messagerie instantanée mise à disposition depuis notre plateforme de vente, ou via votre délégué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régional. </w:t>
      </w:r>
    </w:p>
    <w:p>
      <w:pPr>
        <w:autoSpaceDN w:val="0"/>
        <w:autoSpaceDE w:val="0"/>
        <w:widowControl/>
        <w:spacing w:line="245" w:lineRule="auto" w:before="416" w:after="0"/>
        <w:ind w:left="52" w:right="7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réglementation LCBFT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Au regard du risque faible du produit, vous devez appliquer a minima un niveau de </w:t>
      </w:r>
      <w:r>
        <w:rPr>
          <w:rFonts w:ascii="Open Sans" w:hAnsi="Open Sans" w:eastAsia="Open Sans"/>
          <w:b/>
          <w:i w:val="0"/>
          <w:color w:val="002337"/>
          <w:sz w:val="18"/>
        </w:rPr>
        <w:t>vigilance simplifiée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au titre du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titre VI du livre V du code monétaire et financier. </w:t>
      </w:r>
    </w:p>
    <w:p>
      <w:pPr>
        <w:autoSpaceDN w:val="0"/>
        <w:autoSpaceDE w:val="0"/>
        <w:widowControl/>
        <w:spacing w:line="230" w:lineRule="auto" w:before="28" w:after="178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Concrètement cela signifie que vous devez collecter les informations d’identification suivants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479"/>
        <w:gridCol w:w="3479"/>
        <w:gridCol w:w="3479"/>
      </w:tblGrid>
      <w:tr>
        <w:trPr>
          <w:trHeight w:hRule="exact" w:val="31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potentiel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666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personne physique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80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personne morale </w:t>
            </w:r>
          </w:p>
        </w:tc>
      </w:tr>
      <w:tr>
        <w:trPr>
          <w:trHeight w:hRule="exact" w:val="284"/>
        </w:trPr>
        <w:tc>
          <w:tcPr>
            <w:tcW w:type="dxa" w:w="3479"/>
            <w:vMerge/>
            <w:tcBorders/>
          </w:tcPr>
          <w:p/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4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28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Forme juridique, dénomination sociale, </w:t>
            </w:r>
          </w:p>
        </w:tc>
      </w:tr>
      <w:tr>
        <w:trPr>
          <w:trHeight w:hRule="exact" w:val="236"/>
        </w:trPr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7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numéro SIREN, adresse du siège et du lieu </w:t>
            </w:r>
          </w:p>
        </w:tc>
      </w:tr>
    </w:tbl>
    <w:p>
      <w:pPr>
        <w:autoSpaceDN w:val="0"/>
        <w:autoSpaceDE w:val="0"/>
        <w:widowControl/>
        <w:spacing w:line="230" w:lineRule="auto" w:before="12" w:after="28"/>
        <w:ind w:left="0" w:right="1324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de direction effective si différent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79"/>
        <w:gridCol w:w="3479"/>
        <w:gridCol w:w="3479"/>
      </w:tblGrid>
      <w:tr>
        <w:trPr>
          <w:trHeight w:hRule="exact" w:val="25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Bénéficiaire effectif 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20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</w:tr>
      <w:tr>
        <w:trPr>
          <w:trHeight w:hRule="exact" w:val="30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Personne agissant pour le 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18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</w:tr>
      <w:tr>
        <w:trPr>
          <w:trHeight w:hRule="exact" w:val="160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compte du Client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(ex : payeur </w:t>
            </w:r>
          </w:p>
        </w:tc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479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lien avec la personne représentée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41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fonction de représentation exercée </w:t>
            </w:r>
          </w:p>
        </w:tc>
      </w:tr>
      <w:tr>
        <w:trPr>
          <w:trHeight w:hRule="exact" w:val="322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de prime, représentant légal)</w:t>
            </w:r>
          </w:p>
        </w:tc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auto" w:before="284" w:after="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d’opération atypique au sens de l’article L561-10-2 du code monétaire et financier, vous devez, en plus de la </w:t>
      </w:r>
    </w:p>
    <w:p>
      <w:pPr>
        <w:autoSpaceDN w:val="0"/>
        <w:tabs>
          <w:tab w:pos="412" w:val="left"/>
          <w:tab w:pos="772" w:val="left"/>
        </w:tabs>
        <w:autoSpaceDE w:val="0"/>
        <w:widowControl/>
        <w:spacing w:line="254" w:lineRule="auto" w:before="32" w:after="0"/>
        <w:ind w:left="52" w:right="72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 des informations d’identification 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Effectuer la vérification d’identité conformément aux articles R561-5-1 et suivants du code monétaire et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financier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Collecter et actualiser, au moins une fois par an, les informations pertinentes au titre de la relation d’affaires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et de la connaissance de la situation professionnelle, économique et financière du client et, le cas échéant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 son bénéficiaire effectif, afin d’éliminer ou de réduire le risque de blanchiment d’argent et de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financement du terrorisme </w:t>
      </w:r>
    </w:p>
    <w:p>
      <w:pPr>
        <w:autoSpaceDN w:val="0"/>
        <w:tabs>
          <w:tab w:pos="772" w:val="left"/>
        </w:tabs>
        <w:autoSpaceDE w:val="0"/>
        <w:widowControl/>
        <w:spacing w:line="250" w:lineRule="auto" w:before="32" w:after="0"/>
        <w:ind w:left="412" w:right="720" w:firstLine="0"/>
        <w:jc w:val="left"/>
      </w:pP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Recueillir une seconde pièce d’identité </w:t>
      </w:r>
      <w:r>
        <w:br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S’assurer que le premier paiement soit effectué en provenance d’un compte situé en UE et ouvert au nom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du Client ou de son représentant. </w:t>
      </w:r>
    </w:p>
    <w:p>
      <w:pPr>
        <w:autoSpaceDN w:val="0"/>
        <w:autoSpaceDE w:val="0"/>
        <w:widowControl/>
        <w:spacing w:line="230" w:lineRule="auto" w:before="480" w:after="0"/>
        <w:ind w:left="536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de question, vous pouvez vous adresser au correspondant TRACFIN de notre société à l’adresse mail </w:t>
      </w:r>
    </w:p>
    <w:p>
      <w:pPr>
        <w:autoSpaceDN w:val="0"/>
        <w:autoSpaceDE w:val="0"/>
        <w:widowControl/>
        <w:spacing w:line="230" w:lineRule="auto" w:before="32" w:after="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>suivante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hyperlink r:id="rId17" w:history="1">
          <w:r>
            <w:rPr>
              <w:rStyle w:val="Hyperlink"/>
            </w:rPr>
            <w:t xml:space="preserve"> lcb-ft.tracfin@zenioo.com.</w:t>
          </w:r>
        </w:hyperlink>
      </w:r>
    </w:p>
    <w:p>
      <w:pPr>
        <w:autoSpaceDN w:val="0"/>
        <w:autoSpaceDE w:val="0"/>
        <w:widowControl/>
        <w:spacing w:line="228" w:lineRule="auto" w:before="3570" w:after="6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3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8"/>
        <w:gridCol w:w="5218"/>
      </w:tblGrid>
      <w:tr>
        <w:trPr>
          <w:trHeight w:hRule="exact" w:val="46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2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SAS au capital de 1.267.431 € euros, RCS de LYON n°884782582, intermédiaire en assurance immatriculé à l'ORIAS sous le n°200 058 79 (www.orias.fr)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 - 4 place de Budapest - CS 92459 - 75436 Paris Cedex 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650" w:bottom="88" w:left="8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208"/>
        <w:ind w:left="510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Formalités médicales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2.00000000000003" w:type="dxa"/>
      </w:tblPr>
      <w:tblGrid>
        <w:gridCol w:w="2281"/>
        <w:gridCol w:w="2281"/>
        <w:gridCol w:w="2281"/>
        <w:gridCol w:w="2281"/>
        <w:gridCol w:w="2281"/>
      </w:tblGrid>
      <w:tr>
        <w:trPr>
          <w:trHeight w:hRule="exact" w:val="336"/>
        </w:trPr>
        <w:tc>
          <w:tcPr>
            <w:tcW w:type="dxa" w:w="2750"/>
            <w:tcBorders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8"/>
            <w:gridSpan w:val="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Âge assuré</w:t>
            </w:r>
          </w:p>
        </w:tc>
      </w:tr>
      <w:tr>
        <w:trPr>
          <w:trHeight w:hRule="exact" w:val="332"/>
        </w:trPr>
        <w:tc>
          <w:tcPr>
            <w:tcW w:type="dxa" w:w="275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Capital Décès</w:t>
            </w:r>
          </w:p>
        </w:tc>
        <w:tc>
          <w:tcPr>
            <w:tcW w:type="dxa" w:w="187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50 à 55 ans </w:t>
            </w:r>
          </w:p>
        </w:tc>
        <w:tc>
          <w:tcPr>
            <w:tcW w:type="dxa" w:w="1928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56 à 60 ans</w:t>
            </w:r>
          </w:p>
        </w:tc>
        <w:tc>
          <w:tcPr>
            <w:tcW w:type="dxa" w:w="1926"/>
            <w:tcBorders>
              <w:start w:sz="4.0" w:val="single" w:color="#AEC5CF"/>
              <w:top w:sz="4.0" w:val="single" w:color="#AEC5CF"/>
              <w:end w:sz="3.20000000000027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61 à 65 ans</w:t>
            </w:r>
          </w:p>
        </w:tc>
        <w:tc>
          <w:tcPr>
            <w:tcW w:type="dxa" w:w="2582"/>
            <w:tcBorders>
              <w:start w:sz="3.20000000000027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66 ans et plus</w:t>
            </w:r>
          </w:p>
        </w:tc>
      </w:tr>
      <w:tr>
        <w:trPr>
          <w:trHeight w:hRule="exact" w:val="582"/>
        </w:trPr>
        <w:tc>
          <w:tcPr>
            <w:tcW w:type="dxa" w:w="2750"/>
            <w:tcBorders>
              <w:start w:sz="4.0" w:val="single" w:color="#AEC5CF"/>
              <w:top w:sz="4.0" w:val="single" w:color="#AEC5CF"/>
              <w:end w:sz="4.0" w:val="single" w:color="#AEC5CF"/>
              <w:bottom w:sz="3.199999999999932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jusqu’à 150 000 € </w:t>
            </w:r>
          </w:p>
        </w:tc>
        <w:tc>
          <w:tcPr>
            <w:tcW w:type="dxa" w:w="3800"/>
            <w:gridSpan w:val="2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def7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</w:t>
            </w:r>
          </w:p>
        </w:tc>
        <w:tc>
          <w:tcPr>
            <w:tcW w:type="dxa" w:w="1926"/>
            <w:vMerge w:val="restart"/>
            <w:tcBorders>
              <w:start w:sz="4.0" w:val="single" w:color="#AEC5CF"/>
              <w:top w:sz="4.0" w:val="single" w:color="#AEC5CF"/>
              <w:end w:sz="3.200000000000273" w:val="single" w:color="#AEC5CF"/>
              <w:bottom w:sz="4.0" w:val="single" w:color="#AEC5CF"/>
            </w:tcBorders>
            <w:shd w:fill="def7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5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</w:t>
            </w:r>
          </w:p>
        </w:tc>
        <w:tc>
          <w:tcPr>
            <w:tcW w:type="dxa" w:w="2582"/>
            <w:tcBorders>
              <w:start w:sz="3.200000000000273" w:val="single" w:color="#AEC5CF"/>
              <w:top w:sz="4.0" w:val="single" w:color="#AEC5CF"/>
              <w:end w:sz="4.0" w:val="single" w:color="#AEC5CF"/>
              <w:bottom w:sz="3.199999999999932" w:val="single" w:color="#AEC5CF"/>
            </w:tcBorders>
            <w:shd w:fill="def7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</w:t>
            </w:r>
          </w:p>
        </w:tc>
      </w:tr>
      <w:tr>
        <w:trPr>
          <w:trHeight w:hRule="exact" w:val="578"/>
        </w:trPr>
        <w:tc>
          <w:tcPr>
            <w:tcW w:type="dxa" w:w="2750"/>
            <w:tcBorders>
              <w:start w:sz="4.0" w:val="single" w:color="#AEC5CF"/>
              <w:top w:sz="3.199999999999932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150 001 € à 250 000 € </w:t>
            </w:r>
          </w:p>
        </w:tc>
        <w:tc>
          <w:tcPr>
            <w:tcW w:type="dxa" w:w="4562"/>
            <w:gridSpan w:val="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  <w:tc>
          <w:tcPr>
            <w:tcW w:type="dxa" w:w="2281"/>
            <w:vMerge/>
            <w:tcBorders>
              <w:start w:sz="4.0" w:val="single" w:color="#AEC5CF"/>
              <w:top w:sz="4.0" w:val="single" w:color="#AEC5CF"/>
              <w:end w:sz="3.200000000000273" w:val="single" w:color="#AEC5CF"/>
              <w:bottom w:sz="4.0" w:val="single" w:color="#AEC5CF"/>
            </w:tcBorders>
          </w:tcPr>
          <w:p/>
        </w:tc>
        <w:tc>
          <w:tcPr>
            <w:tcW w:type="dxa" w:w="2582"/>
            <w:vMerge w:val="restart"/>
            <w:tcBorders>
              <w:start w:sz="3.200000000000273" w:val="single" w:color="#AEC5CF"/>
              <w:top w:sz="3.199999999999932" w:val="single" w:color="#AEC5CF"/>
              <w:end w:sz="4.0" w:val="single" w:color="#AEC5CF"/>
              <w:bottom w:sz="4.0" w:val="single" w:color="#AEC5CF"/>
            </w:tcBorders>
            <w:shd w:fill="f4ef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</w:t>
            </w:r>
          </w:p>
        </w:tc>
      </w:tr>
      <w:tr>
        <w:trPr>
          <w:trHeight w:hRule="exact" w:val="580"/>
        </w:trPr>
        <w:tc>
          <w:tcPr>
            <w:tcW w:type="dxa" w:w="275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250 001 € à 350 000 € </w:t>
            </w:r>
          </w:p>
        </w:tc>
        <w:tc>
          <w:tcPr>
            <w:tcW w:type="dxa" w:w="4562"/>
            <w:gridSpan w:val="2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  <w:tc>
          <w:tcPr>
            <w:tcW w:type="dxa" w:w="1926"/>
            <w:tcBorders>
              <w:start w:sz="4.0" w:val="single" w:color="#AEC5CF"/>
              <w:top w:sz="4.0" w:val="single" w:color="#AEC5CF"/>
              <w:end w:sz="3.200000000000273" w:val="single" w:color="#AEC5CF"/>
              <w:bottom w:sz="4.0" w:val="single" w:color="#AEC5CF"/>
            </w:tcBorders>
            <w:shd w:fill="f4ef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</w:t>
            </w:r>
          </w:p>
        </w:tc>
        <w:tc>
          <w:tcPr>
            <w:tcW w:type="dxa" w:w="2281"/>
            <w:vMerge/>
            <w:tcBorders>
              <w:start w:sz="3.200000000000273" w:val="single" w:color="#AEC5CF"/>
              <w:top w:sz="3.199999999999932" w:val="single" w:color="#AEC5CF"/>
              <w:end w:sz="4.0" w:val="single" w:color="#AEC5CF"/>
              <w:bottom w:sz="4.0" w:val="single" w:color="#AEC5CF"/>
            </w:tcBorders>
          </w:tcPr>
          <w:p/>
        </w:tc>
      </w:tr>
      <w:tr>
        <w:trPr>
          <w:trHeight w:hRule="exact" w:val="582"/>
        </w:trPr>
        <w:tc>
          <w:tcPr>
            <w:tcW w:type="dxa" w:w="2750"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350 001 € à 500 000 € </w:t>
            </w:r>
          </w:p>
        </w:tc>
        <w:tc>
          <w:tcPr>
            <w:tcW w:type="dxa" w:w="5726"/>
            <w:gridSpan w:val="3"/>
            <w:tcBorders>
              <w:start w:sz="4.0" w:val="single" w:color="#AEC5CF"/>
              <w:top w:sz="4.0" w:val="single" w:color="#AEC5CF"/>
              <w:end w:sz="3.200000000000273" w:val="single" w:color="#AEC5CF"/>
              <w:bottom w:sz="3.2000000000000455" w:val="single" w:color="#AEC5CF"/>
            </w:tcBorders>
            <w:shd w:fill="f8d4d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+ RMCV </w:t>
            </w:r>
          </w:p>
        </w:tc>
        <w:tc>
          <w:tcPr>
            <w:tcW w:type="dxa" w:w="2582"/>
            <w:tcBorders>
              <w:start w:sz="3.200000000000273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shd w:fill="f3fa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+ TCU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RMCV + PSA </w:t>
            </w:r>
          </w:p>
        </w:tc>
      </w:tr>
      <w:tr>
        <w:trPr>
          <w:trHeight w:hRule="exact" w:val="580"/>
        </w:trPr>
        <w:tc>
          <w:tcPr>
            <w:tcW w:type="dxa" w:w="2750"/>
            <w:tcBorders>
              <w:start w:sz="4.0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500 001 € à 750 000 € </w:t>
            </w:r>
          </w:p>
        </w:tc>
        <w:tc>
          <w:tcPr>
            <w:tcW w:type="dxa" w:w="5726"/>
            <w:gridSpan w:val="3"/>
            <w:tcBorders>
              <w:start w:sz="4.0" w:val="single" w:color="#AEC5CF"/>
              <w:top w:sz="3.2000000000000455" w:val="single" w:color="#AEC5CF"/>
              <w:end w:sz="3.200000000000273" w:val="single" w:color="#AEC5CF"/>
              <w:bottom w:sz="4.0" w:val="single" w:color="#AEC5CF"/>
            </w:tcBorders>
            <w:shd w:fill="f3fac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872" w:right="1872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+ TCU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+ RMCV + PSA </w:t>
            </w:r>
          </w:p>
        </w:tc>
        <w:tc>
          <w:tcPr>
            <w:tcW w:type="dxa" w:w="2582"/>
            <w:tcBorders>
              <w:start w:sz="3.200000000000273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shd w:fill="f3face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582"/>
            </w:tblGrid>
            <w:tr>
              <w:trPr>
                <w:trHeight w:hRule="exact" w:val="282"/>
              </w:trPr>
              <w:tc>
                <w:tcPr>
                  <w:tcW w:type="dxa" w:w="2574"/>
                  <w:tcBorders/>
                  <w:shd w:fill="fcf9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2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+ RM + BIO + ECBU +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7.99999999999955" w:type="dxa"/>
            </w:tblPr>
            <w:tblGrid>
              <w:gridCol w:w="2582"/>
            </w:tblGrid>
            <w:tr>
              <w:trPr>
                <w:trHeight w:hRule="exact" w:val="248"/>
              </w:trPr>
              <w:tc>
                <w:tcPr>
                  <w:tcW w:type="dxa" w:w="2100"/>
                  <w:tcBorders/>
                  <w:shd w:fill="fcf9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TCU + PSA + RMCV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80"/>
        </w:trPr>
        <w:tc>
          <w:tcPr>
            <w:tcW w:type="dxa" w:w="275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750 001 € à 1 000 000 € </w:t>
            </w:r>
          </w:p>
        </w:tc>
        <w:tc>
          <w:tcPr>
            <w:tcW w:type="dxa" w:w="8308"/>
            <w:gridSpan w:val="4"/>
            <w:vMerge w:val="restart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e8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+ ECBU + TCU + PSA + RMCV + Echo </w:t>
            </w:r>
          </w:p>
        </w:tc>
      </w:tr>
      <w:tr>
        <w:trPr>
          <w:trHeight w:hRule="exact" w:val="580"/>
        </w:trPr>
        <w:tc>
          <w:tcPr>
            <w:tcW w:type="dxa" w:w="275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1 000 001 € à 1 500 000 € </w:t>
            </w:r>
          </w:p>
        </w:tc>
        <w:tc>
          <w:tcPr>
            <w:tcW w:type="dxa" w:w="9124"/>
            <w:gridSpan w:val="4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</w:tr>
      <w:tr>
        <w:trPr>
          <w:trHeight w:hRule="exact" w:val="580"/>
        </w:trPr>
        <w:tc>
          <w:tcPr>
            <w:tcW w:type="dxa" w:w="275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1 500 001 € à 1 800 000 € </w:t>
            </w:r>
          </w:p>
        </w:tc>
        <w:tc>
          <w:tcPr>
            <w:tcW w:type="dxa" w:w="9124"/>
            <w:gridSpan w:val="4"/>
            <w:vMerge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</w:tr>
      <w:tr>
        <w:trPr>
          <w:trHeight w:hRule="exact" w:val="580"/>
        </w:trPr>
        <w:tc>
          <w:tcPr>
            <w:tcW w:type="dxa" w:w="275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1 800 001 € à 2 500 000 € </w:t>
            </w:r>
          </w:p>
        </w:tc>
        <w:tc>
          <w:tcPr>
            <w:tcW w:type="dxa" w:w="8308"/>
            <w:gridSpan w:val="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4ef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+ ECBU + TCU + PSA + RMCV + Echo + Sélection financière déclarative </w:t>
            </w:r>
          </w:p>
        </w:tc>
      </w:tr>
      <w:tr>
        <w:trPr>
          <w:trHeight w:hRule="exact" w:val="584"/>
        </w:trPr>
        <w:tc>
          <w:tcPr>
            <w:tcW w:type="dxa" w:w="275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2 500 001 € à 5 000 000 € </w:t>
            </w:r>
          </w:p>
        </w:tc>
        <w:tc>
          <w:tcPr>
            <w:tcW w:type="dxa" w:w="8308"/>
            <w:gridSpan w:val="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8bd4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BIO + ECBU + TCU + PSA + RMCV + Echo + Sélection financière VIP </w:t>
            </w:r>
          </w:p>
        </w:tc>
      </w:tr>
    </w:tbl>
    <w:p>
      <w:pPr>
        <w:autoSpaceDN w:val="0"/>
        <w:autoSpaceDE w:val="0"/>
        <w:widowControl/>
        <w:spacing w:line="334" w:lineRule="auto" w:before="244" w:after="0"/>
        <w:ind w:left="510" w:right="1008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>BIO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Hémogramme, plaquettes, vitesse de sédimentation, glycémie, cholestérol total, cholestérol HDL, triglycérides,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transaminases SGOT / SGPT, gamma GT, test VIH, antigène HBS, sérologie de l'hépatite C, uricémie, créatinine </w:t>
      </w:r>
      <w:r>
        <w:rPr>
          <w:rFonts w:ascii="Open Sans" w:hAnsi="Open Sans" w:eastAsia="Open Sans"/>
          <w:b/>
          <w:i w:val="0"/>
          <w:color w:val="002337"/>
          <w:sz w:val="18"/>
        </w:rPr>
        <w:t>RM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Rapport médical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TCU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Test de cotinine urinaire pour les non-fumeurs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PSA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Prostatic Specific Antigen (pour les hommes de plus de 55 ans)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ECBU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Examen cytobactériologique des urines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RMCV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Rapport médical cardio-vasculaire + tracé de l’ECG de repos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Echo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Echocardiographie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Sélection financière déclarative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Questionnaire financier + Annexe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>Sélection financière VIP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Questionnaire financier + Annexe + Justificatifs financiers </w:t>
      </w:r>
    </w:p>
    <w:p>
      <w:pPr>
        <w:autoSpaceDN w:val="0"/>
        <w:autoSpaceDE w:val="0"/>
        <w:widowControl/>
        <w:spacing w:line="245" w:lineRule="auto" w:before="372" w:after="0"/>
        <w:ind w:left="510" w:right="4176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20"/>
        </w:rPr>
        <w:t xml:space="preserve">Les formalités médicales sont à transmettre à l’adresse suivante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MNCAP – Service Médical – 5 rue Dosne - 75116 Paris </w:t>
      </w:r>
    </w:p>
    <w:p>
      <w:pPr>
        <w:autoSpaceDN w:val="0"/>
        <w:autoSpaceDE w:val="0"/>
        <w:widowControl/>
        <w:spacing w:line="250" w:lineRule="auto" w:before="252" w:after="1770"/>
        <w:ind w:left="510" w:right="382" w:firstLine="0"/>
        <w:jc w:val="both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Lorsque le postulant se soumet aux formalités médicales demandées par l'assureur, il a le choix de les effectuer dans nos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centres prestataires ou bien auprès d'un praticien de son choix. </w:t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Le réseau des centres permet le regroupement des </w:t>
      </w:r>
      <w:r>
        <w:rPr>
          <w:rFonts w:ascii="Open Sans" w:hAnsi="Open Sans" w:eastAsia="Open Sans"/>
          <w:b/>
          <w:i w:val="0"/>
          <w:color w:val="002337"/>
          <w:sz w:val="18"/>
        </w:rPr>
        <w:t>formalités médicales sans avance de fonds pour le postulant.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Les centres à contacter réalisant les bilans médicaux sont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5702"/>
        <w:gridCol w:w="5702"/>
      </w:tblGrid>
      <w:tr>
        <w:trPr>
          <w:trHeight w:hRule="exact" w:val="794"/>
        </w:trPr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4" w:after="0"/>
              <w:ind w:left="8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 xml:space="preserve">FP_ADEMNCAPV0528_190224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3130" cy="393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3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.0" w:type="dxa"/>
      </w:tblPr>
      <w:tblGrid>
        <w:gridCol w:w="5702"/>
        <w:gridCol w:w="5702"/>
      </w:tblGrid>
      <w:tr>
        <w:trPr>
          <w:trHeight w:hRule="exact" w:val="3468"/>
        </w:trPr>
        <w:tc>
          <w:tcPr>
            <w:tcW w:type="dxa" w:w="2032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43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•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ARM (Analyse Ris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en Région parisien</w:t>
            </w:r>
          </w:p>
          <w:p>
            <w:pPr>
              <w:autoSpaceDN w:val="0"/>
              <w:autoSpaceDE w:val="0"/>
              <w:widowControl/>
              <w:spacing w:line="245" w:lineRule="auto" w:before="88" w:after="0"/>
              <w:ind w:left="432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• ABCOS−CIVEM : 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sur Paris Ile de Fra</w:t>
            </w:r>
          </w:p>
          <w:p>
            <w:pPr>
              <w:autoSpaceDN w:val="0"/>
              <w:autoSpaceDE w:val="0"/>
              <w:widowControl/>
              <w:spacing w:line="240" w:lineRule="auto" w:before="1628" w:after="0"/>
              <w:ind w:left="0" w:right="7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74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que Médical) : est présent pour réaliser les bilans médicaux dans 185 villes dont 14 adresses à Paris et 19 </w:t>
            </w:r>
          </w:p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ne − 09 70 72 72 72 −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hyperlink r:id="rId20" w:history="1">
                <w:r>
                  <w:rPr>
                    <w:rStyle w:val="Hyperlink"/>
                  </w:rPr>
                  <w:t>http://www.armfrance.com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30" w:lineRule="auto" w:before="88" w:after="0"/>
              <w:ind w:left="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st présent pour réaliser les bilans médicaux, en un seul rendez−vous et en un seul lieu, dans ses centres </w:t>
            </w:r>
          </w:p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sur Paris Ile de France et en Région − 09 69 32 27 32 −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t>http://www.abcossante.com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5" w:lineRule="auto" w:before="1378" w:after="0"/>
              <w:ind w:left="102" w:right="288" w:firstLine="8402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4 / 4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 –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2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SAS au capital de 1.267.431 € euros, RCS de LYON n°884782582, intermédiaire en assurance immatriculé à l'ORIAS sous le n°200 058 79 (www.orias.fr)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 - 4 place de Budapest - CS 92459 - 75436 Paris Cedex 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60" w:right="292" w:bottom="88" w:left="2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www.zenioo.com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mailto:lcb-ft.tracfin@zenioo.com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://www.armfra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