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6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-946150</wp:posOffset>
            </wp:positionH>
            <wp:positionV relativeFrom="page">
              <wp:posOffset>-789940</wp:posOffset>
            </wp:positionV>
            <wp:extent cx="2874010" cy="2860704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4010" cy="286070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147320</wp:posOffset>
            </wp:positionH>
            <wp:positionV relativeFrom="page">
              <wp:posOffset>4226560</wp:posOffset>
            </wp:positionV>
            <wp:extent cx="2284730" cy="774323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4730" cy="774323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2606040</wp:posOffset>
            </wp:positionH>
            <wp:positionV relativeFrom="page">
              <wp:posOffset>4230370</wp:posOffset>
            </wp:positionV>
            <wp:extent cx="2284730" cy="764763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4730" cy="764763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5072380</wp:posOffset>
            </wp:positionH>
            <wp:positionV relativeFrom="page">
              <wp:posOffset>4245610</wp:posOffset>
            </wp:positionV>
            <wp:extent cx="2286000" cy="755623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755623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4749800</wp:posOffset>
            </wp:positionH>
            <wp:positionV relativeFrom="page">
              <wp:posOffset>1981200</wp:posOffset>
            </wp:positionV>
            <wp:extent cx="2527300" cy="71120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711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2661920</wp:posOffset>
            </wp:positionH>
            <wp:positionV relativeFrom="page">
              <wp:posOffset>576580</wp:posOffset>
            </wp:positionV>
            <wp:extent cx="627380" cy="183388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7380" cy="18338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2654300</wp:posOffset>
            </wp:positionH>
            <wp:positionV relativeFrom="page">
              <wp:posOffset>571500</wp:posOffset>
            </wp:positionV>
            <wp:extent cx="635000" cy="19050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1905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.0" w:type="dxa"/>
      </w:tblPr>
      <w:tblGrid>
        <w:gridCol w:w="5741"/>
        <w:gridCol w:w="5741"/>
      </w:tblGrid>
      <w:tr>
        <w:trPr>
          <w:trHeight w:hRule="exact" w:val="1448"/>
        </w:trPr>
        <w:tc>
          <w:tcPr>
            <w:tcW w:type="dxa" w:w="9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178" w:firstLine="0"/>
              <w:jc w:val="right"/>
            </w:pPr>
            <w:r>
              <w:rPr>
                <w:rFonts w:ascii="Open Sans" w:hAnsi="Open Sans" w:eastAsia="Open Sans"/>
                <w:b/>
                <w:i w:val="0"/>
                <w:color w:val="759AAB"/>
                <w:sz w:val="20"/>
              </w:rPr>
              <w:t xml:space="preserve">FICHE PRODUIT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20.0" w:type="dxa"/>
            </w:tblPr>
            <w:tblGrid>
              <w:gridCol w:w="9240"/>
            </w:tblGrid>
            <w:tr>
              <w:trPr>
                <w:trHeight w:hRule="exact" w:val="1180"/>
              </w:trPr>
              <w:tc>
                <w:tcPr>
                  <w:tcW w:type="dxa" w:w="8840"/>
                  <w:tcBorders>
                    <w:start w:sz="12.0" w:val="single" w:color="#E42D45"/>
                    <w:top w:sz="12.0" w:val="single" w:color="#E42D45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98" w:after="0"/>
                    <w:ind w:left="216" w:right="432" w:hanging="10"/>
                    <w:jc w:val="left"/>
                  </w:pPr>
                  <w:r>
                    <w:rPr>
                      <w:rFonts w:ascii="Open Sans" w:hAnsi="Open Sans" w:eastAsia="Open Sans"/>
                      <w:b/>
                      <w:i w:val="0"/>
                      <w:color w:val="002337"/>
                      <w:sz w:val="36"/>
                    </w:rPr>
                    <w:t xml:space="preserve">MNCAP ADE 1021 </w:t>
                  </w:r>
                  <w:r>
                    <w:rPr>
                      <w:rFonts w:ascii="Open Sans" w:hAnsi="Open Sans" w:eastAsia="Open Sans"/>
                      <w:b/>
                      <w:i w:val="0"/>
                      <w:color w:val="002337"/>
                      <w:sz w:val="22"/>
                    </w:rPr>
                    <w:t xml:space="preserve">by </w:t>
                  </w:r>
                  <w:r>
                    <w:br/>
                  </w:r>
                  <w:r>
                    <w:rPr>
                      <w:rFonts w:ascii="Open Sans" w:hAnsi="Open Sans" w:eastAsia="Open Sans"/>
                      <w:b/>
                      <w:i w:val="0"/>
                      <w:color w:val="002337"/>
                      <w:sz w:val="22"/>
                    </w:rPr>
                    <w:t xml:space="preserve">L’alternative </w:t>
                  </w:r>
                  <w:r>
                    <w:rPr>
                      <w:rFonts w:ascii="Open Sans" w:hAnsi="Open Sans" w:eastAsia="Open Sans"/>
                      <w:b/>
                      <w:i w:val="0"/>
                      <w:color w:val="002337"/>
                      <w:sz w:val="32"/>
                    </w:rPr>
                    <w:t>+</w:t>
                  </w:r>
                  <w:r>
                    <w:rPr>
                      <w:rFonts w:ascii="Open Sans" w:hAnsi="Open Sans" w:eastAsia="Open Sans"/>
                      <w:b/>
                      <w:i w:val="0"/>
                      <w:color w:val="002337"/>
                      <w:sz w:val="22"/>
                    </w:rPr>
                    <w:t xml:space="preserve"> économique et </w:t>
                  </w:r>
                  <w:r>
                    <w:rPr>
                      <w:rFonts w:ascii="Open Sans" w:hAnsi="Open Sans" w:eastAsia="Open Sans"/>
                      <w:b/>
                      <w:i w:val="0"/>
                      <w:color w:val="002337"/>
                      <w:sz w:val="32"/>
                    </w:rPr>
                    <w:t>+</w:t>
                  </w:r>
                  <w:r>
                    <w:rPr>
                      <w:rFonts w:ascii="Open Sans" w:hAnsi="Open Sans" w:eastAsia="Open Sans"/>
                      <w:b/>
                      <w:i w:val="0"/>
                      <w:color w:val="002337"/>
                      <w:sz w:val="22"/>
                    </w:rPr>
                    <w:t xml:space="preserve"> sécurisante face aux contrats bancaires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69340" cy="37719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340" cy="3771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1150"/>
        <w:ind w:left="0" w:right="0"/>
      </w:pPr>
    </w:p>
    <w:p>
      <w:pPr>
        <w:sectPr>
          <w:pgSz w:w="11906" w:h="16838"/>
          <w:pgMar w:top="160" w:right="212" w:bottom="88" w:left="2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0"/>
        <w:ind w:left="508" w:right="0" w:firstLine="0"/>
        <w:jc w:val="left"/>
      </w:pPr>
      <w:r>
        <w:rPr>
          <w:rFonts w:ascii="Open Sans" w:hAnsi="Open Sans" w:eastAsia="Open Sans"/>
          <w:b/>
          <w:i w:val="0"/>
          <w:color w:val="E52E45"/>
          <w:sz w:val="26"/>
        </w:rPr>
        <w:t xml:space="preserve">Pourquoi choisir MNCAP ADE 1021 ? </w:t>
      </w:r>
    </w:p>
    <w:p>
      <w:pPr>
        <w:autoSpaceDN w:val="0"/>
        <w:tabs>
          <w:tab w:pos="1228" w:val="left"/>
        </w:tabs>
        <w:autoSpaceDE w:val="0"/>
        <w:widowControl/>
        <w:spacing w:line="230" w:lineRule="auto" w:before="104" w:after="0"/>
        <w:ind w:left="868" w:right="0" w:firstLine="0"/>
        <w:jc w:val="left"/>
      </w:pPr>
      <w:r>
        <w:rPr>
          <w:rFonts w:ascii="Symbol" w:hAnsi="Symbol" w:eastAsia="Symbol"/>
          <w:b w:val="0"/>
          <w:i w:val="0"/>
          <w:color w:val="002337"/>
          <w:sz w:val="20"/>
        </w:rPr>
        <w:t></w:t>
      </w:r>
      <w:r>
        <w:tab/>
      </w:r>
      <w:r>
        <w:rPr>
          <w:rFonts w:ascii="Open Sans" w:hAnsi="Open Sans" w:eastAsia="Open Sans"/>
          <w:b w:val="0"/>
          <w:i w:val="0"/>
          <w:color w:val="002337"/>
          <w:sz w:val="20"/>
        </w:rPr>
        <w:t xml:space="preserve">Couverture des capitaux jusqu’à 15 millions </w:t>
      </w:r>
    </w:p>
    <w:p>
      <w:pPr>
        <w:autoSpaceDN w:val="0"/>
        <w:tabs>
          <w:tab w:pos="1228" w:val="left"/>
        </w:tabs>
        <w:autoSpaceDE w:val="0"/>
        <w:widowControl/>
        <w:spacing w:line="230" w:lineRule="auto" w:before="12" w:after="0"/>
        <w:ind w:left="868" w:right="0" w:firstLine="0"/>
        <w:jc w:val="left"/>
      </w:pPr>
      <w:r>
        <w:rPr>
          <w:rFonts w:ascii="Symbol" w:hAnsi="Symbol" w:eastAsia="Symbol"/>
          <w:b w:val="0"/>
          <w:i w:val="0"/>
          <w:color w:val="002337"/>
          <w:sz w:val="20"/>
        </w:rPr>
        <w:t></w:t>
      </w:r>
      <w:r>
        <w:tab/>
      </w:r>
      <w:r>
        <w:rPr>
          <w:rFonts w:ascii="Open Sans" w:hAnsi="Open Sans" w:eastAsia="Open Sans"/>
          <w:b w:val="0"/>
          <w:i w:val="0"/>
          <w:color w:val="002337"/>
          <w:sz w:val="20"/>
        </w:rPr>
        <w:t xml:space="preserve">Remboursement de la mensualité jusqu’à 15 000 € </w:t>
      </w:r>
    </w:p>
    <w:p>
      <w:pPr>
        <w:autoSpaceDN w:val="0"/>
        <w:tabs>
          <w:tab w:pos="1228" w:val="left"/>
        </w:tabs>
        <w:autoSpaceDE w:val="0"/>
        <w:widowControl/>
        <w:spacing w:line="233" w:lineRule="auto" w:before="12" w:after="0"/>
        <w:ind w:left="868" w:right="0" w:firstLine="0"/>
        <w:jc w:val="left"/>
      </w:pPr>
      <w:r>
        <w:rPr>
          <w:rFonts w:ascii="Symbol" w:hAnsi="Symbol" w:eastAsia="Symbol"/>
          <w:b w:val="0"/>
          <w:i w:val="0"/>
          <w:color w:val="002337"/>
          <w:sz w:val="20"/>
        </w:rPr>
        <w:t></w:t>
      </w:r>
      <w:r>
        <w:tab/>
      </w:r>
      <w:r>
        <w:rPr>
          <w:rFonts w:ascii="Open Sans" w:hAnsi="Open Sans" w:eastAsia="Open Sans"/>
          <w:b w:val="0"/>
          <w:i w:val="0"/>
          <w:color w:val="002337"/>
          <w:sz w:val="20"/>
        </w:rPr>
        <w:t xml:space="preserve">Reprise RIA : seulement 2 questions pour adhérer </w:t>
      </w:r>
    </w:p>
    <w:p>
      <w:pPr>
        <w:sectPr>
          <w:type w:val="continuous"/>
          <w:pgSz w:w="11906" w:h="16838"/>
          <w:pgMar w:top="160" w:right="212" w:bottom="88" w:left="212" w:header="720" w:footer="720" w:gutter="0"/>
          <w:cols w:num="2" w:equalWidth="0">
            <w:col w:w="6888" w:space="0"/>
            <w:col w:w="4594" w:space="0"/>
          </w:cols>
          <w:docGrid w:linePitch="360"/>
        </w:sectPr>
      </w:pPr>
    </w:p>
    <w:p>
      <w:pPr>
        <w:autoSpaceDN w:val="0"/>
        <w:autoSpaceDE w:val="0"/>
        <w:widowControl/>
        <w:spacing w:line="250" w:lineRule="auto" w:before="0" w:after="110"/>
        <w:ind w:left="864" w:right="432" w:firstLine="0"/>
        <w:jc w:val="center"/>
      </w:pPr>
      <w:r>
        <w:rPr>
          <w:rFonts w:ascii="Open Sans" w:hAnsi="Open Sans" w:eastAsia="Open Sans"/>
          <w:b/>
          <w:i w:val="0"/>
          <w:color w:val="002337"/>
          <w:sz w:val="21"/>
        </w:rPr>
        <w:t xml:space="preserve">Éligible Loi Lemoine </w:t>
      </w:r>
      <w:r>
        <w:br/>
      </w:r>
      <w:r>
        <w:rPr>
          <w:rFonts w:ascii="Open Sans" w:hAnsi="Open Sans" w:eastAsia="Open Sans"/>
          <w:b/>
          <w:i w:val="0"/>
          <w:color w:val="002337"/>
          <w:sz w:val="21"/>
        </w:rPr>
        <w:t xml:space="preserve">Aucun questionnaire de santé </w:t>
      </w:r>
      <w:r>
        <w:rPr>
          <w:rFonts w:ascii="Open Sans" w:hAnsi="Open Sans" w:eastAsia="Open Sans"/>
          <w:b/>
          <w:i w:val="0"/>
          <w:color w:val="002337"/>
          <w:sz w:val="21"/>
        </w:rPr>
        <w:t xml:space="preserve">pour les prêts &lt; à 200 000 € * </w:t>
      </w:r>
    </w:p>
    <w:p>
      <w:pPr>
        <w:sectPr>
          <w:type w:val="nextColumn"/>
          <w:pgSz w:w="11906" w:h="16838"/>
          <w:pgMar w:top="160" w:right="212" w:bottom="88" w:left="212" w:header="720" w:footer="720" w:gutter="0"/>
          <w:cols w:num="2" w:equalWidth="0">
            <w:col w:w="6888" w:space="0"/>
            <w:col w:w="459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28.0" w:type="dxa"/>
      </w:tblPr>
      <w:tblGrid>
        <w:gridCol w:w="3827"/>
        <w:gridCol w:w="3827"/>
        <w:gridCol w:w="3827"/>
      </w:tblGrid>
      <w:tr>
        <w:trPr>
          <w:trHeight w:hRule="exact" w:val="274"/>
        </w:trPr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114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2337"/>
                <w:sz w:val="20"/>
              </w:rPr>
              <w:t></w:t>
            </w:r>
          </w:p>
        </w:tc>
        <w:tc>
          <w:tcPr>
            <w:tcW w:type="dxa" w:w="6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Questionnaire de santé simplifié jusqu’à 55 ans et 1 000 000 € et 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2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4"/>
              </w:rPr>
              <w:t xml:space="preserve">* avec un terme antérieur aux 60 ans de l’emprunteur </w:t>
            </w:r>
          </w:p>
        </w:tc>
      </w:tr>
      <w:tr>
        <w:trPr>
          <w:trHeight w:hRule="exact" w:val="320"/>
        </w:trPr>
        <w:tc>
          <w:tcPr>
            <w:tcW w:type="dxa" w:w="3827"/>
            <w:vMerge/>
            <w:tcBorders/>
          </w:tcPr>
          <w:p/>
        </w:tc>
        <w:tc>
          <w:tcPr>
            <w:tcW w:type="dxa" w:w="6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3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>65 ans si garantie DC/PTIA uniquement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4"/>
              </w:rPr>
              <w:t xml:space="preserve">et tenant compte de l’encours assuré des autres crédits </w:t>
            </w:r>
          </w:p>
        </w:tc>
      </w:tr>
    </w:tbl>
    <w:p>
      <w:pPr>
        <w:autoSpaceDN w:val="0"/>
        <w:autoSpaceDE w:val="0"/>
        <w:widowControl/>
        <w:spacing w:line="230" w:lineRule="auto" w:before="1032" w:after="0"/>
        <w:ind w:left="508" w:right="0" w:firstLine="0"/>
        <w:jc w:val="left"/>
      </w:pPr>
      <w:r>
        <w:rPr>
          <w:rFonts w:ascii="Open Sans" w:hAnsi="Open Sans" w:eastAsia="Open Sans"/>
          <w:b/>
          <w:i w:val="0"/>
          <w:color w:val="E52E45"/>
          <w:sz w:val="26"/>
        </w:rPr>
        <w:t>En un clin d’œil</w:t>
      </w:r>
    </w:p>
    <w:p>
      <w:pPr>
        <w:autoSpaceDN w:val="0"/>
        <w:autoSpaceDE w:val="0"/>
        <w:widowControl/>
        <w:spacing w:line="233" w:lineRule="auto" w:before="40" w:after="98"/>
        <w:ind w:left="508" w:right="0" w:firstLine="0"/>
        <w:jc w:val="left"/>
      </w:pPr>
      <w:r>
        <w:rPr>
          <w:rFonts w:ascii="Open Sans" w:hAnsi="Open Sans" w:eastAsia="Open Sans"/>
          <w:b/>
          <w:i w:val="0"/>
          <w:color w:val="002337"/>
          <w:sz w:val="20"/>
        </w:rPr>
        <w:t>Produit géré et assuré par MNCAP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914"/>
        <w:gridCol w:w="1914"/>
        <w:gridCol w:w="1914"/>
        <w:gridCol w:w="1914"/>
        <w:gridCol w:w="1914"/>
        <w:gridCol w:w="1914"/>
      </w:tblGrid>
      <w:tr>
        <w:trPr>
          <w:trHeight w:hRule="exact" w:val="368"/>
        </w:trPr>
        <w:tc>
          <w:tcPr>
            <w:tcW w:type="dxa" w:w="388"/>
            <w:vMerge w:val="restart"/>
            <w:tcBorders>
              <w:bottom w:sz="8.0" w:val="single" w:color="#EEF4F5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3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2337"/>
                <w:sz w:val="20"/>
              </w:rPr>
              <w:t></w:t>
            </w:r>
          </w:p>
        </w:tc>
        <w:tc>
          <w:tcPr>
            <w:tcW w:type="dxa" w:w="34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1474" w:firstLine="0"/>
              <w:jc w:val="righ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21"/>
              </w:rPr>
              <w:t xml:space="preserve">Pour vous </w:t>
            </w:r>
          </w:p>
        </w:tc>
        <w:tc>
          <w:tcPr>
            <w:tcW w:type="dxa" w:w="398"/>
            <w:vMerge w:val="restart"/>
            <w:tcBorders>
              <w:bottom w:sz="8.0" w:val="single" w:color="#EEF4F5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5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2337"/>
                <w:sz w:val="20"/>
              </w:rPr>
              <w:t></w:t>
            </w:r>
          </w:p>
        </w:tc>
        <w:tc>
          <w:tcPr>
            <w:tcW w:type="dxa" w:w="33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8" w:after="0"/>
              <w:ind w:left="504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22"/>
              </w:rPr>
              <w:t xml:space="preserve">Pour votre client </w:t>
            </w:r>
          </w:p>
        </w:tc>
        <w:tc>
          <w:tcPr>
            <w:tcW w:type="dxa" w:w="572"/>
            <w:vMerge w:val="restart"/>
            <w:tcBorders>
              <w:bottom w:sz="8.0" w:val="single" w:color="#EEF4F5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2" w:after="0"/>
              <w:ind w:left="0" w:right="118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2337"/>
                <w:sz w:val="20"/>
              </w:rPr>
              <w:t></w:t>
            </w:r>
          </w:p>
        </w:tc>
        <w:tc>
          <w:tcPr>
            <w:tcW w:type="dxa" w:w="33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8" w:after="0"/>
              <w:ind w:left="260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22"/>
              </w:rPr>
              <w:t xml:space="preserve">Formalités médicales </w:t>
            </w:r>
          </w:p>
        </w:tc>
      </w:tr>
      <w:tr>
        <w:trPr>
          <w:trHeight w:hRule="exact" w:val="346"/>
        </w:trPr>
        <w:tc>
          <w:tcPr>
            <w:tcW w:type="dxa" w:w="1914"/>
            <w:vMerge/>
            <w:tcBorders>
              <w:bottom w:sz="8.0" w:val="single" w:color="#EEF4F5"/>
            </w:tcBorders>
          </w:tcPr>
          <w:p/>
        </w:tc>
        <w:tc>
          <w:tcPr>
            <w:tcW w:type="dxa" w:w="3482"/>
            <w:tcBorders>
              <w:bottom w:sz="8.0" w:val="single" w:color="#EEF4F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2" w:after="0"/>
              <w:ind w:left="13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Différents modes de </w:t>
            </w:r>
          </w:p>
        </w:tc>
        <w:tc>
          <w:tcPr>
            <w:tcW w:type="dxa" w:w="1914"/>
            <w:vMerge/>
            <w:tcBorders>
              <w:bottom w:sz="8.0" w:val="single" w:color="#EEF4F5"/>
            </w:tcBorders>
          </w:tcPr>
          <w:p/>
        </w:tc>
        <w:tc>
          <w:tcPr>
            <w:tcW w:type="dxa" w:w="3308"/>
            <w:tcBorders>
              <w:bottom w:sz="8.0" w:val="single" w:color="#EEF4F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12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Parcours de souscription en </w:t>
            </w:r>
          </w:p>
        </w:tc>
        <w:tc>
          <w:tcPr>
            <w:tcW w:type="dxa" w:w="1914"/>
            <w:vMerge/>
            <w:tcBorders>
              <w:bottom w:sz="8.0" w:val="single" w:color="#EEF4F5"/>
            </w:tcBorders>
          </w:tcPr>
          <w:p/>
        </w:tc>
        <w:tc>
          <w:tcPr>
            <w:tcW w:type="dxa" w:w="3314"/>
            <w:tcBorders>
              <w:bottom w:sz="8.0" w:val="single" w:color="#EEF4F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13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Questionnaire de santé jusqu’à </w:t>
            </w:r>
          </w:p>
        </w:tc>
      </w:tr>
      <w:tr>
        <w:trPr>
          <w:trHeight w:hRule="exact" w:val="250"/>
        </w:trPr>
        <w:tc>
          <w:tcPr>
            <w:tcW w:type="dxa" w:w="388"/>
            <w:vMerge w:val="restart"/>
            <w:tcBorders>
              <w:top w:sz="8.0" w:val="single" w:color="#EEF4F5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482"/>
            <w:tcBorders>
              <w:top w:sz="8.0" w:val="single" w:color="#EEF4F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3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commissions linéaires ou </w:t>
            </w:r>
          </w:p>
        </w:tc>
        <w:tc>
          <w:tcPr>
            <w:tcW w:type="dxa" w:w="398"/>
            <w:vMerge w:val="restart"/>
            <w:tcBorders>
              <w:top w:sz="8.0" w:val="single" w:color="#EEF4F5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308"/>
            <w:tcBorders>
              <w:top w:sz="8.0" w:val="single" w:color="#EEF4F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2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ligne y compris la sélection </w:t>
            </w:r>
          </w:p>
        </w:tc>
        <w:tc>
          <w:tcPr>
            <w:tcW w:type="dxa" w:w="572"/>
            <w:vMerge w:val="restart"/>
            <w:tcBorders>
              <w:top w:sz="8.0" w:val="single" w:color="#EEF4F5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314"/>
            <w:vMerge w:val="restart"/>
            <w:tcBorders>
              <w:top w:sz="8.0" w:val="single" w:color="#EEF4F5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13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55 ans et 1 000 000 € </w:t>
            </w:r>
          </w:p>
        </w:tc>
      </w:tr>
      <w:tr>
        <w:trPr>
          <w:trHeight w:hRule="exact" w:val="342"/>
        </w:trPr>
        <w:tc>
          <w:tcPr>
            <w:tcW w:type="dxa" w:w="1914"/>
            <w:vMerge/>
            <w:tcBorders>
              <w:top w:sz="8.0" w:val="single" w:color="#EEF4F5"/>
            </w:tcBorders>
          </w:tcPr>
          <w:p/>
        </w:tc>
        <w:tc>
          <w:tcPr>
            <w:tcW w:type="dxa" w:w="34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3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escomptés et précomptés </w:t>
            </w:r>
          </w:p>
        </w:tc>
        <w:tc>
          <w:tcPr>
            <w:tcW w:type="dxa" w:w="1914"/>
            <w:vMerge/>
            <w:tcBorders>
              <w:top w:sz="8.0" w:val="single" w:color="#EEF4F5"/>
            </w:tcBorders>
          </w:tcPr>
          <w:p/>
        </w:tc>
        <w:tc>
          <w:tcPr>
            <w:tcW w:type="dxa" w:w="33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12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médicale </w:t>
            </w:r>
          </w:p>
        </w:tc>
        <w:tc>
          <w:tcPr>
            <w:tcW w:type="dxa" w:w="1914"/>
            <w:vMerge/>
            <w:tcBorders>
              <w:top w:sz="8.0" w:val="single" w:color="#EEF4F5"/>
            </w:tcBorders>
          </w:tcPr>
          <w:p/>
        </w:tc>
        <w:tc>
          <w:tcPr>
            <w:tcW w:type="dxa" w:w="1914"/>
            <w:vMerge/>
            <w:tcBorders>
              <w:top w:sz="8.0" w:val="single" w:color="#EEF4F5"/>
            </w:tcBorders>
          </w:tcPr>
          <w:p/>
        </w:tc>
      </w:tr>
    </w:tbl>
    <w:p>
      <w:pPr>
        <w:autoSpaceDN w:val="0"/>
        <w:autoSpaceDE w:val="0"/>
        <w:widowControl/>
        <w:spacing w:line="230" w:lineRule="auto" w:before="1230" w:after="160"/>
        <w:ind w:left="508" w:right="0" w:firstLine="0"/>
        <w:jc w:val="left"/>
      </w:pPr>
      <w:r>
        <w:rPr>
          <w:rFonts w:ascii="Open Sans" w:hAnsi="Open Sans" w:eastAsia="Open Sans"/>
          <w:b/>
          <w:i w:val="0"/>
          <w:color w:val="E52E45"/>
          <w:sz w:val="26"/>
        </w:rPr>
        <w:t xml:space="preserve">Process RIA ultra allégé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.0" w:type="dxa"/>
      </w:tblPr>
      <w:tblGrid>
        <w:gridCol w:w="3827"/>
        <w:gridCol w:w="3827"/>
        <w:gridCol w:w="3827"/>
      </w:tblGrid>
      <w:tr>
        <w:trPr>
          <w:trHeight w:hRule="exact" w:val="556"/>
        </w:trPr>
        <w:tc>
          <w:tcPr>
            <w:tcW w:type="dxa" w:w="2270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Conditions </w:t>
            </w:r>
          </w:p>
        </w:tc>
        <w:tc>
          <w:tcPr>
            <w:tcW w:type="dxa" w:w="4538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576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Assuré âgé de moins de 50 ans et capital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restant dû inférieur à 500 000 € </w:t>
            </w:r>
          </w:p>
        </w:tc>
        <w:tc>
          <w:tcPr>
            <w:tcW w:type="dxa" w:w="4536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0" w:right="144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Prêt et assurance mis en place depuis moins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>de 5 ans</w:t>
            </w:r>
          </w:p>
        </w:tc>
      </w:tr>
      <w:tr>
        <w:trPr>
          <w:trHeight w:hRule="exact" w:val="1432"/>
        </w:trPr>
        <w:tc>
          <w:tcPr>
            <w:tcW w:type="dxa" w:w="2270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8" w:after="0"/>
              <w:ind w:left="102" w:right="1008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Questions 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déclaratives </w:t>
            </w:r>
          </w:p>
        </w:tc>
        <w:tc>
          <w:tcPr>
            <w:tcW w:type="dxa" w:w="9074"/>
            <w:gridSpan w:val="2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0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>1.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L’assurance initialement mise en place pour ce financement a-t-elle fait l’objet de surprimes,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exclusions ou restrictions pour raisons de santé ? </w:t>
            </w:r>
          </w:p>
          <w:p>
            <w:pPr>
              <w:autoSpaceDN w:val="0"/>
              <w:autoSpaceDE w:val="0"/>
              <w:widowControl/>
              <w:spacing w:line="245" w:lineRule="auto" w:before="70" w:after="0"/>
              <w:ind w:left="104" w:right="56" w:firstLine="0"/>
              <w:jc w:val="both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>2.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Êtes-vous actuellement ou avez-vous été au cours des 5 dernières années : en arrêt de travail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(même partiel) ou sous traitement ou sous surveillance médicale pendant plus de 3 semaines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consécutives ? </w:t>
            </w:r>
          </w:p>
        </w:tc>
      </w:tr>
    </w:tbl>
    <w:p>
      <w:pPr>
        <w:autoSpaceDN w:val="0"/>
        <w:autoSpaceDE w:val="0"/>
        <w:widowControl/>
        <w:spacing w:line="230" w:lineRule="auto" w:before="1080" w:after="36"/>
        <w:ind w:left="508" w:right="0" w:firstLine="0"/>
        <w:jc w:val="left"/>
      </w:pPr>
      <w:r>
        <w:rPr>
          <w:rFonts w:ascii="Open Sans" w:hAnsi="Open Sans" w:eastAsia="Open Sans"/>
          <w:b/>
          <w:i w:val="0"/>
          <w:color w:val="E52E45"/>
          <w:sz w:val="26"/>
        </w:rPr>
        <w:t xml:space="preserve">Changez simplement et sereinement d’assurance de prêt avec RésiliZen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8.0" w:type="dxa"/>
      </w:tblPr>
      <w:tblGrid>
        <w:gridCol w:w="5741"/>
        <w:gridCol w:w="5741"/>
      </w:tblGrid>
      <w:tr>
        <w:trPr>
          <w:trHeight w:hRule="exact" w:val="926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2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923290" cy="52705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290" cy="527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6" w:after="0"/>
              <w:ind w:left="68" w:right="144" w:hanging="14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RésiliZen est à votre service pour prendre en charge toutes les démarches administratives 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à votre place pour tous les produits MNCAP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: envois des courriers à la banque, relances, traitements des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objections jusqu’à la réception des avenants de substitution.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.000000000000007" w:type="dxa"/>
      </w:tblPr>
      <w:tblGrid>
        <w:gridCol w:w="5741"/>
        <w:gridCol w:w="5741"/>
      </w:tblGrid>
      <w:tr>
        <w:trPr>
          <w:trHeight w:hRule="exact" w:val="3306"/>
        </w:trPr>
        <w:tc>
          <w:tcPr>
            <w:tcW w:type="dxa" w:w="2090"/>
            <w:tcBorders>
              <w:top w:sz="8.0" w:val="single" w:color="#EEF4F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40" w:after="0"/>
              <w:ind w:left="0" w:right="78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902969" cy="2667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969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320"/>
            <w:tcBorders>
              <w:top w:sz="8.0" w:val="single" w:color="#EEF4F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90" w:after="0"/>
              <w:ind w:left="102" w:right="288" w:firstLine="8402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1 / 6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2"/>
              </w:rPr>
              <w:t>Zenioo, siège social : 6 cours André Philip – 69100 Villeurbanne. SAS au capital de 1.267.431 €, RCS de Lyon n°884 782 582 –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2"/>
              </w:rPr>
              <w:t xml:space="preserve"> </w:t>
            </w:r>
            <w:r>
              <w:rPr>
                <w:u w:val="single" w:color="002237"/>
                <w:rFonts w:ascii="Open Sans" w:hAnsi="Open Sans" w:eastAsia="Open Sans"/>
                <w:b w:val="0"/>
                <w:i w:val="0"/>
                <w:color w:val="002337"/>
                <w:sz w:val="12"/>
              </w:rPr>
              <w:hyperlink r:id="rId12" w:history="1">
                <w:r>
                  <w:rPr>
                    <w:rStyle w:val="Hyperlink"/>
                  </w:rPr>
                  <w:t>www.zenioo.com</w:t>
                </w:r>
              </w:hyperlink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2"/>
              </w:rPr>
              <w:t xml:space="preserve">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2"/>
              </w:rPr>
              <w:t xml:space="preserve">Intermédiaire en assurance immatriculé à l’ORIAS sous le n°20 005 879 (www.orias.fr). </w:t>
            </w:r>
          </w:p>
          <w:p>
            <w:pPr>
              <w:autoSpaceDN w:val="0"/>
              <w:autoSpaceDE w:val="0"/>
              <w:widowControl/>
              <w:spacing w:line="228" w:lineRule="auto" w:before="6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2"/>
              </w:rPr>
              <w:t>Autorité de Contrôle Prudentiel et de Résolution, 4 place de Budapest, CS 92459, 75436 Paris Cedex 09.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6838"/>
          <w:pgMar w:top="160" w:right="212" w:bottom="88" w:left="2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5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114300</wp:posOffset>
            </wp:positionH>
            <wp:positionV relativeFrom="page">
              <wp:posOffset>6413500</wp:posOffset>
            </wp:positionV>
            <wp:extent cx="7264400" cy="1193800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264400" cy="11938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62" w:lineRule="auto" w:before="0" w:after="52"/>
        <w:ind w:left="436" w:right="432" w:firstLine="0"/>
        <w:jc w:val="left"/>
      </w:pPr>
      <w:r>
        <w:rPr>
          <w:rFonts w:ascii="Open Sans" w:hAnsi="Open Sans" w:eastAsia="Open Sans"/>
          <w:b/>
          <w:i w:val="0"/>
          <w:color w:val="E52E45"/>
          <w:sz w:val="26"/>
        </w:rPr>
        <w:t xml:space="preserve">Garanties </w:t>
      </w:r>
      <w:r>
        <w:br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En tant que distributeur de produits d’assurance, vous devez proposer des produits qui sont cohérents avec les exigences et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besoins du souscripteur éventuel ou de l’adhérent éventuel.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21" w:type="dxa"/>
      </w:tblPr>
      <w:tblGrid>
        <w:gridCol w:w="2843"/>
        <w:gridCol w:w="2843"/>
        <w:gridCol w:w="2843"/>
        <w:gridCol w:w="2843"/>
      </w:tblGrid>
      <w:tr>
        <w:trPr>
          <w:trHeight w:hRule="exact" w:val="504"/>
        </w:trPr>
        <w:tc>
          <w:tcPr>
            <w:tcW w:type="dxa" w:w="2270"/>
            <w:tcBorders>
              <w:end w:sz="3.9999999999998863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824"/>
            <w:tcBorders>
              <w:start w:sz="3.9999999999998863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Description </w:t>
            </w:r>
          </w:p>
        </w:tc>
        <w:tc>
          <w:tcPr>
            <w:tcW w:type="dxa" w:w="2130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432" w:right="432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Âge limite 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à l’adhésion </w:t>
            </w:r>
          </w:p>
        </w:tc>
        <w:tc>
          <w:tcPr>
            <w:tcW w:type="dxa" w:w="2120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44" w:right="144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8"/>
              </w:rPr>
              <w:t xml:space="preserve">Âge limite 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8"/>
              </w:rPr>
              <w:t>à l’indemnisation</w:t>
            </w:r>
          </w:p>
        </w:tc>
      </w:tr>
      <w:tr>
        <w:trPr>
          <w:trHeight w:hRule="exact" w:val="990"/>
        </w:trPr>
        <w:tc>
          <w:tcPr>
            <w:tcW w:type="dxa" w:w="2270"/>
            <w:tcBorders>
              <w:start w:sz="3.200000000000003" w:val="single" w:color="#AEC5CF"/>
              <w:top w:sz="4.0" w:val="single" w:color="#AEC5CF"/>
              <w:end w:sz="3.9999999999998863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2" w:after="0"/>
              <w:ind w:left="104" w:right="432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Décès Perte Totale 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et Irréversible 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>d’Autonomie (PTIA)</w:t>
            </w:r>
          </w:p>
        </w:tc>
        <w:tc>
          <w:tcPr>
            <w:tcW w:type="dxa" w:w="4824"/>
            <w:tcBorders>
              <w:start w:sz="3.9999999999998863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2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Remboursement au prêteur du capital restant dû au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jour du décès ou de la PTIA dans la limite de la quotité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souscrite, jusqu’à 15 millions € </w:t>
            </w:r>
          </w:p>
        </w:tc>
        <w:tc>
          <w:tcPr>
            <w:tcW w:type="dxa" w:w="2130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>Décès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: le jour de son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80ème anniversaire 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>PTIA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: le jour de son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65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2"/>
              </w:rPr>
              <w:t>ème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anniversaire </w:t>
            </w:r>
          </w:p>
        </w:tc>
        <w:tc>
          <w:tcPr>
            <w:tcW w:type="dxa" w:w="2120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Décès :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le jour de son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85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2"/>
              </w:rPr>
              <w:t>ème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anniversaire 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>PTIA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: le jour de son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70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2"/>
              </w:rPr>
              <w:t>ème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anniversaire </w:t>
            </w:r>
          </w:p>
        </w:tc>
      </w:tr>
      <w:tr>
        <w:trPr>
          <w:trHeight w:hRule="exact" w:val="744"/>
        </w:trPr>
        <w:tc>
          <w:tcPr>
            <w:tcW w:type="dxa" w:w="2270"/>
            <w:tcBorders>
              <w:start w:sz="3.200000000000003" w:val="single" w:color="#AEC5CF"/>
              <w:top w:sz="4.0" w:val="single" w:color="#AEC5CF"/>
              <w:end w:sz="3.9999999999998863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432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Incapacité 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Temporaire Totale 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(ITT) </w:t>
            </w:r>
          </w:p>
        </w:tc>
        <w:tc>
          <w:tcPr>
            <w:tcW w:type="dxa" w:w="4824"/>
            <w:tcBorders>
              <w:start w:sz="3.9999999999998863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2" w:right="288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Remboursement au prêteur des échéances de prêt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dans la limite de la quotité souscrite, jusqu’ 15 000 €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par mois </w:t>
            </w:r>
          </w:p>
        </w:tc>
        <w:tc>
          <w:tcPr>
            <w:tcW w:type="dxa" w:w="2130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2" w:after="0"/>
              <w:ind w:left="144" w:right="144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Le jour de son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65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2"/>
              </w:rPr>
              <w:t>ème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anniversaire </w:t>
            </w:r>
          </w:p>
        </w:tc>
        <w:tc>
          <w:tcPr>
            <w:tcW w:type="dxa" w:w="2120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2" w:after="0"/>
              <w:ind w:left="144" w:right="144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Le jour de son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70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2"/>
              </w:rPr>
              <w:t>ème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anniversaire </w:t>
            </w:r>
          </w:p>
        </w:tc>
      </w:tr>
      <w:tr>
        <w:trPr>
          <w:trHeight w:hRule="exact" w:val="746"/>
        </w:trPr>
        <w:tc>
          <w:tcPr>
            <w:tcW w:type="dxa" w:w="2270"/>
            <w:tcBorders>
              <w:start w:sz="3.200000000000003" w:val="single" w:color="#AEC5CF"/>
              <w:top w:sz="4.0" w:val="single" w:color="#AEC5CF"/>
              <w:end w:sz="3.9999999999998863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288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Invalidité 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Permanente Totale 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>(IP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>T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) </w:t>
            </w:r>
          </w:p>
        </w:tc>
        <w:tc>
          <w:tcPr>
            <w:tcW w:type="dxa" w:w="4824"/>
            <w:tcBorders>
              <w:start w:sz="3.9999999999998863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0" w:after="0"/>
              <w:ind w:left="102" w:right="288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Remboursement au prêteur des échéances de prêt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dans la limite de la quotité souscrite </w:t>
            </w:r>
          </w:p>
        </w:tc>
        <w:tc>
          <w:tcPr>
            <w:tcW w:type="dxa" w:w="2130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0" w:after="0"/>
              <w:ind w:left="144" w:right="144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Le jour de son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65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2"/>
              </w:rPr>
              <w:t>ème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anniversaire </w:t>
            </w:r>
          </w:p>
        </w:tc>
        <w:tc>
          <w:tcPr>
            <w:tcW w:type="dxa" w:w="2120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0" w:after="0"/>
              <w:ind w:left="144" w:right="144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Le jour de son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70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2"/>
              </w:rPr>
              <w:t>ème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anniversaire </w:t>
            </w:r>
          </w:p>
        </w:tc>
      </w:tr>
      <w:tr>
        <w:trPr>
          <w:trHeight w:hRule="exact" w:val="746"/>
        </w:trPr>
        <w:tc>
          <w:tcPr>
            <w:tcW w:type="dxa" w:w="2270"/>
            <w:tcBorders>
              <w:start w:sz="3.200000000000003" w:val="single" w:color="#AEC5CF"/>
              <w:top w:sz="4.0" w:val="single" w:color="#AEC5CF"/>
              <w:end w:sz="3.9999999999998863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864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Invalidité 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Permanente 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>Pa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>r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tielle (IPP) </w:t>
            </w:r>
          </w:p>
        </w:tc>
        <w:tc>
          <w:tcPr>
            <w:tcW w:type="dxa" w:w="4824"/>
            <w:vMerge w:val="restart"/>
            <w:tcBorders>
              <w:start w:sz="3.200000000000003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" w:val="left"/>
              </w:tabs>
              <w:autoSpaceDE w:val="0"/>
              <w:widowControl/>
              <w:spacing w:line="245" w:lineRule="auto" w:before="0" w:after="0"/>
              <w:ind w:left="0" w:right="0" w:firstLine="0"/>
              <w:jc w:val="left"/>
            </w:pP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Remboursement au prêteur de (N-33)/33 des </w:t>
            </w:r>
            <w:r>
              <w:br/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échéances dues dans la limite de la quotité souscrite </w:t>
            </w:r>
            <w:r>
              <w:tab/>
            </w:r>
            <w:r>
              <w:rPr>
                <w:rFonts w:ascii="Open Sans" w:hAnsi="Open Sans" w:eastAsia="Open Sans"/>
                <w:b w:val="0"/>
                <w:i/>
                <w:color w:val="002337"/>
                <w:sz w:val="18"/>
              </w:rPr>
              <w:t xml:space="preserve">N étant le taux d’incapacité reconnu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6"/>
              </w:rPr>
              <w:t>roduit vous pouvez vous référer au Document d’Information nor</w:t>
            </w:r>
          </w:p>
        </w:tc>
        <w:tc>
          <w:tcPr>
            <w:tcW w:type="dxa" w:w="2130"/>
            <w:vMerge w:val="restart"/>
            <w:tcBorders>
              <w:start w:sz="3.200000000000003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2" w:after="0"/>
              <w:ind w:left="288" w:right="144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Le jour de son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65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2"/>
              </w:rPr>
              <w:t>ème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anniversaire </w:t>
            </w:r>
          </w:p>
          <w:p>
            <w:pPr>
              <w:autoSpaceDN w:val="0"/>
              <w:autoSpaceDE w:val="0"/>
              <w:widowControl/>
              <w:spacing w:line="230" w:lineRule="auto" w:before="14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6"/>
              </w:rPr>
              <w:t>malisé sur le Produit (DIP) ou</w:t>
            </w:r>
          </w:p>
        </w:tc>
        <w:tc>
          <w:tcPr>
            <w:tcW w:type="dxa" w:w="2120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2" w:after="0"/>
              <w:ind w:left="144" w:right="144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Le jour de son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70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2"/>
              </w:rPr>
              <w:t>ème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anniversaire </w:t>
            </w:r>
          </w:p>
        </w:tc>
      </w:tr>
      <w:tr>
        <w:trPr>
          <w:trHeight w:hRule="exact" w:val="228"/>
        </w:trPr>
        <w:tc>
          <w:tcPr>
            <w:tcW w:type="dxa" w:w="11344"/>
            <w:gridSpan w:val="4"/>
            <w:tcBorders>
              <w:start w:sz="3.200000000000003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6"/>
              </w:rPr>
              <w:t>Pour plus de détails sur le p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6"/>
              </w:rPr>
              <w:t>roduit vous pouvez vous référer au Document d’Information nor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6"/>
              </w:rPr>
              <w:t>malisé sur le Produit (DIP) ou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6"/>
              </w:rPr>
              <w:t xml:space="preserve"> à la notice d’informations</w:t>
            </w:r>
          </w:p>
        </w:tc>
      </w:tr>
    </w:tbl>
    <w:p>
      <w:pPr>
        <w:autoSpaceDN w:val="0"/>
        <w:autoSpaceDE w:val="0"/>
        <w:widowControl/>
        <w:spacing w:line="266" w:lineRule="auto" w:before="1084" w:after="0"/>
        <w:ind w:left="436" w:right="288" w:firstLine="0"/>
        <w:jc w:val="left"/>
      </w:pPr>
      <w:r>
        <w:rPr>
          <w:rFonts w:ascii="Open Sans" w:hAnsi="Open Sans" w:eastAsia="Open Sans"/>
          <w:b/>
          <w:i w:val="0"/>
          <w:color w:val="E52E45"/>
          <w:sz w:val="26"/>
        </w:rPr>
        <w:t xml:space="preserve">Marché cible </w:t>
      </w:r>
      <w:r>
        <w:br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Toute personne physique ou morale en cours de souscription d’un prêt ou ayant déjà souscrit un prêt, ayant le besoin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d’assurance pour couvrir le nouveau prêt ou celui déjà existant sous réserve de répondre aux limites fixées dans la notice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d’information du produit. </w:t>
      </w:r>
    </w:p>
    <w:p>
      <w:pPr>
        <w:autoSpaceDN w:val="0"/>
        <w:autoSpaceDE w:val="0"/>
        <w:widowControl/>
        <w:spacing w:line="247" w:lineRule="auto" w:before="1112" w:after="0"/>
        <w:ind w:left="436" w:right="2160" w:firstLine="0"/>
        <w:jc w:val="left"/>
      </w:pPr>
      <w:r>
        <w:rPr>
          <w:rFonts w:ascii="Open Sans" w:hAnsi="Open Sans" w:eastAsia="Open Sans"/>
          <w:b/>
          <w:i w:val="0"/>
          <w:color w:val="E52E45"/>
          <w:sz w:val="26"/>
        </w:rPr>
        <w:t xml:space="preserve">Prise en charge des prêts éligibles Loi Lemoine </w:t>
      </w:r>
      <w:r>
        <w:br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Les sinistres ayant pour origine une pathologie antérieure à la prise d’effet des garanties sont couverts ! </w:t>
      </w:r>
    </w:p>
    <w:p>
      <w:pPr>
        <w:autoSpaceDN w:val="0"/>
        <w:autoSpaceDE w:val="0"/>
        <w:widowControl/>
        <w:spacing w:line="230" w:lineRule="auto" w:before="132" w:after="4"/>
        <w:ind w:left="436" w:right="0" w:firstLine="0"/>
        <w:jc w:val="left"/>
      </w:pPr>
      <w:r>
        <w:rPr>
          <w:rFonts w:ascii="Open Sans" w:hAnsi="Open Sans" w:eastAsia="Open Sans"/>
          <w:b/>
          <w:i w:val="0"/>
          <w:color w:val="002337"/>
          <w:sz w:val="18"/>
        </w:rPr>
        <w:t xml:space="preserve">Conditions 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96.0" w:type="dxa"/>
      </w:tblPr>
      <w:tblGrid>
        <w:gridCol w:w="2843"/>
        <w:gridCol w:w="2843"/>
        <w:gridCol w:w="2843"/>
        <w:gridCol w:w="2843"/>
      </w:tblGrid>
      <w:tr>
        <w:trPr>
          <w:trHeight w:hRule="exact" w:val="236"/>
        </w:trPr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48" w:after="0"/>
              <w:ind w:left="0" w:right="112" w:firstLine="0"/>
              <w:jc w:val="right"/>
            </w:pP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>o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4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Franchise minimale de 90 jours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48" w:after="0"/>
              <w:ind w:left="0" w:right="124" w:firstLine="0"/>
              <w:jc w:val="right"/>
            </w:pP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>o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28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Achat de la résidence principale uniquement </w:t>
            </w:r>
          </w:p>
        </w:tc>
      </w:tr>
      <w:tr>
        <w:trPr>
          <w:trHeight w:hRule="exact" w:val="328"/>
        </w:trPr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76" w:after="0"/>
              <w:ind w:left="0" w:right="112" w:firstLine="0"/>
              <w:jc w:val="right"/>
            </w:pP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>o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14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Durée des prêts de minimum 120 mois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76" w:after="0"/>
              <w:ind w:left="0" w:right="124" w:firstLine="0"/>
              <w:jc w:val="right"/>
            </w:pP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>o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128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Si RIA : Reprise de contrat bancaire uniquement </w:t>
            </w:r>
          </w:p>
        </w:tc>
      </w:tr>
    </w:tbl>
    <w:p>
      <w:pPr>
        <w:autoSpaceDN w:val="0"/>
        <w:autoSpaceDE w:val="0"/>
        <w:widowControl/>
        <w:spacing w:line="228" w:lineRule="auto" w:before="4108" w:after="0"/>
        <w:ind w:left="0" w:right="422" w:firstLine="0"/>
        <w:jc w:val="righ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2 / 6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56.0" w:type="dxa"/>
      </w:tblPr>
      <w:tblGrid>
        <w:gridCol w:w="5687"/>
        <w:gridCol w:w="5687"/>
      </w:tblGrid>
      <w:tr>
        <w:trPr>
          <w:trHeight w:hRule="exact" w:val="522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" w:after="0"/>
              <w:ind w:left="2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902969" cy="2667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969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2" w:right="576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2"/>
              </w:rPr>
              <w:t>Zenioo, siège social : 6 cours André Philip – 69100 Villeurbanne. SAS au capital de 1.267.431 €, RCS de Lyon n°884 782 582 –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2"/>
              </w:rPr>
              <w:t xml:space="preserve"> </w:t>
            </w:r>
            <w:r>
              <w:rPr>
                <w:u w:val="single" w:color="002237"/>
                <w:rFonts w:ascii="Open Sans" w:hAnsi="Open Sans" w:eastAsia="Open Sans"/>
                <w:b w:val="0"/>
                <w:i w:val="0"/>
                <w:color w:val="002337"/>
                <w:sz w:val="12"/>
              </w:rPr>
              <w:hyperlink r:id="rId12" w:history="1">
                <w:r>
                  <w:rPr>
                    <w:rStyle w:val="Hyperlink"/>
                  </w:rPr>
                  <w:t>www.zenioo.com</w:t>
                </w:r>
              </w:hyperlink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2"/>
              </w:rPr>
              <w:t xml:space="preserve">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2"/>
              </w:rPr>
              <w:t xml:space="preserve">Intermédiaire en assurance immatriculé à l’ORIAS sous le n°20 005 879 (www.orias.fr). </w:t>
            </w:r>
          </w:p>
          <w:p>
            <w:pPr>
              <w:autoSpaceDN w:val="0"/>
              <w:autoSpaceDE w:val="0"/>
              <w:widowControl/>
              <w:spacing w:line="228" w:lineRule="auto" w:before="6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2"/>
              </w:rPr>
              <w:t>Autorité de Contrôle Prudentiel et de Résolution, 4 place de Budapest, CS 92459, 75436 Paris Cedex 09.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972" w:right="248" w:bottom="88" w:left="28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"/>
        <w:ind w:left="0" w:right="0"/>
      </w:pPr>
    </w:p>
    <w:p>
      <w:pPr>
        <w:autoSpaceDN w:val="0"/>
        <w:autoSpaceDE w:val="0"/>
        <w:widowControl/>
        <w:spacing w:line="230" w:lineRule="auto" w:before="0" w:after="162"/>
        <w:ind w:left="432" w:right="0" w:firstLine="0"/>
        <w:jc w:val="left"/>
      </w:pPr>
      <w:r>
        <w:rPr>
          <w:rFonts w:ascii="Open Sans" w:hAnsi="Open Sans" w:eastAsia="Open Sans"/>
          <w:b/>
          <w:i w:val="0"/>
          <w:color w:val="E52E45"/>
          <w:sz w:val="26"/>
        </w:rPr>
        <w:t xml:space="preserve">Conditions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79" w:type="dxa"/>
      </w:tblPr>
      <w:tblGrid>
        <w:gridCol w:w="5687"/>
        <w:gridCol w:w="5687"/>
      </w:tblGrid>
      <w:tr>
        <w:trPr>
          <w:trHeight w:hRule="exact" w:val="256"/>
        </w:trPr>
        <w:tc>
          <w:tcPr>
            <w:tcW w:type="dxa" w:w="2836"/>
            <w:tcBorders>
              <w:start w:sz="4.0" w:val="single" w:color="#AEC5CF"/>
              <w:top w:sz="4.0" w:val="single" w:color="#AEC5CF"/>
              <w:end w:sz="3.199999999999818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Délai d’attente </w:t>
            </w:r>
          </w:p>
        </w:tc>
        <w:tc>
          <w:tcPr>
            <w:tcW w:type="dxa" w:w="8508"/>
            <w:tcBorders>
              <w:start w:sz="3.199999999999818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Aucun </w:t>
            </w:r>
          </w:p>
        </w:tc>
      </w:tr>
      <w:tr>
        <w:trPr>
          <w:trHeight w:hRule="exact" w:val="360"/>
        </w:trPr>
        <w:tc>
          <w:tcPr>
            <w:tcW w:type="dxa" w:w="2836"/>
            <w:tcBorders>
              <w:start w:sz="4.0" w:val="single" w:color="#AEC5CF"/>
              <w:top w:sz="4.0" w:val="single" w:color="#AEC5CF"/>
              <w:end w:sz="3.199999999999818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Franchises (ITT / IPT) </w:t>
            </w:r>
          </w:p>
        </w:tc>
        <w:tc>
          <w:tcPr>
            <w:tcW w:type="dxa" w:w="8508"/>
            <w:tcBorders>
              <w:start w:sz="3.199999999999818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10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Au choix : 30, 60, 90, 120, 180 jours </w:t>
            </w:r>
          </w:p>
        </w:tc>
      </w:tr>
      <w:tr>
        <w:trPr>
          <w:trHeight w:hRule="exact" w:val="500"/>
        </w:trPr>
        <w:tc>
          <w:tcPr>
            <w:tcW w:type="dxa" w:w="2836"/>
            <w:tcBorders>
              <w:start w:sz="4.0" w:val="single" w:color="#AEC5CF"/>
              <w:top w:sz="4.0" w:val="single" w:color="#AEC5CF"/>
              <w:end w:sz="3.199999999999818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2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Couverture du dos </w:t>
            </w:r>
          </w:p>
        </w:tc>
        <w:tc>
          <w:tcPr>
            <w:tcW w:type="dxa" w:w="8508"/>
            <w:tcBorders>
              <w:start w:sz="3.199999999999818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280" w:right="1296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>o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En inclusion, couvert à partir de 10 jours d’hospitalisation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>o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Couverture sans condition d’hospitalisation avec l’optio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n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«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c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o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nfo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rt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d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o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s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e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t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p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s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y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» </w:t>
            </w:r>
          </w:p>
        </w:tc>
      </w:tr>
      <w:tr>
        <w:trPr>
          <w:trHeight w:hRule="exact" w:val="500"/>
        </w:trPr>
        <w:tc>
          <w:tcPr>
            <w:tcW w:type="dxa" w:w="2836"/>
            <w:tcBorders>
              <w:start w:sz="4.0" w:val="single" w:color="#AEC5CF"/>
              <w:top w:sz="4.0" w:val="single" w:color="#AEC5CF"/>
              <w:end w:sz="3.199999999999818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2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Couverture du psy </w:t>
            </w:r>
          </w:p>
        </w:tc>
        <w:tc>
          <w:tcPr>
            <w:tcW w:type="dxa" w:w="8508"/>
            <w:tcBorders>
              <w:start w:sz="3.199999999999818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280" w:right="1296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>o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En inclusion :  couvert à partir de 10 jours d'hospitalisation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>o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Couverture sans condition d’hospitalisation avec l’optio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n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«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c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o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nfo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rt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d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o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s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e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t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p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s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y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» </w:t>
            </w:r>
          </w:p>
        </w:tc>
      </w:tr>
      <w:tr>
        <w:trPr>
          <w:trHeight w:hRule="exact" w:val="4928"/>
        </w:trPr>
        <w:tc>
          <w:tcPr>
            <w:tcW w:type="dxa" w:w="2836"/>
            <w:tcBorders>
              <w:start w:sz="4.0" w:val="single" w:color="#AEC5CF"/>
              <w:top w:sz="4.0" w:val="single" w:color="#AEC5CF"/>
              <w:end w:sz="3.199999999999818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338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Couverture des sports </w:t>
            </w:r>
          </w:p>
        </w:tc>
        <w:tc>
          <w:tcPr>
            <w:tcW w:type="dxa" w:w="8508"/>
            <w:tcBorders>
              <w:start w:sz="3.199999999999818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62" w:val="left"/>
                <w:tab w:pos="568" w:val="left"/>
              </w:tabs>
              <w:autoSpaceDE w:val="0"/>
              <w:widowControl/>
              <w:spacing w:line="245" w:lineRule="auto" w:before="0" w:after="0"/>
              <w:ind w:left="28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18"/>
              </w:rPr>
              <w:t>o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8"/>
              </w:rPr>
              <w:t xml:space="preserve">Exclusion des sports professionnels ou non représentés par une fédération </w:t>
            </w:r>
            <w:r>
              <w:br/>
            </w:r>
            <w:r>
              <w:tab/>
            </w:r>
            <w:r>
              <w:rPr>
                <w:rFonts w:ascii="Open Sans" w:hAnsi="Open Sans" w:eastAsia="Open Sans"/>
                <w:b/>
                <w:i w:val="0"/>
                <w:color w:val="517586"/>
                <w:sz w:val="18"/>
              </w:rPr>
              <w:t xml:space="preserve">Rachat de tout ou partie des exclusions ci-dessous possibles sous étude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18"/>
              </w:rPr>
              <w:t>o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8"/>
              </w:rPr>
              <w:t>Sports de montagne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18"/>
              </w:rPr>
              <w:t xml:space="preserve"> : couverture de tous les sports de montagne pratiqués en dessous de 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18"/>
              </w:rPr>
              <w:t xml:space="preserve">3000 mètres. Exclusion au-delà. Exclusion de l’escalade au-delà du niveau 5B et la varappe 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18"/>
              </w:rPr>
              <w:t xml:space="preserve">(sauf si pratiquée en salle)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18"/>
              </w:rPr>
              <w:t>o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8"/>
              </w:rPr>
              <w:t>Couverture du ski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18"/>
              </w:rPr>
              <w:t xml:space="preserve"> : couverture du ski alpin, de fond, monoski ou de surf sur pistes ouvertes 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18"/>
              </w:rPr>
              <w:t xml:space="preserve">et accessibles en remontées mécaniques et couverture du ski hors-piste si pratiqué à moins 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18"/>
              </w:rPr>
              <w:t xml:space="preserve">de 3 000 mètres d'altitude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18"/>
              </w:rPr>
              <w:t>o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8"/>
              </w:rPr>
              <w:t>Sports avec engins à moteur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18"/>
              </w:rPr>
              <w:t xml:space="preserve"> : exclusion tout sport nécessitant l’usage d’engins à moteur 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18"/>
              </w:rPr>
              <w:t>o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8"/>
              </w:rPr>
              <w:t>Sports subaquatiques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18"/>
              </w:rPr>
              <w:t xml:space="preserve"> : couverture de la plongée sous-marine dans le cadre du niveau 2 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18"/>
              </w:rPr>
              <w:t xml:space="preserve">FFESSM et pratiquée moins de 20 fois par an. Exclusion au-delà. Exclusion du motonautisme, 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18"/>
              </w:rPr>
              <w:t xml:space="preserve">de la planche à voile à plus de 1 mille des côtes, du yachting. </w:t>
            </w:r>
          </w:p>
          <w:p>
            <w:pPr>
              <w:autoSpaceDN w:val="0"/>
              <w:tabs>
                <w:tab w:pos="562" w:val="left"/>
                <w:tab w:pos="568" w:val="left"/>
              </w:tabs>
              <w:autoSpaceDE w:val="0"/>
              <w:widowControl/>
              <w:spacing w:line="245" w:lineRule="auto" w:before="8" w:after="0"/>
              <w:ind w:left="28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18"/>
              </w:rPr>
              <w:t>o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8"/>
              </w:rPr>
              <w:t>Sports équestres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18"/>
              </w:rPr>
              <w:t xml:space="preserve"> : couverture des sports équestres sauf compétitions et entrainements 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18"/>
              </w:rPr>
              <w:t xml:space="preserve">préparatoires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18"/>
              </w:rPr>
              <w:t>o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8"/>
              </w:rPr>
              <w:t>Sports de combat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18"/>
              </w:rPr>
              <w:t xml:space="preserve"> : couverture des sports de combat amateur. Exclusion en cas de 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18"/>
              </w:rPr>
              <w:t xml:space="preserve">compétition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18"/>
              </w:rPr>
              <w:t>o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8"/>
              </w:rPr>
              <w:t>Sports aériens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18"/>
              </w:rPr>
              <w:t xml:space="preserve"> : exclusion de tous les sports aériens </w:t>
            </w:r>
            <w:r>
              <w:br/>
            </w:r>
            <w:r>
              <w:tab/>
            </w:r>
            <w:r>
              <w:rPr>
                <w:rFonts w:ascii="Open Sans" w:hAnsi="Open Sans" w:eastAsia="Open Sans"/>
                <w:b/>
                <w:i w:val="0"/>
                <w:color w:val="517586"/>
                <w:sz w:val="18"/>
              </w:rPr>
              <w:t xml:space="preserve">Dans le cadre d’une pratique ponctuelle, d’une initiation ou d’un baptême encadré par </w:t>
            </w:r>
            <w:r>
              <w:tab/>
            </w:r>
            <w:r>
              <w:rPr>
                <w:rFonts w:ascii="Open Sans" w:hAnsi="Open Sans" w:eastAsia="Open Sans"/>
                <w:b/>
                <w:i w:val="0"/>
                <w:color w:val="517586"/>
                <w:sz w:val="18"/>
              </w:rPr>
              <w:t xml:space="preserve">un personnel qualifié titulaire des brevets ou autorisations réglementaires exigées, les </w:t>
            </w:r>
            <w:r>
              <w:tab/>
            </w:r>
            <w:r>
              <w:rPr>
                <w:rFonts w:ascii="Open Sans" w:hAnsi="Open Sans" w:eastAsia="Open Sans"/>
                <w:b/>
                <w:i w:val="0"/>
                <w:color w:val="517586"/>
                <w:sz w:val="18"/>
              </w:rPr>
              <w:t xml:space="preserve">exclusions sportives ci-dessus ne s’appliquent pas </w:t>
            </w:r>
          </w:p>
        </w:tc>
      </w:tr>
      <w:tr>
        <w:trPr>
          <w:trHeight w:hRule="exact" w:val="256"/>
        </w:trPr>
        <w:tc>
          <w:tcPr>
            <w:tcW w:type="dxa" w:w="2836"/>
            <w:tcBorders>
              <w:start w:sz="4.0" w:val="single" w:color="#AEC5CF"/>
              <w:top w:sz="4.0" w:val="single" w:color="#AEC5CF"/>
              <w:end w:sz="3.199999999999818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Mi-temps thérapeutique </w:t>
            </w:r>
          </w:p>
        </w:tc>
        <w:tc>
          <w:tcPr>
            <w:tcW w:type="dxa" w:w="8508"/>
            <w:tcBorders>
              <w:start w:sz="3.199999999999818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8"/>
              </w:rPr>
              <w:t>50 % du montant garanti en ITT pendant 180 jours</w:t>
            </w:r>
          </w:p>
        </w:tc>
      </w:tr>
      <w:tr>
        <w:trPr>
          <w:trHeight w:hRule="exact" w:val="254"/>
        </w:trPr>
        <w:tc>
          <w:tcPr>
            <w:tcW w:type="dxa" w:w="2836"/>
            <w:tcBorders>
              <w:start w:sz="4.0" w:val="single" w:color="#AEC5CF"/>
              <w:top w:sz="4.0" w:val="single" w:color="#AEC5CF"/>
              <w:end w:sz="3.199999999999818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Exonération des cotisations </w:t>
            </w:r>
          </w:p>
        </w:tc>
        <w:tc>
          <w:tcPr>
            <w:tcW w:type="dxa" w:w="8508"/>
            <w:tcBorders>
              <w:start w:sz="3.199999999999818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" w:after="0"/>
              <w:ind w:left="10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Non </w:t>
            </w:r>
          </w:p>
        </w:tc>
      </w:tr>
      <w:tr>
        <w:trPr>
          <w:trHeight w:hRule="exact" w:val="396"/>
        </w:trPr>
        <w:tc>
          <w:tcPr>
            <w:tcW w:type="dxa" w:w="2836"/>
            <w:tcBorders>
              <w:start w:sz="4.0" w:val="single" w:color="#AEC5CF"/>
              <w:top w:sz="4.0" w:val="single" w:color="#AEC5CF"/>
              <w:end w:sz="3.199999999999818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7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Territorialité </w:t>
            </w:r>
          </w:p>
        </w:tc>
        <w:tc>
          <w:tcPr>
            <w:tcW w:type="dxa" w:w="8508"/>
            <w:tcBorders>
              <w:start w:sz="3.199999999999818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70" w:after="0"/>
              <w:ind w:left="10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Couverture dans le monde entier </w:t>
            </w:r>
          </w:p>
        </w:tc>
      </w:tr>
      <w:tr>
        <w:trPr>
          <w:trHeight w:hRule="exact" w:val="254"/>
        </w:trPr>
        <w:tc>
          <w:tcPr>
            <w:tcW w:type="dxa" w:w="2836"/>
            <w:tcBorders>
              <w:start w:sz="4.0" w:val="single" w:color="#AEC5CF"/>
              <w:top w:sz="4.0" w:val="single" w:color="#AEC5CF"/>
              <w:end w:sz="3.199999999999818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Type de projet </w:t>
            </w:r>
          </w:p>
        </w:tc>
        <w:tc>
          <w:tcPr>
            <w:tcW w:type="dxa" w:w="8508"/>
            <w:tcBorders>
              <w:start w:sz="3.199999999999818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0" w:after="0"/>
              <w:ind w:left="10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Résidence principale et secondaire, locatif, prêt travaux &gt; 75 000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€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, p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r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ê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t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p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ro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fes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s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i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o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nnel immobilier </w:t>
            </w:r>
          </w:p>
        </w:tc>
      </w:tr>
      <w:tr>
        <w:trPr>
          <w:trHeight w:hRule="exact" w:val="990"/>
        </w:trPr>
        <w:tc>
          <w:tcPr>
            <w:tcW w:type="dxa" w:w="2836"/>
            <w:tcBorders>
              <w:start w:sz="4.0" w:val="single" w:color="#AEC5CF"/>
              <w:top w:sz="4.0" w:val="single" w:color="#AEC5CF"/>
              <w:end w:sz="3.199999999999818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8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Lieu de résidence </w:t>
            </w:r>
          </w:p>
        </w:tc>
        <w:tc>
          <w:tcPr>
            <w:tcW w:type="dxa" w:w="8508"/>
            <w:tcBorders>
              <w:start w:sz="3.199999999999818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62" w:val="left"/>
              </w:tabs>
              <w:autoSpaceDE w:val="0"/>
              <w:widowControl/>
              <w:spacing w:line="245" w:lineRule="auto" w:before="0" w:after="0"/>
              <w:ind w:left="280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>o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Résidents France métropolitaine et DROM - COM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>o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Expatriés ou étrangers investissant en France via une banque Française, située en France ou 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dans les DROM, COM (incluant les succursales françaises d’organismes bancaires étrangers) ; 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sous étude </w:t>
            </w:r>
          </w:p>
        </w:tc>
      </w:tr>
      <w:tr>
        <w:trPr>
          <w:trHeight w:hRule="exact" w:val="256"/>
        </w:trPr>
        <w:tc>
          <w:tcPr>
            <w:tcW w:type="dxa" w:w="2836"/>
            <w:tcBorders>
              <w:start w:sz="4.0" w:val="single" w:color="#AEC5CF"/>
              <w:top w:sz="4.0" w:val="single" w:color="#AEC5CF"/>
              <w:end w:sz="3.199999999999818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Prêt en devise </w:t>
            </w:r>
          </w:p>
        </w:tc>
        <w:tc>
          <w:tcPr>
            <w:tcW w:type="dxa" w:w="8508"/>
            <w:tcBorders>
              <w:start w:sz="3.199999999999818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0" w:after="0"/>
              <w:ind w:left="10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Non </w:t>
            </w:r>
          </w:p>
        </w:tc>
      </w:tr>
      <w:tr>
        <w:trPr>
          <w:trHeight w:hRule="exact" w:val="746"/>
        </w:trPr>
        <w:tc>
          <w:tcPr>
            <w:tcW w:type="dxa" w:w="2836"/>
            <w:tcBorders>
              <w:start w:sz="4.0" w:val="single" w:color="#AEC5CF"/>
              <w:top w:sz="4.0" w:val="single" w:color="#AEC5CF"/>
              <w:end w:sz="3.199999999999818" w:val="single" w:color="#AEC5CF"/>
              <w:bottom w:sz="3.199999999999818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2" w:after="0"/>
              <w:ind w:left="102" w:right="144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Modalités de paiement des 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cotisations </w:t>
            </w:r>
          </w:p>
        </w:tc>
        <w:tc>
          <w:tcPr>
            <w:tcW w:type="dxa" w:w="8508"/>
            <w:tcBorders>
              <w:start w:sz="3.199999999999818" w:val="single" w:color="#AEC5CF"/>
              <w:top w:sz="4.0" w:val="single" w:color="#AEC5CF"/>
              <w:end w:sz="4.0" w:val="single" w:color="#AEC5CF"/>
              <w:bottom w:sz="3.199999999999818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62" w:val="left"/>
              </w:tabs>
              <w:autoSpaceDE w:val="0"/>
              <w:widowControl/>
              <w:spacing w:line="245" w:lineRule="auto" w:before="0" w:after="0"/>
              <w:ind w:left="280" w:right="864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>o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Prélèvement automatique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>o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Périodicité mensuelle (*), trimestrielle, semestrielle ou annuelle au choix de l’assuré 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(*) sous réserve d’un montant minimum de 12 € </w:t>
            </w:r>
          </w:p>
        </w:tc>
      </w:tr>
      <w:tr>
        <w:trPr>
          <w:trHeight w:hRule="exact" w:val="254"/>
        </w:trPr>
        <w:tc>
          <w:tcPr>
            <w:tcW w:type="dxa" w:w="2836"/>
            <w:tcBorders>
              <w:start w:sz="4.0" w:val="single" w:color="#AEC5CF"/>
              <w:top w:sz="3.199999999999818" w:val="single" w:color="#AEC5CF"/>
              <w:end w:sz="3.199999999999818" w:val="single" w:color="#AEC5CF"/>
              <w:bottom w:sz="3.199999999999818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Association </w:t>
            </w:r>
          </w:p>
        </w:tc>
        <w:tc>
          <w:tcPr>
            <w:tcW w:type="dxa" w:w="8508"/>
            <w:tcBorders>
              <w:start w:sz="3.199999999999818" w:val="single" w:color="#AEC5CF"/>
              <w:top w:sz="3.199999999999818" w:val="single" w:color="#AEC5CF"/>
              <w:end w:sz="4.0" w:val="single" w:color="#AEC5CF"/>
              <w:bottom w:sz="3.199999999999818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12 € par assuré, payable lors de la 1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2"/>
              </w:rPr>
              <w:t>ère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cotisation </w:t>
            </w:r>
          </w:p>
        </w:tc>
      </w:tr>
      <w:tr>
        <w:trPr>
          <w:trHeight w:hRule="exact" w:val="500"/>
        </w:trPr>
        <w:tc>
          <w:tcPr>
            <w:tcW w:type="dxa" w:w="2836"/>
            <w:tcBorders>
              <w:start w:sz="4.0" w:val="single" w:color="#AEC5CF"/>
              <w:top w:sz="3.199999999999818" w:val="single" w:color="#AEC5CF"/>
              <w:end w:sz="3.199999999999818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2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Frais de dossier </w:t>
            </w:r>
          </w:p>
        </w:tc>
        <w:tc>
          <w:tcPr>
            <w:tcW w:type="dxa" w:w="8508"/>
            <w:tcBorders>
              <w:start w:sz="3.199999999999818" w:val="single" w:color="#AEC5CF"/>
              <w:top w:sz="3.199999999999818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2592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15 € par assuré, payable lors de la 1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2"/>
              </w:rPr>
              <w:t>ère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cotisation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2 € par assuré de frais de mutualité, payable lors de la 1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2"/>
              </w:rPr>
              <w:t>ère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co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t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i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sat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i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o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n </w:t>
            </w:r>
          </w:p>
        </w:tc>
      </w:tr>
      <w:tr>
        <w:trPr>
          <w:trHeight w:hRule="exact" w:val="746"/>
        </w:trPr>
        <w:tc>
          <w:tcPr>
            <w:tcW w:type="dxa" w:w="2836"/>
            <w:tcBorders>
              <w:start w:sz="4.0" w:val="single" w:color="#AEC5CF"/>
              <w:top w:sz="4.0" w:val="single" w:color="#AEC5CF"/>
              <w:end w:sz="3.199999999999818" w:val="single" w:color="#AEC5CF"/>
              <w:bottom w:sz="3.199999999999818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6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Frais de courtage </w:t>
            </w:r>
          </w:p>
        </w:tc>
        <w:tc>
          <w:tcPr>
            <w:tcW w:type="dxa" w:w="8508"/>
            <w:tcBorders>
              <w:start w:sz="3.199999999999818" w:val="single" w:color="#AEC5CF"/>
              <w:top w:sz="4.0" w:val="single" w:color="#AEC5CF"/>
              <w:end w:sz="4.0" w:val="single" w:color="#AEC5CF"/>
              <w:bottom w:sz="3.199999999999818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280" w:right="3168" w:hanging="176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Jusqu'à 3 000 € par assuré. Prélevé au choix :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>o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avec la 1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2"/>
              </w:rPr>
              <w:t>ère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cotisation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>o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ou fractionné la 1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2"/>
              </w:rPr>
              <w:t>ère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année selon la périodicité du client </w:t>
            </w:r>
          </w:p>
        </w:tc>
      </w:tr>
    </w:tbl>
    <w:p>
      <w:pPr>
        <w:autoSpaceDN w:val="0"/>
        <w:autoSpaceDE w:val="0"/>
        <w:widowControl/>
        <w:spacing w:line="230" w:lineRule="auto" w:before="360" w:after="0"/>
        <w:ind w:left="432" w:right="0" w:firstLine="0"/>
        <w:jc w:val="left"/>
      </w:pPr>
      <w:r>
        <w:rPr>
          <w:rFonts w:ascii="Open Sans" w:hAnsi="Open Sans" w:eastAsia="Open Sans"/>
          <w:b/>
          <w:i w:val="0"/>
          <w:color w:val="E52E45"/>
          <w:sz w:val="26"/>
        </w:rPr>
        <w:t xml:space="preserve">Rémunération </w:t>
      </w:r>
    </w:p>
    <w:p>
      <w:pPr>
        <w:autoSpaceDN w:val="0"/>
        <w:autoSpaceDE w:val="0"/>
        <w:widowControl/>
        <w:spacing w:line="230" w:lineRule="auto" w:before="100" w:after="0"/>
        <w:ind w:left="0" w:right="0" w:firstLine="0"/>
        <w:jc w:val="center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En tant que distributeur de produits d’assurance, il vous appartient de vérifier que les modalités de rémunération prévues ne </w:t>
      </w:r>
    </w:p>
    <w:p>
      <w:pPr>
        <w:autoSpaceDN w:val="0"/>
        <w:autoSpaceDE w:val="0"/>
        <w:widowControl/>
        <w:spacing w:line="230" w:lineRule="auto" w:before="12" w:after="0"/>
        <w:ind w:left="432" w:right="0" w:firstLine="0"/>
        <w:jc w:val="lef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sont pas de nature à créer un risque de conflit d’intérêts qui serait préjudiciable à votre client. </w:t>
      </w:r>
    </w:p>
    <w:p>
      <w:pPr>
        <w:autoSpaceDN w:val="0"/>
        <w:autoSpaceDE w:val="0"/>
        <w:widowControl/>
        <w:spacing w:line="230" w:lineRule="auto" w:before="128" w:after="0"/>
        <w:ind w:left="432" w:right="0" w:firstLine="0"/>
        <w:jc w:val="lef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Commissionnement au choix : </w:t>
      </w:r>
    </w:p>
    <w:p>
      <w:pPr>
        <w:autoSpaceDN w:val="0"/>
        <w:tabs>
          <w:tab w:pos="1152" w:val="left"/>
        </w:tabs>
        <w:autoSpaceDE w:val="0"/>
        <w:widowControl/>
        <w:spacing w:line="228" w:lineRule="auto" w:before="10" w:after="0"/>
        <w:ind w:left="792" w:right="0" w:firstLine="0"/>
        <w:jc w:val="left"/>
      </w:pPr>
      <w:r>
        <w:rPr>
          <w:rFonts w:ascii="Courier New" w:hAnsi="Courier New" w:eastAsia="Courier New"/>
          <w:b w:val="0"/>
          <w:i w:val="0"/>
          <w:color w:val="002337"/>
          <w:sz w:val="18"/>
        </w:rPr>
        <w:t xml:space="preserve">o </w:t>
      </w:r>
      <w:r>
        <w:tab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0/0, 8/8, 10/10, 12/12, 15/15, 20/20 : commission linéaire </w:t>
      </w:r>
    </w:p>
    <w:p>
      <w:pPr>
        <w:autoSpaceDN w:val="0"/>
        <w:tabs>
          <w:tab w:pos="1146" w:val="left"/>
        </w:tabs>
        <w:autoSpaceDE w:val="0"/>
        <w:widowControl/>
        <w:spacing w:line="228" w:lineRule="auto" w:before="30" w:after="0"/>
        <w:ind w:left="790" w:right="0" w:firstLine="0"/>
        <w:jc w:val="left"/>
      </w:pPr>
      <w:r>
        <w:rPr>
          <w:rFonts w:ascii="Courier New" w:hAnsi="Courier New" w:eastAsia="Courier New"/>
          <w:b w:val="0"/>
          <w:i w:val="0"/>
          <w:color w:val="002337"/>
          <w:sz w:val="18"/>
        </w:rPr>
        <w:t xml:space="preserve">o </w:t>
      </w:r>
      <w:r>
        <w:tab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20/10, 30/10, 40/10, 50/10 et 50/15 : paiement escompté et précompté, c’est-à-dire que la commission est versée en </w:t>
      </w:r>
    </w:p>
    <w:p>
      <w:pPr>
        <w:autoSpaceDN w:val="0"/>
        <w:autoSpaceDE w:val="0"/>
        <w:widowControl/>
        <w:spacing w:line="228" w:lineRule="auto" w:before="30" w:after="0"/>
        <w:ind w:left="1146" w:right="0" w:firstLine="0"/>
        <w:jc w:val="lef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>une fois la 1</w:t>
      </w:r>
      <w:r>
        <w:rPr>
          <w:rFonts w:ascii="Open Sans" w:hAnsi="Open Sans" w:eastAsia="Open Sans"/>
          <w:b w:val="0"/>
          <w:i w:val="0"/>
          <w:color w:val="002337"/>
          <w:sz w:val="12"/>
        </w:rPr>
        <w:t>ère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année, à la date de paiement de la 1</w:t>
      </w:r>
      <w:r>
        <w:rPr>
          <w:rFonts w:ascii="Open Sans" w:hAnsi="Open Sans" w:eastAsia="Open Sans"/>
          <w:b w:val="0"/>
          <w:i w:val="0"/>
          <w:color w:val="002337"/>
          <w:sz w:val="12"/>
        </w:rPr>
        <w:t>ère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cotisation. </w:t>
      </w:r>
    </w:p>
    <w:p>
      <w:pPr>
        <w:autoSpaceDN w:val="0"/>
        <w:autoSpaceDE w:val="0"/>
        <w:widowControl/>
        <w:spacing w:line="230" w:lineRule="auto" w:before="190" w:after="0"/>
        <w:ind w:left="432" w:right="0" w:firstLine="0"/>
        <w:jc w:val="lef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Le tarif du produit est basé sur un taux de commissionnement de 40/10. </w:t>
      </w:r>
    </w:p>
    <w:p>
      <w:pPr>
        <w:autoSpaceDN w:val="0"/>
        <w:autoSpaceDE w:val="0"/>
        <w:widowControl/>
        <w:spacing w:line="228" w:lineRule="auto" w:before="660" w:after="0"/>
        <w:ind w:left="0" w:right="426" w:firstLine="0"/>
        <w:jc w:val="righ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3 / 6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52.0" w:type="dxa"/>
      </w:tblPr>
      <w:tblGrid>
        <w:gridCol w:w="5687"/>
        <w:gridCol w:w="5687"/>
      </w:tblGrid>
      <w:tr>
        <w:trPr>
          <w:trHeight w:hRule="exact" w:val="522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" w:after="0"/>
              <w:ind w:left="2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902969" cy="2667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969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2" w:right="576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2"/>
              </w:rPr>
              <w:t>Zenioo, siège social : 6 cours André Philip – 69100 Villeurbanne. SAS au capital de 1.267.431 €, RCS de Lyon n°884 782 582 –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2"/>
              </w:rPr>
              <w:t xml:space="preserve"> </w:t>
            </w:r>
            <w:r>
              <w:rPr>
                <w:u w:val="single" w:color="002237"/>
                <w:rFonts w:ascii="Open Sans" w:hAnsi="Open Sans" w:eastAsia="Open Sans"/>
                <w:b w:val="0"/>
                <w:i w:val="0"/>
                <w:color w:val="002337"/>
                <w:sz w:val="12"/>
              </w:rPr>
              <w:hyperlink r:id="rId12" w:history="1">
                <w:r>
                  <w:rPr>
                    <w:rStyle w:val="Hyperlink"/>
                  </w:rPr>
                  <w:t>www.zenioo.com</w:t>
                </w:r>
              </w:hyperlink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2"/>
              </w:rPr>
              <w:t xml:space="preserve">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2"/>
              </w:rPr>
              <w:t xml:space="preserve">Intermédiaire en assurance immatriculé à l’ORIAS sous le n°20 005 879 (www.orias.fr). </w:t>
            </w:r>
          </w:p>
          <w:p>
            <w:pPr>
              <w:autoSpaceDN w:val="0"/>
              <w:autoSpaceDE w:val="0"/>
              <w:widowControl/>
              <w:spacing w:line="228" w:lineRule="auto" w:before="6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2"/>
              </w:rPr>
              <w:t>Autorité de Contrôle Prudentiel et de Résolution, 4 place de Budapest, CS 92459, 75436 Paris Cedex 09.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360" w:right="244" w:bottom="88" w:left="2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444500</wp:posOffset>
            </wp:positionH>
            <wp:positionV relativeFrom="page">
              <wp:posOffset>698500</wp:posOffset>
            </wp:positionV>
            <wp:extent cx="6642100" cy="7531100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75311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0" w:lineRule="auto" w:before="0" w:after="0"/>
        <w:ind w:left="52" w:right="0" w:firstLine="0"/>
        <w:jc w:val="left"/>
      </w:pPr>
      <w:r>
        <w:rPr>
          <w:rFonts w:ascii="Open Sans" w:hAnsi="Open Sans" w:eastAsia="Open Sans"/>
          <w:b/>
          <w:i w:val="0"/>
          <w:color w:val="E52E45"/>
          <w:sz w:val="26"/>
        </w:rPr>
        <w:t xml:space="preserve">La conformité en toute simplicité ! </w:t>
      </w:r>
    </w:p>
    <w:p>
      <w:pPr>
        <w:autoSpaceDN w:val="0"/>
        <w:autoSpaceDE w:val="0"/>
        <w:widowControl/>
        <w:spacing w:line="245" w:lineRule="auto" w:before="202" w:after="0"/>
        <w:ind w:left="52" w:right="720" w:firstLine="0"/>
        <w:jc w:val="left"/>
      </w:pPr>
      <w:r>
        <w:rPr>
          <w:rFonts w:ascii="Open Sans" w:hAnsi="Open Sans" w:eastAsia="Open Sans"/>
          <w:b/>
          <w:i w:val="0"/>
          <w:color w:val="002337"/>
          <w:sz w:val="18"/>
        </w:rPr>
        <w:t xml:space="preserve">La gouvernance produit </w:t>
      </w:r>
      <w:r>
        <w:br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Dans le cadre de notre démarche d’amélioration continue de la qualité de nos produits, faites-nous part de vos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retours si vous constatez que soit : </w:t>
      </w:r>
    </w:p>
    <w:p>
      <w:pPr>
        <w:autoSpaceDN w:val="0"/>
        <w:tabs>
          <w:tab w:pos="772" w:val="left"/>
        </w:tabs>
        <w:autoSpaceDE w:val="0"/>
        <w:widowControl/>
        <w:spacing w:line="245" w:lineRule="auto" w:before="10" w:after="0"/>
        <w:ind w:left="412" w:right="720" w:firstLine="0"/>
        <w:jc w:val="left"/>
      </w:pPr>
      <w:r>
        <w:rPr>
          <w:rFonts w:ascii="Courier New" w:hAnsi="Courier New" w:eastAsia="Courier New"/>
          <w:b w:val="0"/>
          <w:i w:val="0"/>
          <w:color w:val="002337"/>
          <w:sz w:val="18"/>
        </w:rPr>
        <w:t xml:space="preserve">o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>le produit n’est pas en adéquation avec les intérêts, objectifs et caractéristiques du marché cible précisé ci-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dessus ; </w:t>
      </w:r>
    </w:p>
    <w:p>
      <w:pPr>
        <w:autoSpaceDN w:val="0"/>
        <w:tabs>
          <w:tab w:pos="772" w:val="left"/>
        </w:tabs>
        <w:autoSpaceDE w:val="0"/>
        <w:widowControl/>
        <w:spacing w:line="245" w:lineRule="auto" w:before="10" w:after="0"/>
        <w:ind w:left="412" w:right="720" w:firstLine="0"/>
        <w:jc w:val="left"/>
      </w:pPr>
      <w:r>
        <w:rPr>
          <w:rFonts w:ascii="Courier New" w:hAnsi="Courier New" w:eastAsia="Courier New"/>
          <w:b w:val="0"/>
          <w:i w:val="0"/>
          <w:color w:val="002337"/>
          <w:sz w:val="18"/>
        </w:rPr>
        <w:t xml:space="preserve">o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des circonstances relatives au produit sont susceptibles d’avoir des répercussions défavorables pour le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client ; </w:t>
      </w:r>
    </w:p>
    <w:p>
      <w:pPr>
        <w:autoSpaceDN w:val="0"/>
        <w:tabs>
          <w:tab w:pos="408" w:val="left"/>
          <w:tab w:pos="764" w:val="left"/>
        </w:tabs>
        <w:autoSpaceDE w:val="0"/>
        <w:widowControl/>
        <w:spacing w:line="245" w:lineRule="auto" w:before="10" w:after="0"/>
        <w:ind w:left="52" w:right="720" w:firstLine="0"/>
        <w:jc w:val="left"/>
      </w:pPr>
      <w:r>
        <w:rPr>
          <w:rFonts w:ascii="Courier New" w:hAnsi="Courier New" w:eastAsia="Courier New"/>
          <w:b w:val="0"/>
          <w:i w:val="0"/>
          <w:color w:val="002337"/>
          <w:sz w:val="18"/>
        </w:rPr>
        <w:t xml:space="preserve">o </w:t>
      </w:r>
      <w:r>
        <w:tab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les modalités de rémunération proposées pour le produit vous placent dans une situation de conflit </w:t>
      </w:r>
      <w:r>
        <w:tab/>
      </w:r>
      <w:r>
        <w:tab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d’intérêt vis-à-vis du client ; </w:t>
      </w:r>
      <w:r>
        <w:br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à partir de la messagerie instantanée mise à disposition depuis notre plateforme de vente, ou via votre délégué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régional. </w:t>
      </w:r>
    </w:p>
    <w:p>
      <w:pPr>
        <w:autoSpaceDN w:val="0"/>
        <w:autoSpaceDE w:val="0"/>
        <w:widowControl/>
        <w:spacing w:line="245" w:lineRule="auto" w:before="414" w:after="0"/>
        <w:ind w:left="52" w:right="720" w:firstLine="0"/>
        <w:jc w:val="left"/>
      </w:pPr>
      <w:r>
        <w:rPr>
          <w:rFonts w:ascii="Open Sans" w:hAnsi="Open Sans" w:eastAsia="Open Sans"/>
          <w:b/>
          <w:i w:val="0"/>
          <w:color w:val="002337"/>
          <w:sz w:val="18"/>
        </w:rPr>
        <w:t xml:space="preserve">La réglementation LCBFT </w:t>
      </w:r>
      <w:r>
        <w:br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Au regard du risque faible du produit, vous devez appliquer a minima un niveau de </w:t>
      </w:r>
      <w:r>
        <w:rPr>
          <w:rFonts w:ascii="Open Sans" w:hAnsi="Open Sans" w:eastAsia="Open Sans"/>
          <w:b/>
          <w:i w:val="0"/>
          <w:color w:val="002337"/>
          <w:sz w:val="18"/>
        </w:rPr>
        <w:t>vigilance simplifiée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au titre du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titre VI du livre V du code monétaire et financier. </w:t>
      </w:r>
    </w:p>
    <w:p>
      <w:pPr>
        <w:autoSpaceDN w:val="0"/>
        <w:autoSpaceDE w:val="0"/>
        <w:widowControl/>
        <w:spacing w:line="230" w:lineRule="auto" w:before="28" w:after="238"/>
        <w:ind w:left="52" w:right="0" w:firstLine="0"/>
        <w:jc w:val="lef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Concrètement cela signifie que vous devez collecter les informations d’identification suivants : </w:t>
      </w:r>
    </w:p>
    <w:p>
      <w:pPr>
        <w:sectPr>
          <w:pgSz w:w="11906" w:h="16838"/>
          <w:pgMar w:top="724" w:right="650" w:bottom="88" w:left="8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0"/>
        <w:ind w:left="0" w:right="476" w:firstLine="0"/>
        <w:jc w:val="right"/>
      </w:pPr>
      <w:r>
        <w:rPr>
          <w:rFonts w:ascii="Open Sans" w:hAnsi="Open Sans" w:eastAsia="Open Sans"/>
          <w:b/>
          <w:i w:val="0"/>
          <w:color w:val="002337"/>
          <w:sz w:val="16"/>
        </w:rPr>
        <w:t xml:space="preserve">Client personne physique </w:t>
      </w:r>
    </w:p>
    <w:p>
      <w:pPr>
        <w:sectPr>
          <w:type w:val="continuous"/>
          <w:pgSz w:w="11906" w:h="16838"/>
          <w:pgMar w:top="724" w:right="650" w:bottom="88" w:left="820" w:header="720" w:footer="720" w:gutter="0"/>
          <w:cols w:num="2" w:equalWidth="0">
            <w:col w:w="5930" w:space="0"/>
            <w:col w:w="4505" w:space="0"/>
          </w:cols>
          <w:docGrid w:linePitch="360"/>
        </w:sectPr>
      </w:pPr>
    </w:p>
    <w:p>
      <w:pPr>
        <w:autoSpaceDN w:val="0"/>
        <w:autoSpaceDE w:val="0"/>
        <w:widowControl/>
        <w:spacing w:line="288" w:lineRule="auto" w:before="0" w:after="2"/>
        <w:ind w:left="432" w:right="1008" w:firstLine="0"/>
        <w:jc w:val="center"/>
      </w:pPr>
      <w:r>
        <w:rPr>
          <w:rFonts w:ascii="Open Sans" w:hAnsi="Open Sans" w:eastAsia="Open Sans"/>
          <w:b/>
          <w:i w:val="0"/>
          <w:color w:val="002337"/>
          <w:sz w:val="16"/>
        </w:rPr>
        <w:t xml:space="preserve">Client personne morale </w:t>
      </w:r>
      <w:r>
        <w:br/>
      </w:r>
      <w:r>
        <w:rPr>
          <w:rFonts w:ascii="Open Sans" w:hAnsi="Open Sans" w:eastAsia="Open Sans"/>
          <w:b w:val="0"/>
          <w:i w:val="0"/>
          <w:color w:val="002337"/>
          <w:sz w:val="16"/>
        </w:rPr>
        <w:t xml:space="preserve">Forme juridique, dénomination sociale, </w:t>
      </w:r>
    </w:p>
    <w:p>
      <w:pPr>
        <w:sectPr>
          <w:type w:val="nextColumn"/>
          <w:pgSz w:w="11906" w:h="16838"/>
          <w:pgMar w:top="724" w:right="650" w:bottom="88" w:left="820" w:header="720" w:footer="720" w:gutter="0"/>
          <w:cols w:num="2" w:equalWidth="0">
            <w:col w:w="5930" w:space="0"/>
            <w:col w:w="4505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80.0" w:type="dxa"/>
      </w:tblPr>
      <w:tblGrid>
        <w:gridCol w:w="3479"/>
        <w:gridCol w:w="3479"/>
        <w:gridCol w:w="3479"/>
      </w:tblGrid>
      <w:tr>
        <w:trPr>
          <w:trHeight w:hRule="exact" w:val="246"/>
        </w:trPr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6"/>
              </w:rPr>
              <w:t xml:space="preserve">Client potentiel 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41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6"/>
              </w:rPr>
              <w:t xml:space="preserve">Nom, prénoms, date et lieu de naissance 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17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6"/>
              </w:rPr>
              <w:t xml:space="preserve">numéro SIREN, adresse du siège et du lieu </w:t>
            </w:r>
          </w:p>
        </w:tc>
      </w:tr>
    </w:tbl>
    <w:p>
      <w:pPr>
        <w:autoSpaceDN w:val="0"/>
        <w:autoSpaceDE w:val="0"/>
        <w:widowControl/>
        <w:spacing w:line="233" w:lineRule="auto" w:before="12" w:after="28"/>
        <w:ind w:left="0" w:right="1324" w:firstLine="0"/>
        <w:jc w:val="right"/>
      </w:pPr>
      <w:r>
        <w:rPr>
          <w:rFonts w:ascii="Open Sans" w:hAnsi="Open Sans" w:eastAsia="Open Sans"/>
          <w:b w:val="0"/>
          <w:i w:val="0"/>
          <w:color w:val="002337"/>
          <w:sz w:val="16"/>
        </w:rPr>
        <w:t xml:space="preserve">de direction effective si différent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3479"/>
        <w:gridCol w:w="3479"/>
        <w:gridCol w:w="3479"/>
      </w:tblGrid>
      <w:tr>
        <w:trPr>
          <w:trHeight w:hRule="exact" w:val="238"/>
        </w:trPr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6"/>
              </w:rPr>
              <w:t xml:space="preserve">Bénéficiaire effectif </w:t>
            </w:r>
          </w:p>
        </w:tc>
        <w:tc>
          <w:tcPr>
            <w:tcW w:type="dxa" w:w="3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2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6"/>
              </w:rPr>
              <w:t xml:space="preserve">Nom, prénoms, date et lieu de naissance </w:t>
            </w:r>
          </w:p>
        </w:tc>
        <w:tc>
          <w:tcPr>
            <w:tcW w:type="dxa" w:w="3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2" w:after="0"/>
              <w:ind w:left="20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6"/>
              </w:rPr>
              <w:t xml:space="preserve">Nom, prénoms, date et lieu de naissance </w:t>
            </w:r>
          </w:p>
        </w:tc>
      </w:tr>
      <w:tr>
        <w:trPr>
          <w:trHeight w:hRule="exact" w:val="144"/>
        </w:trPr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8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6"/>
              </w:rPr>
              <w:t xml:space="preserve">Personne agissant pour le </w:t>
            </w:r>
          </w:p>
        </w:tc>
        <w:tc>
          <w:tcPr>
            <w:tcW w:type="dxa" w:w="3479"/>
            <w:vMerge/>
            <w:tcBorders/>
          </w:tcPr>
          <w:p/>
        </w:tc>
        <w:tc>
          <w:tcPr>
            <w:tcW w:type="dxa" w:w="3479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3479"/>
            <w:vMerge/>
            <w:tcBorders/>
          </w:tcPr>
          <w:p/>
        </w:tc>
        <w:tc>
          <w:tcPr>
            <w:tcW w:type="dxa" w:w="3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2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6"/>
              </w:rPr>
              <w:t xml:space="preserve">Nom, prénoms, date et lieu de naissance, </w:t>
            </w:r>
          </w:p>
        </w:tc>
        <w:tc>
          <w:tcPr>
            <w:tcW w:type="dxa" w:w="3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2" w:after="0"/>
              <w:ind w:left="18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6"/>
              </w:rPr>
              <w:t xml:space="preserve">Nom, prénoms, date et lieu de naissance, </w:t>
            </w:r>
          </w:p>
        </w:tc>
      </w:tr>
      <w:tr>
        <w:trPr>
          <w:trHeight w:hRule="exact" w:val="160"/>
        </w:trPr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6"/>
              </w:rPr>
              <w:t xml:space="preserve">compte du Client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6"/>
              </w:rPr>
              <w:t xml:space="preserve">(ex : payeur </w:t>
            </w:r>
          </w:p>
        </w:tc>
        <w:tc>
          <w:tcPr>
            <w:tcW w:type="dxa" w:w="3479"/>
            <w:vMerge/>
            <w:tcBorders/>
          </w:tcPr>
          <w:p/>
        </w:tc>
        <w:tc>
          <w:tcPr>
            <w:tcW w:type="dxa" w:w="3479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479"/>
            <w:vMerge/>
            <w:tcBorders/>
          </w:tcPr>
          <w:p/>
        </w:tc>
        <w:tc>
          <w:tcPr>
            <w:tcW w:type="dxa" w:w="3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6"/>
              </w:rPr>
              <w:t xml:space="preserve">lien avec la personne représentée </w:t>
            </w:r>
          </w:p>
        </w:tc>
        <w:tc>
          <w:tcPr>
            <w:tcW w:type="dxa" w:w="3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41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6"/>
              </w:rPr>
              <w:t xml:space="preserve">fonction de représentation exercée </w:t>
            </w:r>
          </w:p>
        </w:tc>
      </w:tr>
      <w:tr>
        <w:trPr>
          <w:trHeight w:hRule="exact" w:val="314"/>
        </w:trPr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6"/>
              </w:rPr>
              <w:t>de prime, représentant légal)</w:t>
            </w:r>
          </w:p>
        </w:tc>
        <w:tc>
          <w:tcPr>
            <w:tcW w:type="dxa" w:w="3479"/>
            <w:vMerge/>
            <w:tcBorders/>
          </w:tcPr>
          <w:p/>
        </w:tc>
        <w:tc>
          <w:tcPr>
            <w:tcW w:type="dxa" w:w="3479"/>
            <w:vMerge/>
            <w:tcBorders/>
          </w:tcPr>
          <w:p/>
        </w:tc>
      </w:tr>
    </w:tbl>
    <w:p>
      <w:pPr>
        <w:autoSpaceDN w:val="0"/>
        <w:tabs>
          <w:tab w:pos="412" w:val="left"/>
          <w:tab w:pos="772" w:val="left"/>
        </w:tabs>
        <w:autoSpaceDE w:val="0"/>
        <w:widowControl/>
        <w:spacing w:line="257" w:lineRule="auto" w:before="282" w:after="0"/>
        <w:ind w:left="52" w:right="720" w:firstLine="0"/>
        <w:jc w:val="lef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En cas d’opération atypique au sens de l’article L561-10-2 du code monétaire et financier, vous devez, en plus de la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collecte des informations d’identification : 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C2E812"/>
          <w:sz w:val="24"/>
        </w:rPr>
        <w:t>✓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Effectuer la vérification d’identité conformément aux articles R561-5-1 et suivants du code monétaire et </w:t>
      </w:r>
      <w:r>
        <w:tab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financier 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C2E812"/>
          <w:sz w:val="24"/>
        </w:rPr>
        <w:t>✓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Collecter et actualiser, au moins une fois par an, les informations pertinentes au titre de la relation d’affaires </w:t>
      </w:r>
      <w:r>
        <w:tab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et de la connaissance de la situation professionnelle, économique et financière du client et, le cas échéant </w:t>
      </w:r>
      <w:r>
        <w:tab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de son bénéficiaire effectif, afin d’éliminer ou de réduire le risque de blanchiment d’argent et de </w:t>
      </w:r>
      <w:r>
        <w:tab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financement du terrorisme 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C2E812"/>
          <w:sz w:val="24"/>
        </w:rPr>
        <w:t>✓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Recueillir une seconde pièce d’identité 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C2E812"/>
          <w:sz w:val="24"/>
        </w:rPr>
        <w:t>✓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S’assurer que le premier paiement soit effectué en provenance d’un compte situé en UE et ouvert au nom </w:t>
      </w:r>
      <w:r>
        <w:tab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du Client ou de son représentant. </w:t>
      </w:r>
    </w:p>
    <w:p>
      <w:pPr>
        <w:autoSpaceDN w:val="0"/>
        <w:tabs>
          <w:tab w:pos="536" w:val="left"/>
        </w:tabs>
        <w:autoSpaceDE w:val="0"/>
        <w:widowControl/>
        <w:spacing w:line="245" w:lineRule="auto" w:before="478" w:after="0"/>
        <w:ind w:left="52" w:right="720" w:firstLine="0"/>
        <w:jc w:val="lef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En cas de question, vous pouvez vous adresser au correspondant TRACFIN de notre société à l’adresse mail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>suivante :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hyperlink r:id="rId21" w:history="1">
          <w:r>
            <w:rPr>
              <w:rStyle w:val="Hyperlink"/>
            </w:rPr>
            <w:t xml:space="preserve"> lcb-ft.tracfin@zenioo.com.</w:t>
          </w:r>
        </w:hyperlink>
      </w:r>
    </w:p>
    <w:p>
      <w:pPr>
        <w:autoSpaceDN w:val="0"/>
        <w:autoSpaceDE w:val="0"/>
        <w:widowControl/>
        <w:spacing w:line="228" w:lineRule="auto" w:before="3182" w:after="6"/>
        <w:ind w:left="0" w:right="20" w:firstLine="0"/>
        <w:jc w:val="righ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4 / 6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218"/>
        <w:gridCol w:w="5218"/>
      </w:tblGrid>
      <w:tr>
        <w:trPr>
          <w:trHeight w:hRule="exact" w:val="466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02969" cy="2667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969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02" w:right="432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2"/>
              </w:rPr>
              <w:t>Zenioo, siège social : 6 cours André Philip – 69100 Villeurbanne. SAS au capital de 1.267.431 €, RCS de Lyon n°884 782 582 –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2"/>
              </w:rPr>
              <w:t xml:space="preserve"> </w:t>
            </w:r>
            <w:r>
              <w:rPr>
                <w:u w:val="single" w:color="002237"/>
                <w:rFonts w:ascii="Open Sans" w:hAnsi="Open Sans" w:eastAsia="Open Sans"/>
                <w:b w:val="0"/>
                <w:i w:val="0"/>
                <w:color w:val="002337"/>
                <w:sz w:val="12"/>
              </w:rPr>
              <w:hyperlink r:id="rId12" w:history="1">
                <w:r>
                  <w:rPr>
                    <w:rStyle w:val="Hyperlink"/>
                  </w:rPr>
                  <w:t>www.zenioo.com</w:t>
                </w:r>
              </w:hyperlink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2"/>
              </w:rPr>
              <w:t xml:space="preserve">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2"/>
              </w:rPr>
              <w:t xml:space="preserve">Intermédiaire en assurance immatriculé à l’ORIAS sous le n°20 005 879 (www.orias.fr). </w:t>
            </w:r>
          </w:p>
          <w:p>
            <w:pPr>
              <w:autoSpaceDN w:val="0"/>
              <w:autoSpaceDE w:val="0"/>
              <w:widowControl/>
              <w:spacing w:line="228" w:lineRule="auto" w:before="6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2"/>
              </w:rPr>
              <w:t>Autorité de Contrôle Prudentiel et de Résolution, 4 place de Budapest, CS 92459, 75436 Paris Cedex 09.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6838"/>
          <w:pgMar w:top="724" w:right="650" w:bottom="88" w:left="8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190500</wp:posOffset>
            </wp:positionH>
            <wp:positionV relativeFrom="page">
              <wp:posOffset>800100</wp:posOffset>
            </wp:positionV>
            <wp:extent cx="1663700" cy="165100"/>
            <wp:wrapNone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1651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0" w:lineRule="auto" w:before="0" w:after="0"/>
        <w:ind w:left="4" w:right="0" w:firstLine="0"/>
        <w:jc w:val="left"/>
      </w:pPr>
      <w:r>
        <w:rPr>
          <w:rFonts w:ascii="Open Sans" w:hAnsi="Open Sans" w:eastAsia="Open Sans"/>
          <w:b/>
          <w:i w:val="0"/>
          <w:color w:val="E52E45"/>
          <w:sz w:val="26"/>
        </w:rPr>
        <w:t xml:space="preserve">Formalités médicales </w:t>
      </w:r>
    </w:p>
    <w:p>
      <w:pPr>
        <w:autoSpaceDN w:val="0"/>
        <w:autoSpaceDE w:val="0"/>
        <w:widowControl/>
        <w:spacing w:line="230" w:lineRule="auto" w:before="202" w:after="86"/>
        <w:ind w:left="4" w:right="0" w:firstLine="0"/>
        <w:jc w:val="left"/>
      </w:pPr>
      <w:r>
        <w:rPr>
          <w:rFonts w:ascii="Open Sans" w:hAnsi="Open Sans" w:eastAsia="Open Sans"/>
          <w:b/>
          <w:i w:val="0"/>
          <w:color w:val="002337"/>
          <w:sz w:val="18"/>
        </w:rPr>
        <w:t xml:space="preserve">Process RIA ultra allégé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513"/>
        <w:gridCol w:w="3513"/>
        <w:gridCol w:w="3513"/>
      </w:tblGrid>
      <w:tr>
        <w:trPr>
          <w:trHeight w:hRule="exact" w:val="556"/>
        </w:trPr>
        <w:tc>
          <w:tcPr>
            <w:tcW w:type="dxa" w:w="1844"/>
            <w:tcBorders>
              <w:start w:sz="3.2000000000000455" w:val="single" w:color="#AEC5CF"/>
              <w:top w:sz="4.0" w:val="single" w:color="#AEC5CF"/>
              <w:end w:sz="4.0" w:val="single" w:color="#AEC5CF"/>
              <w:bottom w:sz="3.2000000000000455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52" w:after="0"/>
              <w:ind w:left="104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Conditions </w:t>
            </w:r>
          </w:p>
        </w:tc>
        <w:tc>
          <w:tcPr>
            <w:tcW w:type="dxa" w:w="4324"/>
            <w:tcBorders>
              <w:start w:sz="4.0" w:val="single" w:color="#AEC5CF"/>
              <w:top w:sz="4.0" w:val="single" w:color="#AEC5CF"/>
              <w:end w:sz="4.0" w:val="single" w:color="#AEC5CF"/>
              <w:bottom w:sz="3.2000000000000455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4" w:right="288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Assuré âgé de moins de 50 ans et capital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restant dû inférieur à 500 000 € </w:t>
            </w:r>
          </w:p>
        </w:tc>
        <w:tc>
          <w:tcPr>
            <w:tcW w:type="dxa" w:w="4324"/>
            <w:tcBorders>
              <w:start w:sz="4.0" w:val="single" w:color="#AEC5CF"/>
              <w:top w:sz="4.0" w:val="single" w:color="#AEC5CF"/>
              <w:end w:sz="4.0" w:val="single" w:color="#AEC5CF"/>
              <w:bottom w:sz="3.2000000000000455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4" w:right="576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Prêt et assurance mis en place depuis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>moins de 5 ans</w:t>
            </w:r>
          </w:p>
        </w:tc>
      </w:tr>
      <w:tr>
        <w:trPr>
          <w:trHeight w:hRule="exact" w:val="1432"/>
        </w:trPr>
        <w:tc>
          <w:tcPr>
            <w:tcW w:type="dxa" w:w="1844"/>
            <w:tcBorders>
              <w:start w:sz="3.2000000000000455" w:val="single" w:color="#AEC5CF"/>
              <w:top w:sz="3.2000000000000455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6" w:after="0"/>
              <w:ind w:left="104" w:right="576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Questions 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déclaratives </w:t>
            </w:r>
          </w:p>
        </w:tc>
        <w:tc>
          <w:tcPr>
            <w:tcW w:type="dxa" w:w="8648"/>
            <w:gridSpan w:val="2"/>
            <w:tcBorders>
              <w:start w:sz="4.0" w:val="single" w:color="#AEC5CF"/>
              <w:top w:sz="3.2000000000000455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>1.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L’assurance initialement mise en place pour ce financement a-t-elle fait l’objet de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surprimes, exclusions ou restrictions pour raisons de santé ? </w:t>
            </w:r>
          </w:p>
          <w:p>
            <w:pPr>
              <w:autoSpaceDN w:val="0"/>
              <w:autoSpaceDE w:val="0"/>
              <w:widowControl/>
              <w:spacing w:line="245" w:lineRule="auto" w:before="70" w:after="0"/>
              <w:ind w:left="104" w:right="60" w:firstLine="0"/>
              <w:jc w:val="both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>2.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Êtes-vous actuellement ou avez-vous été au cours des 5 dernières années : en arrêt de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travail (même partiel) ou sous traitement ou sous surveillance médicale pendant plus de 3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semaines consécutives ? </w:t>
            </w:r>
          </w:p>
        </w:tc>
      </w:tr>
    </w:tbl>
    <w:p>
      <w:pPr>
        <w:autoSpaceDN w:val="0"/>
        <w:autoSpaceDE w:val="0"/>
        <w:widowControl/>
        <w:spacing w:line="245" w:lineRule="auto" w:before="360" w:after="274"/>
        <w:ind w:left="4" w:right="0" w:firstLine="0"/>
        <w:jc w:val="left"/>
      </w:pPr>
      <w:r>
        <w:rPr>
          <w:rFonts w:ascii="Open Sans" w:hAnsi="Open Sans" w:eastAsia="Open Sans"/>
          <w:b/>
          <w:i w:val="0"/>
          <w:color w:val="002337"/>
          <w:sz w:val="18"/>
        </w:rPr>
        <w:t>Aucune formalité médicale demandée pour les prêts inférieurs à 200 000</w:t>
      </w:r>
      <w:r>
        <w:rPr>
          <w:rFonts w:ascii="Open Sans" w:hAnsi="Open Sans" w:eastAsia="Open Sans"/>
          <w:b/>
          <w:i w:val="0"/>
          <w:color w:val="002337"/>
          <w:sz w:val="18"/>
        </w:rPr>
        <w:t>€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, avec un terme antérieur aux 60 ans de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l’emprunteur et tenant compte de l’encours assuré des autres crédits.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757"/>
        <w:gridCol w:w="1757"/>
        <w:gridCol w:w="1757"/>
        <w:gridCol w:w="1757"/>
        <w:gridCol w:w="1757"/>
        <w:gridCol w:w="1757"/>
      </w:tblGrid>
      <w:tr>
        <w:trPr>
          <w:trHeight w:hRule="exact" w:val="378"/>
        </w:trPr>
        <w:tc>
          <w:tcPr>
            <w:tcW w:type="dxa" w:w="1744"/>
            <w:tcBorders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18"/>
            <w:gridSpan w:val="5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2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Âge à la souscription </w:t>
            </w:r>
          </w:p>
        </w:tc>
      </w:tr>
      <w:tr>
        <w:trPr>
          <w:trHeight w:hRule="exact" w:val="408"/>
        </w:trPr>
        <w:tc>
          <w:tcPr>
            <w:tcW w:type="dxa" w:w="1744"/>
            <w:tcBorders>
              <w:start w:sz="3.2000000000000455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>Capital assuré</w:t>
            </w:r>
          </w:p>
        </w:tc>
        <w:tc>
          <w:tcPr>
            <w:tcW w:type="dxa" w:w="1742"/>
            <w:tcBorders>
              <w:start w:sz="4.0" w:val="single" w:color="#AEC5CF"/>
              <w:top w:sz="4.0" w:val="single" w:color="#AEC5CF"/>
              <w:end w:sz="3.2000000000000455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Moins de 46 ans </w:t>
            </w:r>
          </w:p>
        </w:tc>
        <w:tc>
          <w:tcPr>
            <w:tcW w:type="dxa" w:w="1746"/>
            <w:tcBorders>
              <w:start w:sz="3.2000000000000455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de 46 à 50 ans </w:t>
            </w:r>
          </w:p>
        </w:tc>
        <w:tc>
          <w:tcPr>
            <w:tcW w:type="dxa" w:w="1740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de 51 à 55 ans </w:t>
            </w:r>
          </w:p>
        </w:tc>
        <w:tc>
          <w:tcPr>
            <w:tcW w:type="dxa" w:w="1746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de 56 à 65 ans </w:t>
            </w:r>
          </w:p>
        </w:tc>
        <w:tc>
          <w:tcPr>
            <w:tcW w:type="dxa" w:w="1744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de 66 à 80 ans </w:t>
            </w:r>
          </w:p>
        </w:tc>
      </w:tr>
      <w:tr>
        <w:trPr>
          <w:trHeight w:hRule="exact" w:val="714"/>
        </w:trPr>
        <w:tc>
          <w:tcPr>
            <w:tcW w:type="dxa" w:w="1744"/>
            <w:tcBorders>
              <w:start w:sz="3.2000000000000455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8" w:after="0"/>
              <w:ind w:left="2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jusqu’à 100 000 € </w:t>
            </w:r>
          </w:p>
        </w:tc>
        <w:tc>
          <w:tcPr>
            <w:tcW w:type="dxa" w:w="5228"/>
            <w:gridSpan w:val="3"/>
            <w:vMerge w:val="restart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def7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62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QSS </w:t>
            </w:r>
          </w:p>
        </w:tc>
        <w:tc>
          <w:tcPr>
            <w:tcW w:type="dxa" w:w="1746"/>
            <w:vMerge w:val="restart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f3face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62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QS </w:t>
            </w:r>
          </w:p>
        </w:tc>
        <w:tc>
          <w:tcPr>
            <w:tcW w:type="dxa" w:w="1744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f3fa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8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QS </w:t>
            </w:r>
          </w:p>
        </w:tc>
      </w:tr>
      <w:tr>
        <w:trPr>
          <w:trHeight w:hRule="exact" w:val="862"/>
        </w:trPr>
        <w:tc>
          <w:tcPr>
            <w:tcW w:type="dxa" w:w="1744"/>
            <w:tcBorders>
              <w:start w:sz="3.2000000000000455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0" w:after="0"/>
              <w:ind w:left="24" w:right="432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de 100 001 €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à 500 000 € </w:t>
            </w:r>
          </w:p>
        </w:tc>
        <w:tc>
          <w:tcPr>
            <w:tcW w:type="dxa" w:w="5271"/>
            <w:gridSpan w:val="3"/>
            <w:vMerge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</w:tcPr>
          <w:p/>
        </w:tc>
        <w:tc>
          <w:tcPr>
            <w:tcW w:type="dxa" w:w="1757"/>
            <w:vMerge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</w:tcPr>
          <w:p/>
        </w:tc>
        <w:tc>
          <w:tcPr>
            <w:tcW w:type="dxa" w:w="1744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fcf9d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44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Rapport de visite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médicale </w:t>
            </w:r>
          </w:p>
          <w:p>
            <w:pPr>
              <w:autoSpaceDN w:val="0"/>
              <w:autoSpaceDE w:val="0"/>
              <w:widowControl/>
              <w:spacing w:line="230" w:lineRule="auto" w:before="5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+ Profil Sanguin </w:t>
            </w:r>
          </w:p>
        </w:tc>
      </w:tr>
      <w:tr>
        <w:trPr>
          <w:trHeight w:hRule="exact" w:val="1070"/>
        </w:trPr>
        <w:tc>
          <w:tcPr>
            <w:tcW w:type="dxa" w:w="1744"/>
            <w:tcBorders>
              <w:start w:sz="3.2000000000000455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0" w:after="0"/>
              <w:ind w:left="0" w:right="432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de 500 001 €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à 1 000 000 € </w:t>
            </w:r>
          </w:p>
        </w:tc>
        <w:tc>
          <w:tcPr>
            <w:tcW w:type="dxa" w:w="5228"/>
            <w:gridSpan w:val="3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f3face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12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QS </w:t>
            </w:r>
          </w:p>
        </w:tc>
        <w:tc>
          <w:tcPr>
            <w:tcW w:type="dxa" w:w="1746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fbeb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QS si Décès PTIA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uniquement,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sinon :  Dossier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médical standard </w:t>
            </w:r>
          </w:p>
        </w:tc>
        <w:tc>
          <w:tcPr>
            <w:tcW w:type="dxa" w:w="1744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ffe8c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6" w:after="0"/>
              <w:ind w:left="144" w:right="144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Dossier médical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standard </w:t>
            </w:r>
          </w:p>
        </w:tc>
      </w:tr>
      <w:tr>
        <w:trPr>
          <w:trHeight w:hRule="exact" w:val="868"/>
        </w:trPr>
        <w:tc>
          <w:tcPr>
            <w:tcW w:type="dxa" w:w="1744"/>
            <w:tcBorders>
              <w:start w:sz="3.2000000000000455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54" w:after="0"/>
              <w:ind w:left="24" w:right="288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de 1 000 001 €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à 2 500 000 € </w:t>
            </w:r>
          </w:p>
        </w:tc>
        <w:tc>
          <w:tcPr>
            <w:tcW w:type="dxa" w:w="8718"/>
            <w:gridSpan w:val="5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f4efe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6" w:after="0"/>
              <w:ind w:left="3168" w:right="3168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Dossier médical standard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+ Copie de l’offre de prêt </w:t>
            </w:r>
          </w:p>
        </w:tc>
      </w:tr>
      <w:tr>
        <w:trPr>
          <w:trHeight w:hRule="exact" w:val="1640"/>
        </w:trPr>
        <w:tc>
          <w:tcPr>
            <w:tcW w:type="dxa" w:w="1744"/>
            <w:tcBorders>
              <w:start w:sz="3.2000000000000455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0" w:after="0"/>
              <w:ind w:left="24" w:right="288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de 2 500 001 €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à 5 000 000 € </w:t>
            </w:r>
          </w:p>
        </w:tc>
        <w:tc>
          <w:tcPr>
            <w:tcW w:type="dxa" w:w="1742"/>
            <w:tcBorders>
              <w:start w:sz="4.0" w:val="single" w:color="#AEC5CF"/>
              <w:top w:sz="4.0" w:val="single" w:color="#AEC5CF"/>
              <w:end w:sz="3.2000000000000455" w:val="single" w:color="#AEC5CF"/>
              <w:bottom w:sz="4.0" w:val="single" w:color="#AEC5CF"/>
            </w:tcBorders>
            <w:shd w:fill="d0ec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44" w:right="144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Dossier médical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standard </w:t>
            </w:r>
          </w:p>
          <w:p>
            <w:pPr>
              <w:autoSpaceDN w:val="0"/>
              <w:autoSpaceDE w:val="0"/>
              <w:widowControl/>
              <w:spacing w:line="245" w:lineRule="auto" w:before="50" w:after="0"/>
              <w:ind w:left="144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+ Copie de l’offre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de prêt </w:t>
            </w:r>
          </w:p>
          <w:p>
            <w:pPr>
              <w:autoSpaceDN w:val="0"/>
              <w:autoSpaceDE w:val="0"/>
              <w:widowControl/>
              <w:spacing w:line="245" w:lineRule="auto" w:before="50" w:after="0"/>
              <w:ind w:left="288" w:right="288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+ Document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Financier </w:t>
            </w:r>
          </w:p>
        </w:tc>
        <w:tc>
          <w:tcPr>
            <w:tcW w:type="dxa" w:w="3486"/>
            <w:gridSpan w:val="2"/>
            <w:tcBorders>
              <w:start w:sz="3.2000000000000455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fde8f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142" w:after="0"/>
              <w:ind w:left="432" w:right="288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Dossier médical standard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+ Copie de l’offre de prêt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+ ECG d’effort avec rapport du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cardiologue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+ Document Financier </w:t>
            </w:r>
          </w:p>
        </w:tc>
        <w:tc>
          <w:tcPr>
            <w:tcW w:type="dxa" w:w="3490"/>
            <w:gridSpan w:val="2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f8d4d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0" w:after="0"/>
              <w:ind w:left="432" w:right="432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Consulter le réassureur avant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constitution du dossier </w:t>
            </w:r>
          </w:p>
        </w:tc>
      </w:tr>
      <w:tr>
        <w:trPr>
          <w:trHeight w:hRule="exact" w:val="694"/>
        </w:trPr>
        <w:tc>
          <w:tcPr>
            <w:tcW w:type="dxa" w:w="1744"/>
            <w:tcBorders>
              <w:start w:sz="3.2000000000000455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8" w:after="0"/>
              <w:ind w:left="24" w:right="288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de 5 000 001 €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à 15 000 000 € </w:t>
            </w:r>
          </w:p>
        </w:tc>
        <w:tc>
          <w:tcPr>
            <w:tcW w:type="dxa" w:w="8718"/>
            <w:gridSpan w:val="5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f8d4d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Consulter le réassureur avant constitution du dossier </w:t>
            </w:r>
          </w:p>
        </w:tc>
      </w:tr>
    </w:tbl>
    <w:p>
      <w:pPr>
        <w:autoSpaceDN w:val="0"/>
        <w:autoSpaceDE w:val="0"/>
        <w:widowControl/>
        <w:spacing w:line="245" w:lineRule="auto" w:before="242" w:after="0"/>
        <w:ind w:left="4" w:right="0" w:firstLine="0"/>
        <w:jc w:val="left"/>
      </w:pPr>
      <w:r>
        <w:rPr>
          <w:rFonts w:ascii="Open Sans" w:hAnsi="Open Sans" w:eastAsia="Open Sans"/>
          <w:b/>
          <w:i w:val="0"/>
          <w:color w:val="002337"/>
          <w:sz w:val="18"/>
        </w:rPr>
        <w:t xml:space="preserve">Dossier médical standard :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Questionnaire de Santé + Rapport de visite médicale + Examen d’urines + Electrocardiogramme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avec rapport du cardiologue + Profil sanguin. </w:t>
      </w:r>
    </w:p>
    <w:p>
      <w:pPr>
        <w:autoSpaceDN w:val="0"/>
        <w:autoSpaceDE w:val="0"/>
        <w:widowControl/>
        <w:spacing w:line="245" w:lineRule="auto" w:before="190" w:after="0"/>
        <w:ind w:left="4" w:right="0" w:firstLine="0"/>
        <w:jc w:val="left"/>
      </w:pPr>
      <w:r>
        <w:rPr>
          <w:rFonts w:ascii="Open Sans" w:hAnsi="Open Sans" w:eastAsia="Open Sans"/>
          <w:b/>
          <w:i w:val="0"/>
          <w:color w:val="002337"/>
          <w:sz w:val="18"/>
        </w:rPr>
        <w:t xml:space="preserve">Examen d’urines :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Sucre, Albumine, Leucocytes, Sang, Cytobactériologie des Urines, Recherche de la Cotinine Urinaire (pour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>accès au tarif non-fumeur).</w:t>
      </w:r>
    </w:p>
    <w:p>
      <w:pPr>
        <w:autoSpaceDN w:val="0"/>
        <w:autoSpaceDE w:val="0"/>
        <w:widowControl/>
        <w:spacing w:line="254" w:lineRule="auto" w:before="190" w:after="0"/>
        <w:ind w:left="4" w:right="20" w:firstLine="0"/>
        <w:jc w:val="both"/>
      </w:pPr>
      <w:r>
        <w:rPr>
          <w:rFonts w:ascii="Open Sans" w:hAnsi="Open Sans" w:eastAsia="Open Sans"/>
          <w:b/>
          <w:i w:val="0"/>
          <w:color w:val="002337"/>
          <w:sz w:val="18"/>
        </w:rPr>
        <w:t xml:space="preserve">Profil sanguin  :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Numération formule sanguine, Vitesse de sédimentation, Numération Plaquettaire, Hiv 1 et 2 par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immunoenzymologie 2 réactifs, Glycémie, Créatinine, Bilirubine, Taux de Prothrombine, Urée, Acide Urique, Phosphatases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alcalines, Triglycérides, Cholestérol Total et HDL, Transaminases SGOT-SGPT et Gammas GT, marqueurs du virus de l’Hépatite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B et C (antigènes HBs et sérologie des anticorps de l’Hépatite C), et pour les personnes de sexe masculin de plus de 50 ans :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recherche des antigènes prostatiques spécifiques (PSA). </w:t>
      </w:r>
    </w:p>
    <w:p>
      <w:pPr>
        <w:autoSpaceDN w:val="0"/>
        <w:autoSpaceDE w:val="0"/>
        <w:widowControl/>
        <w:spacing w:line="228" w:lineRule="auto" w:before="1670" w:after="0"/>
        <w:ind w:left="0" w:right="20" w:firstLine="0"/>
        <w:jc w:val="righ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5 / 6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.00000000000006" w:type="dxa"/>
      </w:tblPr>
      <w:tblGrid>
        <w:gridCol w:w="5270"/>
        <w:gridCol w:w="5270"/>
      </w:tblGrid>
      <w:tr>
        <w:trPr>
          <w:trHeight w:hRule="exact" w:val="522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02969" cy="2667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969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2" w:right="432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2"/>
              </w:rPr>
              <w:t>Zenioo, siège social : 6 cours André Philip – 69100 Villeurbanne. SAS au capital de 1.267.431 €, RCS de Lyon n°884 782 582 –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2"/>
              </w:rPr>
              <w:t xml:space="preserve"> </w:t>
            </w:r>
            <w:r>
              <w:rPr>
                <w:u w:val="single" w:color="002237"/>
                <w:rFonts w:ascii="Open Sans" w:hAnsi="Open Sans" w:eastAsia="Open Sans"/>
                <w:b w:val="0"/>
                <w:i w:val="0"/>
                <w:color w:val="002337"/>
                <w:sz w:val="12"/>
              </w:rPr>
              <w:hyperlink r:id="rId12" w:history="1">
                <w:r>
                  <w:rPr>
                    <w:rStyle w:val="Hyperlink"/>
                  </w:rPr>
                  <w:t>www.zenioo.com</w:t>
                </w:r>
              </w:hyperlink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2"/>
              </w:rPr>
              <w:t xml:space="preserve">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2"/>
              </w:rPr>
              <w:t xml:space="preserve">Intermédiaire en assurance immatriculé à l’ORIAS sous le n°20 005 879 (www.orias.fr). </w:t>
            </w:r>
          </w:p>
          <w:p>
            <w:pPr>
              <w:autoSpaceDN w:val="0"/>
              <w:autoSpaceDE w:val="0"/>
              <w:widowControl/>
              <w:spacing w:line="228" w:lineRule="auto" w:before="6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2"/>
              </w:rPr>
              <w:t>Autorité de Contrôle Prudentiel et de Résolution, 4 place de Budapest, CS 92459, 75436 Paris Cedex 09.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360" w:right="650" w:bottom="88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7034530</wp:posOffset>
            </wp:positionH>
            <wp:positionV relativeFrom="page">
              <wp:posOffset>8483600</wp:posOffset>
            </wp:positionV>
            <wp:extent cx="173990" cy="18422"/>
            <wp:wrapNone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3990" cy="1842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5" w:lineRule="auto" w:before="164" w:after="0"/>
        <w:ind w:left="432" w:right="4176" w:firstLine="0"/>
        <w:jc w:val="left"/>
      </w:pPr>
      <w:r>
        <w:rPr>
          <w:rFonts w:ascii="Open Sans" w:hAnsi="Open Sans" w:eastAsia="Open Sans"/>
          <w:b/>
          <w:i w:val="0"/>
          <w:color w:val="002337"/>
          <w:sz w:val="20"/>
        </w:rPr>
        <w:t xml:space="preserve">Les formalités médicales sont à transmettre à l’adresse suivante :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MNCAP – Service Médical – 5 rue Dosne - 75116 Paris </w:t>
      </w:r>
    </w:p>
    <w:p>
      <w:pPr>
        <w:autoSpaceDN w:val="0"/>
        <w:autoSpaceDE w:val="0"/>
        <w:widowControl/>
        <w:spacing w:line="250" w:lineRule="auto" w:before="248" w:after="0"/>
        <w:ind w:left="432" w:right="382" w:firstLine="0"/>
        <w:jc w:val="both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Lorsque le postulant se soumet aux formalités médicales demandées par l'assureur, il a le choix de les effectuer dans nos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centres prestataires ou bien auprès d'un praticien de son choix. </w:t>
      </w:r>
      <w:r>
        <w:rPr>
          <w:rFonts w:ascii="Open Sans" w:hAnsi="Open Sans" w:eastAsia="Open Sans"/>
          <w:b/>
          <w:i w:val="0"/>
          <w:color w:val="002337"/>
          <w:sz w:val="18"/>
        </w:rPr>
        <w:t xml:space="preserve">Le réseau des centres permet le regroupement des </w:t>
      </w:r>
      <w:r>
        <w:rPr>
          <w:rFonts w:ascii="Open Sans" w:hAnsi="Open Sans" w:eastAsia="Open Sans"/>
          <w:b/>
          <w:i w:val="0"/>
          <w:color w:val="002337"/>
          <w:sz w:val="18"/>
        </w:rPr>
        <w:t>formalités médicales sans avance de fonds pour le postulant.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Les centres à contacter réalisant les bilans médicaux sont : </w:t>
      </w:r>
    </w:p>
    <w:p>
      <w:pPr>
        <w:autoSpaceDN w:val="0"/>
        <w:autoSpaceDE w:val="0"/>
        <w:widowControl/>
        <w:spacing w:line="245" w:lineRule="auto" w:before="190" w:after="0"/>
        <w:ind w:left="432" w:right="288" w:firstLine="0"/>
        <w:jc w:val="lef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>•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ARM (Analyse Risque Médical) : est présent pour réaliser les bilans médicaux dans 185 villes dont 14 adresses à Paris et 19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>en Région parisienne − 09 70 72 72 72 −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</w:t>
      </w:r>
      <w:r>
        <w:rPr>
          <w:u w:val="single" w:color="002237"/>
          <w:rFonts w:ascii="Open Sans" w:hAnsi="Open Sans" w:eastAsia="Open Sans"/>
          <w:b w:val="0"/>
          <w:i w:val="0"/>
          <w:color w:val="002337"/>
          <w:sz w:val="18"/>
        </w:rPr>
        <w:hyperlink r:id="rId24" w:history="1">
          <w:r>
            <w:rPr>
              <w:rStyle w:val="Hyperlink"/>
            </w:rPr>
            <w:t>http://www.armfrance.com</w:t>
          </w:r>
        </w:hyperlink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</w:t>
      </w:r>
    </w:p>
    <w:p>
      <w:pPr>
        <w:autoSpaceDN w:val="0"/>
        <w:autoSpaceDE w:val="0"/>
        <w:widowControl/>
        <w:spacing w:line="245" w:lineRule="auto" w:before="92" w:after="9136"/>
        <w:ind w:left="432" w:right="288" w:firstLine="0"/>
        <w:jc w:val="lef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• ABCOS−CIVEM : est présent pour réaliser les bilans médicaux, en un seul rendez−vous et en un seul lieu, dans ses centres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sur Paris Ile de France et en Région − 09 69 32 27 32 − </w:t>
      </w:r>
      <w:r>
        <w:rPr>
          <w:u w:val="single" w:color="002237"/>
          <w:rFonts w:ascii="Open Sans" w:hAnsi="Open Sans" w:eastAsia="Open Sans"/>
          <w:b w:val="0"/>
          <w:i w:val="0"/>
          <w:color w:val="002337"/>
          <w:sz w:val="18"/>
        </w:rPr>
        <w:t>http://www.abcossante.com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392.0" w:type="dxa"/>
      </w:tblPr>
      <w:tblGrid>
        <w:gridCol w:w="11326"/>
      </w:tblGrid>
      <w:tr>
        <w:trPr>
          <w:trHeight w:hRule="exact" w:val="2270"/>
        </w:trPr>
        <w:tc>
          <w:tcPr>
            <w:tcW w:type="dxa" w:w="576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33" w:lineRule="auto" w:before="5398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759AAB"/>
                <w:sz w:val="16"/>
              </w:rPr>
              <w:t xml:space="preserve">FP_MNCAPADE1021_031024 </w:t>
            </w:r>
          </w:p>
        </w:tc>
      </w:tr>
    </w:tbl>
    <w:p>
      <w:pPr>
        <w:autoSpaceDN w:val="0"/>
        <w:autoSpaceDE w:val="0"/>
        <w:widowControl/>
        <w:spacing w:line="228" w:lineRule="auto" w:before="264" w:after="6"/>
        <w:ind w:left="0" w:right="378" w:firstLine="0"/>
        <w:jc w:val="righ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6 / 6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52.0" w:type="dxa"/>
      </w:tblPr>
      <w:tblGrid>
        <w:gridCol w:w="5663"/>
        <w:gridCol w:w="5663"/>
      </w:tblGrid>
      <w:tr>
        <w:trPr>
          <w:trHeight w:hRule="exact" w:val="466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2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902969" cy="2667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969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02" w:right="576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2"/>
              </w:rPr>
              <w:t>Zenioo, siège social : 6 cours André Philip – 69100 Villeurbanne. SAS au capital de 1.267.431 €, RCS de Lyon n°884 782 582 –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2"/>
              </w:rPr>
              <w:t xml:space="preserve"> </w:t>
            </w:r>
            <w:r>
              <w:rPr>
                <w:u w:val="single" w:color="002237"/>
                <w:rFonts w:ascii="Open Sans" w:hAnsi="Open Sans" w:eastAsia="Open Sans"/>
                <w:b w:val="0"/>
                <w:i w:val="0"/>
                <w:color w:val="002337"/>
                <w:sz w:val="12"/>
              </w:rPr>
              <w:hyperlink r:id="rId12" w:history="1">
                <w:r>
                  <w:rPr>
                    <w:rStyle w:val="Hyperlink"/>
                  </w:rPr>
                  <w:t>www.zenioo.com</w:t>
                </w:r>
              </w:hyperlink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2"/>
              </w:rPr>
              <w:t xml:space="preserve">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2"/>
              </w:rPr>
              <w:t xml:space="preserve">Intermédiaire en assurance immatriculé à l’ORIAS sous le n°20 005 879 (www.orias.fr). </w:t>
            </w:r>
          </w:p>
          <w:p>
            <w:pPr>
              <w:autoSpaceDN w:val="0"/>
              <w:autoSpaceDE w:val="0"/>
              <w:widowControl/>
              <w:spacing w:line="228" w:lineRule="auto" w:before="6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2"/>
              </w:rPr>
              <w:t>Autorité de Contrôle Prudentiel et de Résolution, 4 place de Budapest, CS 92459, 75436 Paris Cedex 09.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650" w:right="292" w:bottom="88" w:left="288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yperlink" Target="http://www.zenioo.com/" TargetMode="Externa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hyperlink" Target="mailto:lcb-ft.tracfin@zenioo.com" TargetMode="External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hyperlink" Target="http://www.armfrance.com/" TargetMode="External"/><Relationship Id="rId25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