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3.999999999999986" w:type="dxa"/>
      </w:tblPr>
      <w:tblGrid>
        <w:gridCol w:w="10978"/>
      </w:tblGrid>
      <w:tr>
        <w:trPr>
          <w:trHeight w:hRule="exact" w:val="2403"/>
        </w:trPr>
        <w:tc>
          <w:tcPr>
            <w:tcW w:type="dxa" w:w="10664"/>
            <w:tcBorders/>
            <w:shd w:fill="004b9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110" w:right="28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48"/>
              </w:rPr>
              <w:t xml:space="preserve">Assurance Emprunteur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 xml:space="preserve">Document d'information sur le produit d'assurance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 xml:space="preserve">Compagnie : Produit assuré et géré par la Mutuelle Nationale des Constructeurs et Accédants à la Propriété (MNCAP), mutuelle </w:t>
            </w: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 xml:space="preserve">immatriculée en France sous le  N° SIREN 391 398 351 et régie par les dispositions du Livre II du Code de la mutualité. Siège social : 5,rue </w:t>
            </w: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 xml:space="preserve">Dosne 75116 Paris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 xml:space="preserve">Distributeur : Le contrat est distribué par ZENIOO – société par actions simplifiée au capital de 1267431 € - Immatriculée au RCS de Lyon </w:t>
            </w: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 xml:space="preserve">sous le numéro 884 782 582 – Courtier d’assurance inscrit à l’ORIAS sous le numéro 20005879 - Siège social : 6 Cours André Philip - 69100 </w:t>
            </w: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 xml:space="preserve">Villeurbanne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Nom du Produit : MNCAP ADE 10</w:t>
            </w: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2</w:t>
            </w: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1</w:t>
            </w:r>
          </w:p>
        </w:tc>
      </w:tr>
    </w:tbl>
    <w:p>
      <w:pPr>
        <w:autoSpaceDN w:val="0"/>
        <w:tabs>
          <w:tab w:pos="164" w:val="left"/>
        </w:tabs>
        <w:autoSpaceDE w:val="0"/>
        <w:widowControl/>
        <w:spacing w:line="245" w:lineRule="auto" w:before="48" w:after="0"/>
        <w:ind w:left="56" w:right="288" w:firstLine="0"/>
        <w:jc w:val="left"/>
      </w:pPr>
      <w:r>
        <w:rPr>
          <w:rFonts w:ascii="Calibri" w:hAnsi="Calibri" w:eastAsia="Calibri"/>
          <w:b/>
          <w:i w:val="0"/>
          <w:color w:val="000000"/>
          <w:sz w:val="18"/>
        </w:rPr>
        <w:t xml:space="preserve">Ce document d’information présente un résumé des principales garanties et exclusions du produit. Il ne prend pas en compte vos besoins et </w:t>
      </w:r>
      <w:r>
        <w:rPr>
          <w:rFonts w:ascii="Calibri" w:hAnsi="Calibri" w:eastAsia="Calibri"/>
          <w:b/>
          <w:i w:val="0"/>
          <w:color w:val="000000"/>
          <w:sz w:val="18"/>
        </w:rPr>
        <w:t xml:space="preserve">demandes spécifiques. Vous trouverez l’information complète sur ce produit dans la documentation précontractuelle et contractuelle. </w:t>
      </w:r>
      <w:r>
        <w:rPr>
          <w:rFonts w:ascii="Calibri" w:hAnsi="Calibri" w:eastAsia="Calibri"/>
          <w:b/>
          <w:i w:val="0"/>
          <w:color w:val="004C93"/>
          <w:sz w:val="24"/>
        </w:rPr>
        <w:t xml:space="preserve">De quel type d’assurance s’agit-il ? </w:t>
      </w:r>
    </w:p>
    <w:p>
      <w:pPr>
        <w:autoSpaceDN w:val="0"/>
        <w:autoSpaceDE w:val="0"/>
        <w:widowControl/>
        <w:spacing w:line="245" w:lineRule="auto" w:before="42" w:after="40"/>
        <w:ind w:left="164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Ce produit est destiné à garantir le remboursement de tout ou partie du prêt à la banque, en lieu et place de l’emprunteur, en cas de décès, 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d’incapacité ou d’invalidité de l’emprunteur suite à une maladie ou un accident. Le montant des cotisations d’assurance est identique pendant </w:t>
      </w:r>
    </w:p>
    <w:p>
      <w:pPr>
        <w:sectPr>
          <w:pgSz w:w="11906" w:h="16838"/>
          <w:pgMar w:top="282" w:right="304" w:bottom="452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16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toute la durée du prêt.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0000000000007" w:type="dxa"/>
      </w:tblPr>
      <w:tblGrid>
        <w:gridCol w:w="10978"/>
      </w:tblGrid>
      <w:tr>
        <w:trPr>
          <w:trHeight w:hRule="exact" w:val="11500"/>
        </w:trPr>
        <w:tc>
          <w:tcPr>
            <w:tcW w:type="dxa" w:w="5312"/>
            <w:tcBorders>
              <w:start w:sz="16.0" w:val="single" w:color="#004B92"/>
              <w:top w:sz="16.0" w:val="single" w:color="#004B92"/>
              <w:end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3230" cy="4495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" cy="449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Qu’est-ce qui est assuré ?</w:t>
            </w:r>
          </w:p>
          <w:p>
            <w:pPr>
              <w:autoSpaceDN w:val="0"/>
              <w:autoSpaceDE w:val="0"/>
              <w:widowControl/>
              <w:spacing w:line="245" w:lineRule="auto" w:before="260" w:after="0"/>
              <w:ind w:left="1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montants garantis sont déterminés à partir du montant du capital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emprunté et de la quotité choisie. </w:t>
            </w:r>
          </w:p>
          <w:p>
            <w:pPr>
              <w:autoSpaceDN w:val="0"/>
              <w:autoSpaceDE w:val="0"/>
              <w:widowControl/>
              <w:spacing w:line="245" w:lineRule="auto" w:before="42" w:after="0"/>
              <w:ind w:left="1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L’accès à certaines garanties et les montants assurables dépendent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du lieu de résidence de l’emprunteur, de son âge et/ou de son statut. </w:t>
            </w:r>
          </w:p>
          <w:p>
            <w:pPr>
              <w:autoSpaceDN w:val="0"/>
              <w:tabs>
                <w:tab w:pos="370" w:val="left"/>
                <w:tab w:pos="730" w:val="left"/>
              </w:tabs>
              <w:autoSpaceDE w:val="0"/>
              <w:widowControl/>
              <w:spacing w:line="245" w:lineRule="auto" w:before="260" w:after="0"/>
              <w:ind w:left="15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LES GARANTIES SYSTEMATIQUEMENT PREVUES 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B050"/>
                <w:sz w:val="24"/>
              </w:rPr>
              <w:t>✓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Décès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: versement du capital restant dû à la banque au jour </w:t>
            </w:r>
            <w:r>
              <w:tab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du décès. </w:t>
            </w:r>
          </w:p>
          <w:p>
            <w:pPr>
              <w:autoSpaceDN w:val="0"/>
              <w:autoSpaceDE w:val="0"/>
              <w:widowControl/>
              <w:spacing w:line="245" w:lineRule="auto" w:before="4" w:after="0"/>
              <w:ind w:left="288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B050"/>
                <w:sz w:val="24"/>
              </w:rPr>
              <w:t>✓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Perte Totale et Irréversible d’Autonomie (PTIA)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: versement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du capital restant dû à la banque au jour de l’invalidité. </w:t>
            </w:r>
          </w:p>
          <w:p>
            <w:pPr>
              <w:autoSpaceDN w:val="0"/>
              <w:tabs>
                <w:tab w:pos="370" w:val="left"/>
                <w:tab w:pos="730" w:val="left"/>
              </w:tabs>
              <w:autoSpaceDE w:val="0"/>
              <w:widowControl/>
              <w:spacing w:line="286" w:lineRule="auto" w:before="4" w:after="0"/>
              <w:ind w:left="152" w:right="0" w:firstLine="0"/>
              <w:jc w:val="left"/>
            </w:pP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B050"/>
                <w:sz w:val="24"/>
              </w:rPr>
              <w:t>✓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Capital assuré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: jusqu’à 15 000 000 euros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LES GARANTIES OPTIONNELLES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Incapacité Temporaire Totale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(ITT) : versement des </w:t>
            </w:r>
            <w:r>
              <w:tab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échéances à la banque en cas d’impossibilité d’exercer son </w:t>
            </w:r>
            <w:r>
              <w:tab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activité professionnelle jusqu’à 15 000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par mois. </w:t>
            </w:r>
          </w:p>
          <w:p>
            <w:pPr>
              <w:autoSpaceDN w:val="0"/>
              <w:autoSpaceDE w:val="0"/>
              <w:widowControl/>
              <w:spacing w:line="245" w:lineRule="auto" w:before="260" w:after="0"/>
              <w:ind w:left="730" w:right="50" w:firstLine="0"/>
              <w:jc w:val="both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Invalidité Permanente Totale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(IPT) : versement des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échéances à la banque en cas d’invalidité supérieure ou égale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à 66% jusqu’à 15 000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par mois. </w:t>
            </w:r>
          </w:p>
          <w:p>
            <w:pPr>
              <w:autoSpaceDN w:val="0"/>
              <w:autoSpaceDE w:val="0"/>
              <w:widowControl/>
              <w:spacing w:line="245" w:lineRule="auto" w:before="260" w:after="0"/>
              <w:ind w:left="730" w:right="50" w:firstLine="0"/>
              <w:jc w:val="both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Invalidité Permanente Partielle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(IPP) : versement d’une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fraction de ce qui est due en cas d’ITT en cas invalidité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comprise entre 33% et 65% jusqu’à 15 000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par mois. </w:t>
            </w:r>
          </w:p>
          <w:p>
            <w:pPr>
              <w:autoSpaceDN w:val="0"/>
              <w:autoSpaceDE w:val="0"/>
              <w:widowControl/>
              <w:spacing w:line="245" w:lineRule="auto" w:before="480" w:after="0"/>
              <w:ind w:left="730" w:right="50" w:firstLine="0"/>
              <w:jc w:val="both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Le rachat de la couverture des affections psychiatriques et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des atteintes dorsales sans condition d’hospitalisation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pour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garanties ITT, IPT et IPP. </w:t>
            </w:r>
          </w:p>
          <w:p>
            <w:pPr>
              <w:autoSpaceDN w:val="0"/>
              <w:autoSpaceDE w:val="0"/>
              <w:widowControl/>
              <w:spacing w:line="288" w:lineRule="auto" w:before="260" w:after="2"/>
              <w:ind w:left="152" w:right="0" w:firstLine="578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Le rachat des exclusions de pratiques sportives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niveaux de remboursement et la mise en jeu des garanties sont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détaillés dans la Notice d’information. Le bénéficiaire des prestations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est l’organisme prêteur.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5.99999999999994" w:type="dxa"/>
            </w:tblPr>
            <w:tblGrid>
              <w:gridCol w:w="1771"/>
              <w:gridCol w:w="1771"/>
              <w:gridCol w:w="1771"/>
            </w:tblGrid>
            <w:tr>
              <w:trPr>
                <w:trHeight w:hRule="exact" w:val="312"/>
              </w:trPr>
              <w:tc>
                <w:tcPr>
                  <w:tcW w:type="dxa" w:w="3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1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18"/>
                    </w:rPr>
                    <w:t xml:space="preserve">Les garanties précédées d’une coche </w:t>
                  </w:r>
                </w:p>
              </w:tc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58750" cy="1524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750" cy="152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1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18"/>
                    </w:rPr>
                    <w:t xml:space="preserve"> sont systématiquement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20" w:after="0"/>
              <w:ind w:left="15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18"/>
              </w:rPr>
              <w:t xml:space="preserve">prévues au contrat.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82" w:right="304" w:bottom="452" w:left="624" w:header="720" w:footer="720" w:gutter="0"/>
          <w:cols w:num="2" w:equalWidth="0">
            <w:col w:w="5376" w:space="0"/>
            <w:col w:w="56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10978"/>
      </w:tblGrid>
      <w:tr>
        <w:trPr>
          <w:trHeight w:hRule="exact" w:val="5396"/>
        </w:trPr>
        <w:tc>
          <w:tcPr>
            <w:tcW w:type="dxa" w:w="5502"/>
            <w:tcBorders>
              <w:start w:sz="16.0" w:val="single" w:color="#004B92"/>
              <w:top w:sz="16.0" w:val="single" w:color="#004B92"/>
              <w:end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9579" cy="4495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79" cy="449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Qu’est-ce qui n’est pas assuré ?</w:t>
            </w:r>
          </w:p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228" w:lineRule="auto" w:before="12" w:after="0"/>
              <w:ind w:left="2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FF0000"/>
                <w:sz w:val="18"/>
              </w:rPr>
              <w:t>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prêts dont le bien objet du financement est situé hors de </w:t>
            </w:r>
          </w:p>
          <w:p>
            <w:pPr>
              <w:autoSpaceDN w:val="0"/>
              <w:autoSpaceDE w:val="0"/>
              <w:widowControl/>
              <w:spacing w:line="197" w:lineRule="auto" w:before="72" w:after="0"/>
              <w:ind w:left="6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France. </w:t>
            </w:r>
          </w:p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228" w:lineRule="auto" w:before="44" w:after="0"/>
              <w:ind w:left="2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FF0000"/>
                <w:sz w:val="18"/>
              </w:rPr>
              <w:t>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garanties optionnelles non souscrites, </w:t>
            </w:r>
          </w:p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226" w:lineRule="auto" w:before="48" w:after="0"/>
              <w:ind w:left="2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FF0000"/>
                <w:sz w:val="18"/>
              </w:rPr>
              <w:t>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prêts contractés dans une devise autre que l’euro ou le </w:t>
            </w:r>
          </w:p>
          <w:p>
            <w:pPr>
              <w:autoSpaceDN w:val="0"/>
              <w:autoSpaceDE w:val="0"/>
              <w:widowControl/>
              <w:spacing w:line="197" w:lineRule="auto" w:before="72" w:after="0"/>
              <w:ind w:left="6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franc suisse, </w:t>
            </w:r>
          </w:p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226" w:lineRule="auto" w:before="46" w:after="0"/>
              <w:ind w:left="2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FF0000"/>
                <w:sz w:val="18"/>
              </w:rPr>
              <w:t>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sinistres survenus en dehors de la période de garantie, </w:t>
            </w:r>
          </w:p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226" w:lineRule="auto" w:before="48" w:after="0"/>
              <w:ind w:left="2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FF0000"/>
                <w:sz w:val="18"/>
              </w:rPr>
              <w:t>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garanties refusées ou les exclusions de couverture </w:t>
            </w:r>
          </w:p>
          <w:p>
            <w:pPr>
              <w:autoSpaceDN w:val="0"/>
              <w:autoSpaceDE w:val="0"/>
              <w:widowControl/>
              <w:spacing w:line="197" w:lineRule="auto" w:before="72" w:after="0"/>
              <w:ind w:left="6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indiquées sur le certificat individuel d’assurance ou bon pour </w:t>
            </w:r>
          </w:p>
          <w:p>
            <w:pPr>
              <w:autoSpaceDN w:val="0"/>
              <w:autoSpaceDE w:val="0"/>
              <w:widowControl/>
              <w:spacing w:line="197" w:lineRule="auto" w:before="72" w:after="0"/>
              <w:ind w:left="6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accord, </w:t>
            </w:r>
          </w:p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226" w:lineRule="auto" w:before="46" w:after="0"/>
              <w:ind w:left="2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FF0000"/>
                <w:sz w:val="18"/>
              </w:rPr>
              <w:t>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La quotité du prêt non couvert par l’assurance. </w:t>
            </w:r>
          </w:p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226" w:lineRule="auto" w:before="48" w:after="0"/>
              <w:ind w:left="2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FF0000"/>
                <w:sz w:val="18"/>
              </w:rPr>
              <w:t>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La variation supérieure à 200 points de base des prêts à taux </w:t>
            </w:r>
          </w:p>
          <w:p>
            <w:pPr>
              <w:autoSpaceDN w:val="0"/>
              <w:autoSpaceDE w:val="0"/>
              <w:widowControl/>
              <w:spacing w:line="197" w:lineRule="auto" w:before="72" w:after="0"/>
              <w:ind w:left="6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variable. </w:t>
            </w:r>
          </w:p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228" w:lineRule="auto" w:before="46" w:after="0"/>
              <w:ind w:left="2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FF0000"/>
                <w:sz w:val="18"/>
              </w:rPr>
              <w:t>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maladies, accidents et infirmités constatées avant la Date </w:t>
            </w:r>
          </w:p>
          <w:p>
            <w:pPr>
              <w:autoSpaceDN w:val="0"/>
              <w:autoSpaceDE w:val="0"/>
              <w:widowControl/>
              <w:spacing w:line="197" w:lineRule="auto" w:before="74" w:after="0"/>
              <w:ind w:left="6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d’effet, si et seulement ils pouvaient et n’ont pas été déclarés </w:t>
            </w:r>
          </w:p>
          <w:p>
            <w:pPr>
              <w:autoSpaceDN w:val="0"/>
              <w:autoSpaceDE w:val="0"/>
              <w:widowControl/>
              <w:spacing w:line="197" w:lineRule="auto" w:before="72" w:after="0"/>
              <w:ind w:left="6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dans un questionnaire médical à l’adhésion </w:t>
            </w:r>
          </w:p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228" w:lineRule="auto" w:before="44" w:after="0"/>
              <w:ind w:left="2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FF0000"/>
                <w:sz w:val="18"/>
              </w:rPr>
              <w:t>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arrêts de travail en cours à la Date d’effet de l’adhésion </w:t>
            </w:r>
          </w:p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228" w:lineRule="auto" w:before="44" w:after="0"/>
              <w:ind w:left="26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FF0000"/>
                <w:sz w:val="18"/>
              </w:rPr>
              <w:t>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prêts consommation, les prêts professionnels non </w:t>
            </w:r>
          </w:p>
          <w:p>
            <w:pPr>
              <w:autoSpaceDN w:val="0"/>
              <w:autoSpaceDE w:val="0"/>
              <w:widowControl/>
              <w:spacing w:line="197" w:lineRule="auto" w:before="74" w:after="0"/>
              <w:ind w:left="6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immobiliers, les prêts travaux non immobiliers. </w:t>
            </w:r>
          </w:p>
        </w:tc>
      </w:tr>
    </w:tbl>
    <w:p>
      <w:pPr>
        <w:autoSpaceDN w:val="0"/>
        <w:autoSpaceDE w:val="0"/>
        <w:widowControl/>
        <w:spacing w:line="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3.99999999999977" w:type="dxa"/>
      </w:tblPr>
      <w:tblGrid>
        <w:gridCol w:w="10978"/>
      </w:tblGrid>
      <w:tr>
        <w:trPr>
          <w:trHeight w:hRule="exact" w:val="6010"/>
        </w:trPr>
        <w:tc>
          <w:tcPr>
            <w:tcW w:type="dxa" w:w="5518"/>
            <w:tcBorders>
              <w:start w:sz="16.0" w:val="single" w:color="#004B92"/>
              <w:top w:sz="16.0" w:val="single" w:color="#004B92"/>
              <w:end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27989" cy="44957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89" cy="4495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Y-a-t-il des exclusions à la couverture ?</w:t>
            </w:r>
          </w:p>
          <w:p>
            <w:pPr>
              <w:autoSpaceDN w:val="0"/>
              <w:tabs>
                <w:tab w:pos="26" w:val="left"/>
              </w:tabs>
              <w:autoSpaceDE w:val="0"/>
              <w:widowControl/>
              <w:spacing w:line="245" w:lineRule="auto" w:before="44" w:after="0"/>
              <w:ind w:left="0" w:right="28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  <w:u w:val="single"/>
              </w:rPr>
              <w:t>PRINCIPALES EXCLUSIONS :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Pour toutes les garanties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: Sont exclues les suites, rechutes ou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conséquences :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BF8F00"/>
                <w:sz w:val="18"/>
              </w:rPr>
              <w:t xml:space="preserve">!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 suicide au cours de la première année,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BF8F00"/>
                <w:sz w:val="18"/>
              </w:rPr>
              <w:t>!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Les actes intentionnels de l’assuré ou d’un bénéficiaire,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BF8F00"/>
                <w:sz w:val="18"/>
              </w:rPr>
              <w:t>!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Les maladies ou accidents antérieurs à la date d’adhésion et non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déclarée,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BF8F00"/>
                <w:sz w:val="18"/>
              </w:rPr>
              <w:t>!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Les sinistres survenus sous l’emprise de l’alcool ou l’usage de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stupéfiants,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BF8F00"/>
                <w:sz w:val="18"/>
              </w:rPr>
              <w:t xml:space="preserve">!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participations à des exhibitions, paris, tentative de record, </w:t>
            </w:r>
            <w:r>
              <w:rPr>
                <w:rFonts w:ascii="Calibri" w:hAnsi="Calibri" w:eastAsia="Calibri"/>
                <w:b/>
                <w:i w:val="0"/>
                <w:color w:val="BF8F00"/>
                <w:sz w:val="18"/>
              </w:rPr>
              <w:t>!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Les sports dits extrêmes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Pour les garanties ITT, IPT, IPP et PTIA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: Sont exclues les suites,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rechutes ou conséquences :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BF8F00"/>
                <w:sz w:val="18"/>
              </w:rPr>
              <w:t>!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Les séjours hospitaliers en cure, maison de repos, etc.</w:t>
            </w:r>
          </w:p>
          <w:p>
            <w:pPr>
              <w:autoSpaceDN w:val="0"/>
              <w:autoSpaceDE w:val="0"/>
              <w:widowControl/>
              <w:spacing w:line="245" w:lineRule="auto" w:before="38" w:after="0"/>
              <w:ind w:left="0" w:right="28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BF8F00"/>
                <w:sz w:val="18"/>
              </w:rPr>
              <w:t xml:space="preserve">!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La pratique sportive en tant que professionnel sauf dans le cadre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d’une activité professionnelle mentionnée sur la demande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d’adhésion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  <w:u w:val="single"/>
              </w:rPr>
              <w:t>PRINCIPALES RESTRICTIONS :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E36C0A"/>
                <w:sz w:val="18"/>
              </w:rPr>
              <w:t>!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Pour l’ITT, le versement des indemnités s’effectue après une période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de franchise de 30, 60, 90, 120 ou 180 jours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ou 90, 120, 180 jours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pour les contrats entrant dans le champ d’application de l’article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L.113-2-1 du code des assurances) au choix pour un assuré. Pendant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ce délai, l’assureur ne prend pas en charge les mensualités du prêt.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1906" w:h="16838"/>
          <w:pgMar w:top="282" w:right="304" w:bottom="452" w:left="624" w:header="720" w:footer="720" w:gutter="0"/>
          <w:cols w:num="2" w:equalWidth="0">
            <w:col w:w="5376" w:space="0"/>
            <w:col w:w="56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.00000000000004" w:type="dxa"/>
      </w:tblPr>
      <w:tblGrid>
        <w:gridCol w:w="10904"/>
      </w:tblGrid>
      <w:tr>
        <w:trPr>
          <w:trHeight w:hRule="exact" w:val="1184"/>
        </w:trPr>
        <w:tc>
          <w:tcPr>
            <w:tcW w:type="dxa" w:w="10748"/>
            <w:tcBorders>
              <w:start w:sz="16.0" w:val="single" w:color="#004B92"/>
              <w:top w:sz="16.0" w:val="single" w:color="#004B92"/>
              <w:end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41959" cy="43434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59" cy="4343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Où suis-je couvert ?</w:t>
            </w:r>
          </w:p>
          <w:p>
            <w:pPr>
              <w:autoSpaceDN w:val="0"/>
              <w:autoSpaceDE w:val="0"/>
              <w:widowControl/>
              <w:spacing w:line="238" w:lineRule="auto" w:before="56" w:after="0"/>
              <w:ind w:left="35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1F497D"/>
                <w:sz w:val="24"/>
              </w:rPr>
              <w:t>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Dans le monde entier </w:t>
            </w:r>
          </w:p>
        </w:tc>
      </w:tr>
    </w:tbl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3.99999999999999" w:type="dxa"/>
      </w:tblPr>
      <w:tblGrid>
        <w:gridCol w:w="10904"/>
      </w:tblGrid>
      <w:tr>
        <w:trPr>
          <w:trHeight w:hRule="exact" w:val="4600"/>
        </w:trPr>
        <w:tc>
          <w:tcPr>
            <w:tcW w:type="dxa" w:w="10750"/>
            <w:tcBorders>
              <w:start w:sz="16.0" w:val="single" w:color="#004B92"/>
              <w:top w:sz="16.0" w:val="single" w:color="#004B92"/>
              <w:end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26720" cy="44195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419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Quelles sont mes obligations ?</w:t>
            </w:r>
          </w:p>
          <w:p>
            <w:pPr>
              <w:autoSpaceDN w:val="0"/>
              <w:autoSpaceDE w:val="0"/>
              <w:widowControl/>
              <w:spacing w:line="197" w:lineRule="auto" w:before="90" w:after="0"/>
              <w:ind w:left="68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Sous peine nullité du contrat d’assurance ou de non garantie : </w:t>
            </w:r>
          </w:p>
          <w:p>
            <w:pPr>
              <w:autoSpaceDN w:val="0"/>
              <w:tabs>
                <w:tab w:pos="682" w:val="left"/>
                <w:tab w:pos="836" w:val="left"/>
              </w:tabs>
              <w:autoSpaceDE w:val="0"/>
              <w:widowControl/>
              <w:spacing w:line="252" w:lineRule="exact" w:before="0" w:after="0"/>
              <w:ind w:left="54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A la souscription du contrat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Répondre exactement aux questions posées par la Mutuelle, notamment dans le formulaire de déclaration du risque lui permettant </w:t>
            </w:r>
          </w:p>
          <w:p>
            <w:pPr>
              <w:autoSpaceDN w:val="0"/>
              <w:tabs>
                <w:tab w:pos="836" w:val="left"/>
              </w:tabs>
              <w:autoSpaceDE w:val="0"/>
              <w:widowControl/>
              <w:spacing w:line="252" w:lineRule="exact" w:before="2" w:after="0"/>
              <w:ind w:left="542" w:right="48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d’apprécier les risques qu’il prend en charge,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Fournir tous documents justificatifs demandés par la Mutuelle,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Régler la cotisation (ou fraction de cotisation) indiquée au contrat. </w:t>
            </w:r>
          </w:p>
          <w:p>
            <w:pPr>
              <w:autoSpaceDN w:val="0"/>
              <w:autoSpaceDE w:val="0"/>
              <w:widowControl/>
              <w:spacing w:line="197" w:lineRule="auto" w:before="74" w:after="0"/>
              <w:ind w:left="68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En cours de contrat </w:t>
            </w:r>
          </w:p>
          <w:p>
            <w:pPr>
              <w:autoSpaceDN w:val="0"/>
              <w:tabs>
                <w:tab w:pos="682" w:val="left"/>
                <w:tab w:pos="826" w:val="left"/>
              </w:tabs>
              <w:autoSpaceDE w:val="0"/>
              <w:widowControl/>
              <w:spacing w:line="252" w:lineRule="exact" w:before="2" w:after="0"/>
              <w:ind w:left="5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Déclarer 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toutes modifications des caractéristiques du prêt,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la cessation d’activité professionnelle pour mise en retraite,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toutes nouvelles pratiques ou modifications de la pratique de tout sport nécessitant l’usage d’un véhicule terrestre à moteur et/ou </w:t>
            </w:r>
          </w:p>
          <w:p>
            <w:pPr>
              <w:autoSpaceDN w:val="0"/>
              <w:autoSpaceDE w:val="0"/>
              <w:widowControl/>
              <w:spacing w:line="197" w:lineRule="auto" w:before="72" w:after="0"/>
              <w:ind w:left="8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de tout sport aérien (à voile, aile ou moteur). </w:t>
            </w:r>
          </w:p>
          <w:p>
            <w:pPr>
              <w:autoSpaceDN w:val="0"/>
              <w:tabs>
                <w:tab w:pos="682" w:val="left"/>
                <w:tab w:pos="826" w:val="left"/>
              </w:tabs>
              <w:autoSpaceDE w:val="0"/>
              <w:widowControl/>
              <w:spacing w:line="252" w:lineRule="exact" w:before="0" w:after="0"/>
              <w:ind w:left="54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En cas de sinistre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Déclarer tout sinistre de nature à mettre en jeu l’une des garanties dans les conditions et délais impartis et joindre tous documents </w:t>
            </w:r>
          </w:p>
          <w:p>
            <w:pPr>
              <w:autoSpaceDN w:val="0"/>
              <w:autoSpaceDE w:val="0"/>
              <w:widowControl/>
              <w:spacing w:line="197" w:lineRule="auto" w:before="74" w:after="0"/>
              <w:ind w:left="8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justificatifs nécessaires à l’indemnisation. </w:t>
            </w:r>
          </w:p>
        </w:tc>
      </w:tr>
    </w:tbl>
    <w:p>
      <w:pPr>
        <w:autoSpaceDN w:val="0"/>
        <w:autoSpaceDE w:val="0"/>
        <w:widowControl/>
        <w:spacing w:line="2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1.99999999999996" w:type="dxa"/>
      </w:tblPr>
      <w:tblGrid>
        <w:gridCol w:w="10904"/>
      </w:tblGrid>
      <w:tr>
        <w:trPr>
          <w:trHeight w:hRule="exact" w:val="1410"/>
        </w:trPr>
        <w:tc>
          <w:tcPr>
            <w:tcW w:type="dxa" w:w="10770"/>
            <w:tcBorders>
              <w:top w:sz="16.0" w:val="single" w:color="#004B92"/>
              <w:end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26720" cy="48005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800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 xml:space="preserve">Quand et comment </w:t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effec</w:t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tu</w:t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er</w:t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l</w:t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es p</w:t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a</w:t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i</w:t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em</w:t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>ents ?</w:t>
            </w:r>
          </w:p>
          <w:p>
            <w:pPr>
              <w:autoSpaceDN w:val="0"/>
              <w:autoSpaceDE w:val="0"/>
              <w:widowControl/>
              <w:spacing w:line="197" w:lineRule="auto" w:before="92" w:after="0"/>
              <w:ind w:left="7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cotisations sont payables d’avance annuellement, par prélèvement automatique. </w:t>
            </w:r>
          </w:p>
          <w:p>
            <w:pPr>
              <w:autoSpaceDN w:val="0"/>
              <w:autoSpaceDE w:val="0"/>
              <w:widowControl/>
              <w:spacing w:line="197" w:lineRule="auto" w:before="72" w:after="0"/>
              <w:ind w:left="7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Un paiement fractionné peut toutefois être accordé au choix (semestriel, trimestriel, mensuel). </w:t>
            </w:r>
          </w:p>
        </w:tc>
      </w:tr>
    </w:tbl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1.99999999999996" w:type="dxa"/>
      </w:tblPr>
      <w:tblGrid>
        <w:gridCol w:w="10904"/>
      </w:tblGrid>
      <w:tr>
        <w:trPr>
          <w:trHeight w:hRule="exact" w:val="4230"/>
        </w:trPr>
        <w:tc>
          <w:tcPr>
            <w:tcW w:type="dxa" w:w="10750"/>
            <w:tcBorders>
              <w:start w:sz="16.0" w:val="single" w:color="#004B92"/>
              <w:top w:sz="16.0" w:val="single" w:color="#004B92"/>
              <w:end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34340" cy="45085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50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F206C"/>
                <w:sz w:val="24"/>
              </w:rPr>
              <w:t xml:space="preserve">Quand commence la couverture et quand prend-elle fin ? </w:t>
            </w:r>
          </w:p>
          <w:p>
            <w:pPr>
              <w:autoSpaceDN w:val="0"/>
              <w:tabs>
                <w:tab w:pos="684" w:val="left"/>
              </w:tabs>
              <w:autoSpaceDE w:val="0"/>
              <w:widowControl/>
              <w:spacing w:line="245" w:lineRule="auto" w:before="92" w:after="0"/>
              <w:ind w:left="63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 Début du contrat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garanties prennent effet à la date mentionnée au certificat individuel d’adhésion et au plus tôt à la date de signature de l’offre de </w:t>
            </w:r>
          </w:p>
          <w:p>
            <w:pPr>
              <w:autoSpaceDN w:val="0"/>
              <w:autoSpaceDE w:val="0"/>
              <w:widowControl/>
              <w:spacing w:line="197" w:lineRule="auto" w:before="72" w:after="0"/>
              <w:ind w:left="6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prêt. Le contrat est conclu pour une durée d’un an et se renouvelle automatiquement d’année en année à sa date d’échéance principale </w:t>
            </w:r>
          </w:p>
          <w:p>
            <w:pPr>
              <w:autoSpaceDN w:val="0"/>
              <w:autoSpaceDE w:val="0"/>
              <w:widowControl/>
              <w:spacing w:line="197" w:lineRule="auto" w:before="76" w:after="0"/>
              <w:ind w:left="6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(le 31 décembre), sauf résiliation par l’une des parties dans les cas et conditions fixés au contrat. </w:t>
            </w:r>
          </w:p>
          <w:p>
            <w:pPr>
              <w:autoSpaceDN w:val="0"/>
              <w:autoSpaceDE w:val="0"/>
              <w:widowControl/>
              <w:spacing w:line="245" w:lineRule="auto" w:before="74" w:after="0"/>
              <w:ind w:left="68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Droit de renonciation au contrat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L’assuré dispose d’un déla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i d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c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at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d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jo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urs (hors prêts professionnels), avec accord de la banque, qui commence à courir à </w:t>
            </w:r>
          </w:p>
          <w:p>
            <w:pPr>
              <w:autoSpaceDN w:val="0"/>
              <w:autoSpaceDE w:val="0"/>
              <w:widowControl/>
              <w:spacing w:line="197" w:lineRule="auto" w:before="72" w:after="0"/>
              <w:ind w:left="6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compter de la date d’émission du certificat d’adhésion</w:t>
            </w:r>
          </w:p>
          <w:p>
            <w:pPr>
              <w:autoSpaceDN w:val="0"/>
              <w:tabs>
                <w:tab w:pos="684" w:val="left"/>
                <w:tab w:pos="828" w:val="left"/>
              </w:tabs>
              <w:autoSpaceDE w:val="0"/>
              <w:widowControl/>
              <w:spacing w:line="236" w:lineRule="exact" w:before="18" w:after="0"/>
              <w:ind w:left="54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Fin du contrat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garanties prennent fin notamment 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Au jour du 85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ème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anniversaire de l’assuré pour la garantie décès et pour les autres garanties, à son départ à la retraite et au jour du </w:t>
            </w:r>
          </w:p>
          <w:p>
            <w:pPr>
              <w:autoSpaceDN w:val="0"/>
              <w:autoSpaceDE w:val="0"/>
              <w:widowControl/>
              <w:spacing w:line="204" w:lineRule="auto" w:before="68" w:after="0"/>
              <w:ind w:left="8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70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2"/>
              </w:rPr>
              <w:t>ème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anniversaire (en cas de poursuite d’activité professionnelle). </w:t>
            </w:r>
          </w:p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52" w:lineRule="exact" w:before="0" w:after="0"/>
              <w:ind w:left="544" w:right="73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A la fin du prêt,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A la date de résiliation du contrat.</w:t>
            </w:r>
          </w:p>
        </w:tc>
      </w:tr>
    </w:tbl>
    <w:p>
      <w:pPr>
        <w:autoSpaceDN w:val="0"/>
        <w:autoSpaceDE w:val="0"/>
        <w:widowControl/>
        <w:spacing w:line="2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1.99999999999996" w:type="dxa"/>
      </w:tblPr>
      <w:tblGrid>
        <w:gridCol w:w="10904"/>
      </w:tblGrid>
      <w:tr>
        <w:trPr>
          <w:trHeight w:hRule="exact" w:val="2006"/>
        </w:trPr>
        <w:tc>
          <w:tcPr>
            <w:tcW w:type="dxa" w:w="10750"/>
            <w:tcBorders>
              <w:start w:sz="16.0" w:val="single" w:color="#004B92"/>
              <w:top w:sz="16.0" w:val="single" w:color="#004B92"/>
              <w:end w:sz="16.0" w:val="single" w:color="#004B92"/>
              <w:bottom w:sz="16.0" w:val="single" w:color="#004B92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7.99999999999997" w:type="dxa"/>
            </w:tblPr>
            <w:tblGrid>
              <w:gridCol w:w="5375"/>
              <w:gridCol w:w="5375"/>
            </w:tblGrid>
            <w:tr>
              <w:trPr>
                <w:trHeight w:hRule="exact" w:val="824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34340" cy="449579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340" cy="4495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9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78" w:after="0"/>
                    <w:ind w:left="222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F206C"/>
                      <w:sz w:val="24"/>
                    </w:rPr>
                    <w:t xml:space="preserve"> Comment puis-je résilier le contrat ?</w:t>
                  </w:r>
                </w:p>
                <w:p>
                  <w:pPr>
                    <w:autoSpaceDN w:val="0"/>
                    <w:autoSpaceDE w:val="0"/>
                    <w:widowControl/>
                    <w:spacing w:line="197" w:lineRule="auto" w:before="30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8"/>
                    </w:rPr>
                    <w:t xml:space="preserve"> La résiliation peut être demandée à la MNCAP, avec accord de la banque, par courrier ou tout autre support prévu à l’article L.221-10-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20" w:after="0"/>
              <w:ind w:left="6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3 du code de la mutualité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, à 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ou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m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om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38" w:lineRule="auto" w:before="1340" w:after="0"/>
        <w:ind w:left="0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16"/>
        </w:rPr>
        <w:t xml:space="preserve">20241015_IPID_MNCAPADE1021_VF </w:t>
      </w:r>
    </w:p>
    <w:sectPr w:rsidR="00FC693F" w:rsidRPr="0006063C" w:rsidSect="00034616">
      <w:pgSz w:w="11906" w:h="16838"/>
      <w:pgMar w:top="284" w:right="436" w:bottom="228" w:left="5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