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-946150</wp:posOffset>
            </wp:positionH>
            <wp:positionV relativeFrom="page">
              <wp:posOffset>-789940</wp:posOffset>
            </wp:positionV>
            <wp:extent cx="2874010" cy="285260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85260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340360</wp:posOffset>
            </wp:positionH>
            <wp:positionV relativeFrom="page">
              <wp:posOffset>3688079</wp:posOffset>
            </wp:positionV>
            <wp:extent cx="2219960" cy="1478448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147844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2758440</wp:posOffset>
            </wp:positionH>
            <wp:positionV relativeFrom="page">
              <wp:posOffset>3688079</wp:posOffset>
            </wp:positionV>
            <wp:extent cx="2125980" cy="1470775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4707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5080000</wp:posOffset>
            </wp:positionH>
            <wp:positionV relativeFrom="page">
              <wp:posOffset>3688079</wp:posOffset>
            </wp:positionV>
            <wp:extent cx="2052320" cy="1447619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14476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4838700</wp:posOffset>
            </wp:positionH>
            <wp:positionV relativeFrom="page">
              <wp:posOffset>2044700</wp:posOffset>
            </wp:positionV>
            <wp:extent cx="2527300" cy="5588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3023870</wp:posOffset>
            </wp:positionH>
            <wp:positionV relativeFrom="page">
              <wp:posOffset>633730</wp:posOffset>
            </wp:positionV>
            <wp:extent cx="627380" cy="186968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18696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3022600</wp:posOffset>
            </wp:positionH>
            <wp:positionV relativeFrom="page">
              <wp:posOffset>622300</wp:posOffset>
            </wp:positionV>
            <wp:extent cx="635000" cy="2032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60"/>
        <w:ind w:left="0" w:right="2680" w:firstLine="0"/>
        <w:jc w:val="right"/>
      </w:pPr>
      <w:r>
        <w:rPr>
          <w:rFonts w:ascii="Open Sans" w:hAnsi="Open Sans" w:eastAsia="Open Sans"/>
          <w:b/>
          <w:i w:val="0"/>
          <w:color w:val="759AAB"/>
          <w:sz w:val="20"/>
        </w:rPr>
        <w:t xml:space="preserve">FICHE PRODUIT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3.99999999999999" w:type="dxa"/>
      </w:tblPr>
      <w:tblGrid>
        <w:gridCol w:w="11378"/>
      </w:tblGrid>
      <w:tr>
        <w:trPr>
          <w:trHeight w:hRule="exact" w:val="1200"/>
        </w:trPr>
        <w:tc>
          <w:tcPr>
            <w:tcW w:type="dxa" w:w="8562"/>
            <w:tcBorders>
              <w:start w:sz="12.0" w:val="single" w:color="#E42D45"/>
              <w:top w:sz="12.0" w:val="single" w:color="#E42D45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234" w:right="144" w:hanging="14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40"/>
              </w:rPr>
              <w:t xml:space="preserve">Generali ADE 7350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by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L’alternative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32"/>
              </w:rPr>
              <w:t>+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 économique et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32"/>
              </w:rPr>
              <w:t>+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 sécurisante face aux contrats bancaires </w:t>
            </w:r>
          </w:p>
        </w:tc>
      </w:tr>
    </w:tbl>
    <w:p>
      <w:pPr>
        <w:autoSpaceDN w:val="0"/>
        <w:autoSpaceDE w:val="0"/>
        <w:widowControl/>
        <w:spacing w:line="230" w:lineRule="auto" w:before="500" w:after="52"/>
        <w:ind w:left="436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Pourquoi choisir Generali ADE 7350 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6.0" w:type="dxa"/>
      </w:tblPr>
      <w:tblGrid>
        <w:gridCol w:w="3793"/>
        <w:gridCol w:w="3793"/>
        <w:gridCol w:w="3793"/>
      </w:tblGrid>
      <w:tr>
        <w:trPr>
          <w:trHeight w:hRule="exact" w:val="298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11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14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Reprise Hamon / Bourquin : seulement 2 questions déclaratives </w:t>
            </w:r>
          </w:p>
        </w:tc>
        <w:tc>
          <w:tcPr>
            <w:tcW w:type="dxa" w:w="3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56" w:after="0"/>
              <w:ind w:left="46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1"/>
              </w:rPr>
              <w:t xml:space="preserve">Aucun questionnaire de santé </w:t>
            </w:r>
          </w:p>
        </w:tc>
      </w:tr>
      <w:tr>
        <w:trPr>
          <w:trHeight w:hRule="exact" w:val="324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4" w:after="0"/>
              <w:ind w:left="0" w:right="11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14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dans la demande d’adhésion </w:t>
            </w:r>
          </w:p>
        </w:tc>
        <w:tc>
          <w:tcPr>
            <w:tcW w:type="dxa" w:w="3793"/>
            <w:vMerge/>
            <w:tcBorders/>
          </w:tcPr>
          <w:p/>
        </w:tc>
      </w:tr>
      <w:tr>
        <w:trPr>
          <w:trHeight w:hRule="exact" w:val="275"/>
        </w:trPr>
        <w:tc>
          <w:tcPr>
            <w:tcW w:type="dxa" w:w="3793"/>
            <w:vMerge/>
            <w:tcBorders/>
          </w:tcPr>
          <w:p/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4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Invalidité Permanente Totale : au choix au moment du sinistre, </w:t>
            </w:r>
          </w:p>
        </w:tc>
        <w:tc>
          <w:tcPr>
            <w:tcW w:type="dxa" w:w="3793"/>
            <w:vMerge/>
            <w:tcBorders/>
          </w:tcPr>
          <w:p/>
        </w:tc>
      </w:tr>
      <w:tr>
        <w:trPr>
          <w:trHeight w:hRule="exact" w:val="315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4" w:after="0"/>
              <w:ind w:left="0" w:right="11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4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remboursement sous forme de rente ou de capital </w:t>
            </w:r>
          </w:p>
        </w:tc>
        <w:tc>
          <w:tcPr>
            <w:tcW w:type="dxa" w:w="3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4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1"/>
              </w:rPr>
              <w:t xml:space="preserve">pour les prêts &lt; à 200 000 € * </w:t>
            </w:r>
          </w:p>
        </w:tc>
      </w:tr>
      <w:tr>
        <w:trPr>
          <w:trHeight w:hRule="exact" w:val="246"/>
        </w:trPr>
        <w:tc>
          <w:tcPr>
            <w:tcW w:type="dxa" w:w="3793"/>
            <w:vMerge/>
            <w:tcBorders/>
          </w:tcPr>
          <w:p/>
        </w:tc>
        <w:tc>
          <w:tcPr>
            <w:tcW w:type="dxa" w:w="6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4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Irrévocabilité des garanties et des cotisations </w:t>
            </w:r>
          </w:p>
        </w:tc>
        <w:tc>
          <w:tcPr>
            <w:tcW w:type="dxa" w:w="3793"/>
            <w:vMerge/>
            <w:tcBorders/>
          </w:tcPr>
          <w:p/>
        </w:tc>
      </w:tr>
      <w:tr>
        <w:trPr>
          <w:trHeight w:hRule="exact" w:val="49"/>
        </w:trPr>
        <w:tc>
          <w:tcPr>
            <w:tcW w:type="dxa" w:w="3793"/>
            <w:vMerge/>
            <w:tcBorders/>
          </w:tcPr>
          <w:p/>
        </w:tc>
        <w:tc>
          <w:tcPr>
            <w:tcW w:type="dxa" w:w="3793"/>
            <w:vMerge/>
            <w:tcBorders/>
          </w:tcPr>
          <w:p/>
        </w:tc>
        <w:tc>
          <w:tcPr>
            <w:tcW w:type="dxa" w:w="3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7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4"/>
              </w:rPr>
              <w:t xml:space="preserve">* avec un terme antérieur aux 60 ans de l’emprunteur </w:t>
            </w:r>
          </w:p>
        </w:tc>
      </w:tr>
      <w:tr>
        <w:trPr>
          <w:trHeight w:hRule="exact" w:val="111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6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3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Mi-temps thérapeutique en inclusion </w:t>
            </w:r>
          </w:p>
        </w:tc>
        <w:tc>
          <w:tcPr>
            <w:tcW w:type="dxa" w:w="3793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793"/>
            <w:vMerge/>
            <w:tcBorders/>
          </w:tcPr>
          <w:p/>
        </w:tc>
        <w:tc>
          <w:tcPr>
            <w:tcW w:type="dxa" w:w="3793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7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4"/>
              </w:rPr>
              <w:t xml:space="preserve">et tenant compte de l’encours assuré des autres crédits </w:t>
            </w:r>
          </w:p>
        </w:tc>
      </w:tr>
    </w:tbl>
    <w:p>
      <w:pPr>
        <w:autoSpaceDN w:val="0"/>
        <w:autoSpaceDE w:val="0"/>
        <w:widowControl/>
        <w:spacing w:line="247" w:lineRule="auto" w:before="300" w:after="146"/>
        <w:ind w:left="436" w:right="5472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En un clin d’œil </w:t>
      </w:r>
      <w:r>
        <w:br/>
      </w:r>
      <w:r>
        <w:rPr>
          <w:rFonts w:ascii="Open Sans" w:hAnsi="Open Sans" w:eastAsia="Open Sans"/>
          <w:b/>
          <w:i w:val="0"/>
          <w:color w:val="002337"/>
          <w:sz w:val="20"/>
        </w:rPr>
        <w:t>Produit géré par Multi-Impact et assuré par Generali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896"/>
        <w:gridCol w:w="1896"/>
        <w:gridCol w:w="1896"/>
        <w:gridCol w:w="1896"/>
        <w:gridCol w:w="1896"/>
        <w:gridCol w:w="1896"/>
      </w:tblGrid>
      <w:tr>
        <w:trPr>
          <w:trHeight w:hRule="exact" w:val="334"/>
        </w:trPr>
        <w:tc>
          <w:tcPr>
            <w:tcW w:type="dxa" w:w="3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1316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1"/>
              </w:rPr>
              <w:t xml:space="preserve">Pour vous </w:t>
            </w:r>
          </w:p>
        </w:tc>
        <w:tc>
          <w:tcPr>
            <w:tcW w:type="dxa" w:w="546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6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37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Pour votre client </w:t>
            </w:r>
          </w:p>
        </w:tc>
        <w:tc>
          <w:tcPr>
            <w:tcW w:type="dxa" w:w="5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0" w:after="0"/>
              <w:ind w:left="0" w:right="8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0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10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Formalités médicales </w:t>
            </w:r>
          </w:p>
        </w:tc>
      </w:tr>
      <w:tr>
        <w:trPr>
          <w:trHeight w:hRule="exact" w:val="340"/>
        </w:trPr>
        <w:tc>
          <w:tcPr>
            <w:tcW w:type="dxa" w:w="1896"/>
            <w:vMerge/>
            <w:tcBorders/>
          </w:tcPr>
          <w:p/>
        </w:tc>
        <w:tc>
          <w:tcPr>
            <w:tcW w:type="dxa" w:w="3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Différents modes de </w:t>
            </w:r>
          </w:p>
        </w:tc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3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Parcours de souscription en </w:t>
            </w:r>
          </w:p>
        </w:tc>
        <w:tc>
          <w:tcPr>
            <w:tcW w:type="dxa" w:w="1896"/>
            <w:vMerge/>
            <w:tcBorders/>
          </w:tcPr>
          <w:p/>
        </w:tc>
        <w:tc>
          <w:tcPr>
            <w:tcW w:type="dxa" w:w="30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Questionnaire de santé </w:t>
            </w:r>
          </w:p>
        </w:tc>
      </w:tr>
      <w:tr>
        <w:trPr>
          <w:trHeight w:hRule="exact" w:val="317"/>
        </w:trPr>
        <w:tc>
          <w:tcPr>
            <w:tcW w:type="dxa" w:w="386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commissions </w:t>
            </w:r>
          </w:p>
        </w:tc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3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ligne y compris la sélection </w:t>
            </w:r>
          </w:p>
        </w:tc>
        <w:tc>
          <w:tcPr>
            <w:tcW w:type="dxa" w:w="508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8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0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jusqu’à 45 ans et 600 000 € </w:t>
            </w:r>
          </w:p>
        </w:tc>
      </w:tr>
      <w:tr>
        <w:trPr>
          <w:trHeight w:hRule="exact" w:val="256"/>
        </w:trPr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3274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Frais de courtage </w:t>
            </w:r>
          </w:p>
        </w:tc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3112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médicale </w:t>
            </w:r>
          </w:p>
        </w:tc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3030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Partenariats avec les </w:t>
            </w:r>
          </w:p>
        </w:tc>
      </w:tr>
      <w:tr>
        <w:trPr>
          <w:trHeight w:hRule="exact" w:val="51"/>
        </w:trPr>
        <w:tc>
          <w:tcPr>
            <w:tcW w:type="dxa" w:w="386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74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6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112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Prise en charge des </w:t>
            </w:r>
          </w:p>
        </w:tc>
        <w:tc>
          <w:tcPr>
            <w:tcW w:type="dxa" w:w="508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30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5"/>
        </w:trPr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intégralement reversés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0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centres de santé ARM, BSV </w:t>
            </w:r>
          </w:p>
        </w:tc>
      </w:tr>
      <w:tr>
        <w:trPr>
          <w:trHeight w:hRule="exact" w:val="300"/>
        </w:trPr>
        <w:tc>
          <w:tcPr>
            <w:tcW w:type="dxa" w:w="3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0" w:after="0"/>
              <w:ind w:left="0" w:right="10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jusqu’à 500 € par assuré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démarches administratives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0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et ABCOS-CIVEM-CBSA </w:t>
            </w:r>
          </w:p>
        </w:tc>
      </w:tr>
      <w:tr>
        <w:trPr>
          <w:trHeight w:hRule="exact" w:val="271"/>
        </w:trPr>
        <w:tc>
          <w:tcPr>
            <w:tcW w:type="dxa" w:w="1896"/>
            <w:vMerge/>
            <w:tcBorders/>
          </w:tcPr>
          <w:p/>
        </w:tc>
        <w:tc>
          <w:tcPr>
            <w:tcW w:type="dxa" w:w="3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5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Gestion VIP automatique pour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en cas de reprise Hamon /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1896"/>
            <w:vMerge/>
            <w:tcBorders/>
          </w:tcPr>
          <w:p/>
        </w:tc>
      </w:tr>
      <w:tr>
        <w:trPr>
          <w:trHeight w:hRule="exact" w:val="327"/>
        </w:trPr>
        <w:tc>
          <w:tcPr>
            <w:tcW w:type="dxa" w:w="1896"/>
            <w:vMerge/>
            <w:tcBorders/>
          </w:tcPr>
          <w:p/>
        </w:tc>
        <w:tc>
          <w:tcPr>
            <w:tcW w:type="dxa" w:w="3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34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les dossiers dès 600 000 €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Bourquin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18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14" w:after="160"/>
        <w:ind w:left="436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Process Hamon / Bourquin ultra allégé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793"/>
        <w:gridCol w:w="3793"/>
        <w:gridCol w:w="3793"/>
      </w:tblGrid>
      <w:tr>
        <w:trPr>
          <w:trHeight w:hRule="exact" w:val="502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Conditions </w:t>
            </w:r>
          </w:p>
        </w:tc>
        <w:tc>
          <w:tcPr>
            <w:tcW w:type="dxa" w:w="4538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Être âgé de moins de 50 ans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28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Prêts de moins de 5 ans </w:t>
            </w:r>
          </w:p>
        </w:tc>
        <w:tc>
          <w:tcPr>
            <w:tcW w:type="dxa" w:w="4536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30" w:lineRule="auto" w:before="0" w:after="0"/>
              <w:ind w:left="46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Capitaux compris entre 17 000 et 500 000 € </w:t>
            </w:r>
          </w:p>
        </w:tc>
      </w:tr>
      <w:tr>
        <w:trPr>
          <w:trHeight w:hRule="exact" w:val="1480"/>
        </w:trPr>
        <w:tc>
          <w:tcPr>
            <w:tcW w:type="dxa" w:w="2270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1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Questions </w:t>
            </w:r>
          </w:p>
        </w:tc>
        <w:tc>
          <w:tcPr>
            <w:tcW w:type="dxa" w:w="9074"/>
            <w:gridSpan w:val="2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L’assuré certifie dans la demande d’adhésion remplir les 2 conditions suivantes :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8" w:after="0"/>
              <w:ind w:left="42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2337"/>
                <w:sz w:val="18"/>
              </w:rPr>
              <w:t>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Je déclare que l’assurance initialement mise en place pour le ou les prêts à reprendre n’a pas fait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l’objet de surprimes, exclusions ou restrictions pour raison de santé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8" w:after="0"/>
              <w:ind w:left="42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2337"/>
                <w:sz w:val="18"/>
              </w:rPr>
              <w:t>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Je déclare ne pas être actuellement et ne pas avoir été au cours des 5 dernières années : en arrêt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travail (même partiel) ou sous traitement ou surveillance médicale pendant plus de 21 jours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consécutifs 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436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Garanties </w:t>
      </w:r>
    </w:p>
    <w:p>
      <w:pPr>
        <w:autoSpaceDN w:val="0"/>
        <w:autoSpaceDE w:val="0"/>
        <w:widowControl/>
        <w:spacing w:line="245" w:lineRule="auto" w:before="100" w:after="134"/>
        <w:ind w:left="436" w:right="432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tant que distributeur de produits d’assurance, vous devez proposer des produits qui sont cohérents avec les exigences et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besoins du souscripteur éventuel ou de l’adhérent éventuel.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21" w:type="dxa"/>
      </w:tblPr>
      <w:tblGrid>
        <w:gridCol w:w="2844"/>
        <w:gridCol w:w="2844"/>
        <w:gridCol w:w="2844"/>
        <w:gridCol w:w="2844"/>
      </w:tblGrid>
      <w:tr>
        <w:trPr>
          <w:trHeight w:hRule="exact" w:val="502"/>
        </w:trPr>
        <w:tc>
          <w:tcPr>
            <w:tcW w:type="dxa" w:w="2270"/>
            <w:tcBorders>
              <w:end w:sz="3.9999999999998863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Description </w:t>
            </w:r>
          </w:p>
        </w:tc>
        <w:tc>
          <w:tcPr>
            <w:tcW w:type="dxa" w:w="233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76" w:right="576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Âge limite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à l’adhésion </w:t>
            </w:r>
          </w:p>
        </w:tc>
        <w:tc>
          <w:tcPr>
            <w:tcW w:type="dxa" w:w="191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Âge limite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à l’indemnisation</w:t>
            </w:r>
          </w:p>
        </w:tc>
      </w:tr>
      <w:tr>
        <w:trPr>
          <w:trHeight w:hRule="exact" w:val="746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Décès Perte Totale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et Irréversible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d’Autonomie (PTIA)</w:t>
            </w:r>
          </w:p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du capital restant dû au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jour du décès ou de la PTIA dans la limite de la quotité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souscrite </w:t>
            </w:r>
          </w:p>
        </w:tc>
        <w:tc>
          <w:tcPr>
            <w:tcW w:type="dxa" w:w="233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Si Décès seul : 80 ans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/ PTIA : 66 ans </w:t>
            </w:r>
          </w:p>
        </w:tc>
        <w:tc>
          <w:tcPr>
            <w:tcW w:type="dxa" w:w="191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: jusqu’au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85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PTIA : 70 ans </w:t>
            </w:r>
          </w:p>
        </w:tc>
      </w:tr>
      <w:tr>
        <w:trPr>
          <w:trHeight w:hRule="exact" w:val="746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Incapacité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Temporaire Totale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(ITT)</w:t>
            </w:r>
          </w:p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des échéances de prêt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dans la limite de la quotité souscrite </w:t>
            </w:r>
          </w:p>
        </w:tc>
        <w:tc>
          <w:tcPr>
            <w:tcW w:type="dxa" w:w="2336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66 ans </w:t>
            </w:r>
          </w:p>
        </w:tc>
        <w:tc>
          <w:tcPr>
            <w:tcW w:type="dxa" w:w="1914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70 ans </w:t>
            </w:r>
          </w:p>
        </w:tc>
      </w:tr>
      <w:tr>
        <w:trPr>
          <w:trHeight w:hRule="exact" w:val="744"/>
        </w:trPr>
        <w:tc>
          <w:tcPr>
            <w:tcW w:type="dxa" w:w="2270"/>
            <w:tcBorders>
              <w:start w:sz="3.200000000000003" w:val="single" w:color="#AEC5CF"/>
              <w:top w:sz="3.199999999999818" w:val="single" w:color="#AEC5CF"/>
              <w:end w:sz="3.9999999999998863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Invalidité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Permanente Totale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(IP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T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) </w:t>
            </w:r>
          </w:p>
        </w:tc>
        <w:tc>
          <w:tcPr>
            <w:tcW w:type="dxa" w:w="4824"/>
            <w:tcBorders>
              <w:start w:sz="3.9999999999998863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Au choix au moment du sinistre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remboursement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 prêteur du capital restant dû ou des échéances de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prêt dans la limite de la quotité souscrite </w:t>
            </w:r>
          </w:p>
        </w:tc>
        <w:tc>
          <w:tcPr>
            <w:tcW w:type="dxa" w:w="2336"/>
            <w:tcBorders>
              <w:start w:sz="4.0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66 ans </w:t>
            </w:r>
          </w:p>
        </w:tc>
        <w:tc>
          <w:tcPr>
            <w:tcW w:type="dxa" w:w="1914"/>
            <w:tcBorders>
              <w:start w:sz="4.0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70 ans </w:t>
            </w:r>
          </w:p>
        </w:tc>
      </w:tr>
      <w:tr>
        <w:trPr>
          <w:trHeight w:hRule="exact" w:val="746"/>
        </w:trPr>
        <w:tc>
          <w:tcPr>
            <w:tcW w:type="dxa" w:w="2270"/>
            <w:tcBorders>
              <w:start w:sz="3.200000000000003" w:val="single" w:color="#AEC5CF"/>
              <w:top w:sz="3.199999999999818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86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Invalidité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Permanente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Pa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r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tielle (IPP) </w:t>
            </w:r>
          </w:p>
        </w:tc>
        <w:tc>
          <w:tcPr>
            <w:tcW w:type="dxa" w:w="4824"/>
            <w:vMerge w:val="restart"/>
            <w:tcBorders>
              <w:start w:sz="3.200000000000003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45" w:lineRule="auto" w:before="0" w:after="0"/>
              <w:ind w:left="0" w:right="0" w:firstLine="0"/>
              <w:jc w:val="left"/>
            </w:pP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 (N-33)/33 des </w:t>
            </w:r>
            <w:r>
              <w:br/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échéances dues dans la limite de la quotité souscrite </w:t>
            </w:r>
            <w:r>
              <w:tab/>
            </w:r>
            <w:r>
              <w:rPr>
                <w:rFonts w:ascii="Open Sans" w:hAnsi="Open Sans" w:eastAsia="Open Sans"/>
                <w:b w:val="0"/>
                <w:i/>
                <w:color w:val="002337"/>
                <w:sz w:val="18"/>
              </w:rPr>
              <w:t xml:space="preserve">N étant le taux d’incapacité reconnu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roduit vous pouvez vous référer au Document d’Information nor</w:t>
            </w:r>
          </w:p>
        </w:tc>
        <w:tc>
          <w:tcPr>
            <w:tcW w:type="dxa" w:w="2336"/>
            <w:vMerge w:val="restart"/>
            <w:tcBorders>
              <w:start w:sz="3.200000000000003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367" w:lineRule="auto" w:before="248" w:after="0"/>
              <w:ind w:left="0" w:right="0" w:firstLine="0"/>
              <w:jc w:val="left"/>
            </w:pP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66 ans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malisé sur le Produit (DIP) ou à l</w:t>
            </w:r>
          </w:p>
        </w:tc>
        <w:tc>
          <w:tcPr>
            <w:tcW w:type="dxa" w:w="1914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70 ans </w:t>
            </w:r>
          </w:p>
        </w:tc>
      </w:tr>
      <w:tr>
        <w:trPr>
          <w:trHeight w:hRule="exact" w:val="228"/>
        </w:trPr>
        <w:tc>
          <w:tcPr>
            <w:tcW w:type="dxa" w:w="11344"/>
            <w:gridSpan w:val="4"/>
            <w:tcBorders>
              <w:start w:sz="3.200000000000003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Pour plus de détails sur le p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roduit vous pouvez vous référer au Document d’Information nor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malisé sur le Produit (DIP) ou à l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a notice d’informations</w:t>
            </w:r>
          </w:p>
        </w:tc>
      </w:tr>
    </w:tbl>
    <w:p>
      <w:pPr>
        <w:autoSpaceDN w:val="0"/>
        <w:autoSpaceDE w:val="0"/>
        <w:widowControl/>
        <w:spacing w:line="228" w:lineRule="auto" w:before="164" w:after="0"/>
        <w:ind w:left="0" w:right="426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1 / 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5689"/>
        <w:gridCol w:w="5689"/>
      </w:tblGrid>
      <w:tr>
        <w:trPr>
          <w:trHeight w:hRule="exact" w:val="52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Philip,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0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60" w:right="244" w:bottom="88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152400</wp:posOffset>
            </wp:positionH>
            <wp:positionV relativeFrom="page">
              <wp:posOffset>1498600</wp:posOffset>
            </wp:positionV>
            <wp:extent cx="7226300" cy="17145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1714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Marché cible </w:t>
      </w:r>
    </w:p>
    <w:p>
      <w:pPr>
        <w:autoSpaceDN w:val="0"/>
        <w:autoSpaceDE w:val="0"/>
        <w:widowControl/>
        <w:spacing w:line="228" w:lineRule="auto" w:before="42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Toute personne physique ou morale en cours de souscription d’un prêt ou ayant déjà souscrit un prêt, le besoin d’assurance </w:t>
      </w:r>
    </w:p>
    <w:p>
      <w:pPr>
        <w:autoSpaceDN w:val="0"/>
        <w:autoSpaceDE w:val="0"/>
        <w:widowControl/>
        <w:spacing w:line="228" w:lineRule="auto" w:before="3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pour couvrir le nouveau prêt ou celui déjà existant (reprise Hamon / Bourquin) devant répondre aux limites fixées dans la </w:t>
      </w:r>
    </w:p>
    <w:p>
      <w:pPr>
        <w:autoSpaceDN w:val="0"/>
        <w:autoSpaceDE w:val="0"/>
        <w:widowControl/>
        <w:spacing w:line="230" w:lineRule="auto" w:before="32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notice d’information du produit. </w:t>
      </w:r>
    </w:p>
    <w:p>
      <w:pPr>
        <w:autoSpaceDN w:val="0"/>
        <w:autoSpaceDE w:val="0"/>
        <w:widowControl/>
        <w:spacing w:line="230" w:lineRule="auto" w:before="88" w:after="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759AAB"/>
          <w:sz w:val="18"/>
        </w:rPr>
        <w:t>Cœur de cible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ouvrier et profession du transport </w:t>
      </w:r>
    </w:p>
    <w:p>
      <w:pPr>
        <w:autoSpaceDN w:val="0"/>
        <w:autoSpaceDE w:val="0"/>
        <w:widowControl/>
        <w:spacing w:line="230" w:lineRule="auto" w:before="270" w:after="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 Aucun questionnaire de santé pour les prêts &lt; à 200 000 € (Loi Lemoine) </w:t>
      </w:r>
    </w:p>
    <w:p>
      <w:pPr>
        <w:autoSpaceDN w:val="0"/>
        <w:autoSpaceDE w:val="0"/>
        <w:widowControl/>
        <w:spacing w:line="230" w:lineRule="auto" w:before="100" w:after="0"/>
        <w:ind w:left="0" w:right="0" w:firstLine="0"/>
        <w:jc w:val="center"/>
      </w:pPr>
      <w:r>
        <w:rPr>
          <w:rFonts w:ascii="Open Sans" w:hAnsi="Open Sans" w:eastAsia="Open Sans"/>
          <w:b/>
          <w:i w:val="0"/>
          <w:color w:val="002337"/>
          <w:sz w:val="18"/>
        </w:rPr>
        <w:t>Loi Lemoine · Nouveauté Juin 2022 :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Suppression du questionnaire de santé pour les prêts dont le montant assuré est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inférieur à 200 000 € par assuré (en tenant compte de l’encours assuré de l’ensemble des contrats de crédit) et dont l’échéance </w:t>
      </w:r>
    </w:p>
    <w:p>
      <w:pPr>
        <w:autoSpaceDN w:val="0"/>
        <w:autoSpaceDE w:val="0"/>
        <w:widowControl/>
        <w:spacing w:line="230" w:lineRule="auto" w:before="12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>du prêt arrive avant le 60</w:t>
      </w:r>
      <w:r>
        <w:rPr>
          <w:rFonts w:ascii="Open Sans" w:hAnsi="Open Sans" w:eastAsia="Open Sans"/>
          <w:b w:val="0"/>
          <w:i w:val="0"/>
          <w:color w:val="002337"/>
          <w:sz w:val="12"/>
        </w:rPr>
        <w:t>ème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anniversaire de l'assuré. </w:t>
      </w:r>
    </w:p>
    <w:p>
      <w:pPr>
        <w:autoSpaceDN w:val="0"/>
        <w:tabs>
          <w:tab w:pos="5810" w:val="left"/>
        </w:tabs>
        <w:autoSpaceDE w:val="0"/>
        <w:widowControl/>
        <w:spacing w:line="228" w:lineRule="auto" w:before="50" w:after="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Conditions : 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Indemnisation : </w:t>
      </w:r>
    </w:p>
    <w:p>
      <w:pPr>
        <w:autoSpaceDN w:val="0"/>
        <w:tabs>
          <w:tab w:pos="1152" w:val="left"/>
          <w:tab w:pos="6170" w:val="left"/>
          <w:tab w:pos="6530" w:val="left"/>
        </w:tabs>
        <w:autoSpaceDE w:val="0"/>
        <w:widowControl/>
        <w:spacing w:line="230" w:lineRule="auto" w:before="10" w:after="0"/>
        <w:ind w:left="792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Franchise minimale de 90 jours </w:t>
      </w:r>
      <w:r>
        <w:tab/>
      </w: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Exclusion des sinistres déjà en cours au moment de </w:t>
      </w:r>
    </w:p>
    <w:p>
      <w:pPr>
        <w:autoSpaceDN w:val="0"/>
        <w:tabs>
          <w:tab w:pos="1152" w:val="left"/>
          <w:tab w:pos="6530" w:val="left"/>
        </w:tabs>
        <w:autoSpaceDE w:val="0"/>
        <w:widowControl/>
        <w:spacing w:line="230" w:lineRule="auto" w:before="28" w:after="0"/>
        <w:ind w:left="792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Regroupement de crédits non éligible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l’adhésion </w:t>
      </w:r>
    </w:p>
    <w:p>
      <w:pPr>
        <w:autoSpaceDN w:val="0"/>
        <w:tabs>
          <w:tab w:pos="1146" w:val="left"/>
          <w:tab w:pos="6166" w:val="left"/>
          <w:tab w:pos="6522" w:val="left"/>
        </w:tabs>
        <w:autoSpaceDE w:val="0"/>
        <w:widowControl/>
        <w:spacing w:line="233" w:lineRule="auto" w:before="28" w:after="0"/>
        <w:ind w:left="790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Bénéficiaire : organisme bancaire uniquement </w:t>
      </w:r>
      <w:r>
        <w:tab/>
      </w: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Couverture des pathologies antérieures à la date </w:t>
      </w:r>
    </w:p>
    <w:p>
      <w:pPr>
        <w:autoSpaceDN w:val="0"/>
        <w:autoSpaceDE w:val="0"/>
        <w:widowControl/>
        <w:spacing w:line="230" w:lineRule="auto" w:before="26" w:after="0"/>
        <w:ind w:left="0" w:right="4278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d’effet </w:t>
      </w:r>
    </w:p>
    <w:p>
      <w:pPr>
        <w:autoSpaceDN w:val="0"/>
        <w:autoSpaceDE w:val="0"/>
        <w:widowControl/>
        <w:spacing w:line="230" w:lineRule="auto" w:before="270" w:after="202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Conditions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79" w:type="dxa"/>
      </w:tblPr>
      <w:tblGrid>
        <w:gridCol w:w="5687"/>
        <w:gridCol w:w="5687"/>
      </w:tblGrid>
      <w:tr>
        <w:trPr>
          <w:trHeight w:hRule="exact" w:val="256"/>
        </w:trPr>
        <w:tc>
          <w:tcPr>
            <w:tcW w:type="dxa" w:w="2270"/>
            <w:tcBorders>
              <w:start w:sz="4.0" w:val="single" w:color="#AEC5CF"/>
              <w:top w:sz="3.200000000000273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Délai d’attente </w:t>
            </w:r>
          </w:p>
        </w:tc>
        <w:tc>
          <w:tcPr>
            <w:tcW w:type="dxa" w:w="9074"/>
            <w:tcBorders>
              <w:start w:sz="4.0" w:val="single" w:color="#AEC5CF"/>
              <w:top w:sz="3.200000000000273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Aucun </w:t>
            </w:r>
          </w:p>
        </w:tc>
      </w:tr>
      <w:tr>
        <w:trPr>
          <w:trHeight w:hRule="exact" w:val="254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Franchises (ITT / IPT)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 choix : 30, 60, 90, 120, 180 jours </w:t>
            </w:r>
          </w:p>
        </w:tc>
      </w:tr>
      <w:tr>
        <w:trPr>
          <w:trHeight w:hRule="exact" w:val="500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du dos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2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En inclusion, couvert à partir de 4 jours d'hospitalisation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8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Couverture sans condition d’hospitalisation avec l’opt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«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c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nfo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rt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p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y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» </w:t>
            </w:r>
          </w:p>
        </w:tc>
      </w:tr>
      <w:tr>
        <w:trPr>
          <w:trHeight w:hRule="exact" w:val="502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du psy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En inclusion :  couvert à partir de 5 jours d'hospitalisation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2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Couverture sans condition d’hospitalisation avec l’opt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«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c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nfo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rt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p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y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» </w:t>
            </w:r>
          </w:p>
        </w:tc>
      </w:tr>
      <w:tr>
        <w:trPr>
          <w:trHeight w:hRule="exact" w:val="3460"/>
        </w:trPr>
        <w:tc>
          <w:tcPr>
            <w:tcW w:type="dxa" w:w="2270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des sports </w:t>
            </w:r>
          </w:p>
        </w:tc>
        <w:tc>
          <w:tcPr>
            <w:tcW w:type="dxa" w:w="9074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de montagne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(escalade, alpinisme...) : couverture si pratique au-dessous de 3 500 </w:t>
            </w:r>
          </w:p>
          <w:p>
            <w:pPr>
              <w:autoSpaceDN w:val="0"/>
              <w:autoSpaceDE w:val="0"/>
              <w:widowControl/>
              <w:spacing w:line="228" w:lineRule="auto" w:before="10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mètres d’altitude. Exclusion au-delà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de neige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(ski, surf, luge sportive ...) : couverture si pratique au-dessous de 3 500 mètres 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d’altitude et sur domaine skiable. Exclusion au-delà de 3 500 mètres et/ou hors domaine skiable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et/ou pratique extrême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à moteurs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couverture du jet ski, de la motoneige, du karting, du quad et du ski-joëring.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Exclusion de tous les autres sports nécessitant l’usage d’un engin à moteur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8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Sports aquatiques, nautiques :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des sports aquatiques à l’exclusion des pratiques à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risque telles que la plongée d’exploration, libre ou en apnée, la traversée d’océan...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8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équestres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couverture des sports équestres à l’exclusion de la voltige et du rodéo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28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de combat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exclusion de tous les sports de combats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2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aériens sans moteur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exclusion des sports aériens sans moteur 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517586"/>
                <w:sz w:val="18"/>
              </w:rPr>
              <w:t xml:space="preserve">Couverture des sports exclus dans le cadre des baptêmes ou initiations et rachat des exclusions </w:t>
            </w:r>
          </w:p>
          <w:p>
            <w:pPr>
              <w:autoSpaceDN w:val="0"/>
              <w:autoSpaceDE w:val="0"/>
              <w:widowControl/>
              <w:spacing w:line="228" w:lineRule="auto" w:before="1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517586"/>
                <w:sz w:val="18"/>
              </w:rPr>
              <w:t>possibles sous étude</w:t>
            </w:r>
          </w:p>
        </w:tc>
      </w:tr>
      <w:tr>
        <w:trPr>
          <w:trHeight w:hRule="exact" w:val="500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72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Mi-temps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thérapeutique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50 % du montant garanti en ITT pendant 90 jours </w:t>
            </w:r>
          </w:p>
        </w:tc>
      </w:tr>
      <w:tr>
        <w:trPr>
          <w:trHeight w:hRule="exact" w:val="502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576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Exonération des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cotisations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En inclusion </w:t>
            </w:r>
          </w:p>
        </w:tc>
      </w:tr>
      <w:tr>
        <w:trPr>
          <w:trHeight w:hRule="exact" w:val="394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Territorialité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dans le monde entier </w:t>
            </w:r>
          </w:p>
        </w:tc>
      </w:tr>
      <w:tr>
        <w:trPr>
          <w:trHeight w:hRule="exact" w:val="1236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9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Lieu de résidence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46" w:right="58" w:hanging="142"/>
              <w:jc w:val="both"/>
            </w:pPr>
            <w:r>
              <w:rPr>
                <w:rFonts w:ascii="Trebuchet MS" w:hAnsi="Trebuchet MS" w:eastAsia="Trebuchet MS"/>
                <w:b w:val="0"/>
                <w:i w:val="0"/>
                <w:color w:val="002337"/>
                <w:sz w:val="18"/>
              </w:rPr>
              <w:t>-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Union Européenne, la Suisse, Monaco, l’Amérique du Nord, le Japon, la République de Singapour, l’Inde,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la Chine, l’Australie, les Emirats Arabes, le Qatar, le Bahreïn, la Russie, le Royaume Uni ou Hong Kong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(pour les personnes résidentes du Japon, de la République de Singapour, d’Hong Kong, de l’Inde, de la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Chine, de l’Australie, des Emirats Arabes, du Qatar, du Bahreïn, de la Russie ou du Royaume Uni seules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les garanties Décès et P.T.I.A. pourront être mises en place) </w:t>
            </w:r>
          </w:p>
        </w:tc>
      </w:tr>
      <w:tr>
        <w:trPr>
          <w:trHeight w:hRule="exact" w:val="746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Prêt en devise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À l’adhésion le tableau d’amortissement est converti en euros en fonction du barème en vigueur à cette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date, intégrant un coefficient de majoration de 1,2 sur le taux de change. 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Ce barème restera valable pendant toute la durée de l’adhés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n</w:t>
            </w:r>
          </w:p>
        </w:tc>
      </w:tr>
      <w:tr>
        <w:trPr>
          <w:trHeight w:hRule="exact" w:val="744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86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Modalités de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paiement des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cotisations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187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Prélèvement automatique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Périodicité mensuelle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(*)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, trimestrielle, semestrielle ou annuelle au choix de l’assuré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(*)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sous réserve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d’un montant minimum de 12 € </w:t>
            </w:r>
          </w:p>
        </w:tc>
      </w:tr>
      <w:tr>
        <w:trPr>
          <w:trHeight w:hRule="exact" w:val="256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Association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7 € par an </w:t>
            </w:r>
          </w:p>
        </w:tc>
      </w:tr>
      <w:tr>
        <w:trPr>
          <w:trHeight w:hRule="exact" w:val="256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Frais de dossier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25 € par assuré </w:t>
            </w:r>
          </w:p>
        </w:tc>
      </w:tr>
      <w:tr>
        <w:trPr>
          <w:trHeight w:hRule="exact" w:val="498"/>
        </w:trPr>
        <w:tc>
          <w:tcPr>
            <w:tcW w:type="dxa" w:w="2270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Frais de courtage </w:t>
            </w:r>
          </w:p>
        </w:tc>
        <w:tc>
          <w:tcPr>
            <w:tcW w:type="dxa" w:w="9074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47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Jusqu’à 500 € par assuré à votre main.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Ces frais vous sont intégralement versés. </w:t>
            </w:r>
          </w:p>
        </w:tc>
      </w:tr>
    </w:tbl>
    <w:p>
      <w:pPr>
        <w:autoSpaceDN w:val="0"/>
        <w:autoSpaceDE w:val="0"/>
        <w:widowControl/>
        <w:spacing w:line="228" w:lineRule="auto" w:before="60" w:after="0"/>
        <w:ind w:left="0" w:right="426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2 / 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.0" w:type="dxa"/>
      </w:tblPr>
      <w:tblGrid>
        <w:gridCol w:w="5687"/>
        <w:gridCol w:w="5687"/>
      </w:tblGrid>
      <w:tr>
        <w:trPr>
          <w:trHeight w:hRule="exact" w:val="52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Philip,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0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60" w:right="244" w:bottom="8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1917700</wp:posOffset>
            </wp:positionV>
            <wp:extent cx="6921500" cy="82042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8204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Rémunération </w:t>
      </w:r>
    </w:p>
    <w:p>
      <w:pPr>
        <w:autoSpaceDN w:val="0"/>
        <w:autoSpaceDE w:val="0"/>
        <w:widowControl/>
        <w:spacing w:line="245" w:lineRule="auto" w:before="102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tant que distributeur de produits d’assurance, il vous appartient de vérifier que les modalités de rémunération prévues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ne sont pas de nature à créer un risque de conflit d’intérêts qui serait préjudiciable à votre client. </w:t>
      </w:r>
    </w:p>
    <w:p>
      <w:pPr>
        <w:autoSpaceDN w:val="0"/>
        <w:autoSpaceDE w:val="0"/>
        <w:widowControl/>
        <w:spacing w:line="228" w:lineRule="auto" w:before="1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Commissionnement au choix : </w:t>
      </w:r>
    </w:p>
    <w:p>
      <w:pPr>
        <w:autoSpaceDN w:val="0"/>
        <w:tabs>
          <w:tab w:pos="720" w:val="left"/>
        </w:tabs>
        <w:autoSpaceDE w:val="0"/>
        <w:widowControl/>
        <w:spacing w:line="230" w:lineRule="auto" w:before="12" w:after="0"/>
        <w:ind w:left="360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Linéaire : 8 %, 10 %, 12 %, 15 % </w:t>
      </w:r>
    </w:p>
    <w:p>
      <w:pPr>
        <w:autoSpaceDN w:val="0"/>
        <w:tabs>
          <w:tab w:pos="720" w:val="left"/>
        </w:tabs>
        <w:autoSpaceDE w:val="0"/>
        <w:widowControl/>
        <w:spacing w:line="230" w:lineRule="auto" w:before="28" w:after="0"/>
        <w:ind w:left="360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Escompte : 20/10, 30/10, 40/10, 50/10 </w:t>
      </w:r>
    </w:p>
    <w:p>
      <w:pPr>
        <w:autoSpaceDN w:val="0"/>
        <w:autoSpaceDE w:val="0"/>
        <w:widowControl/>
        <w:spacing w:line="228" w:lineRule="auto" w:before="19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 tarif du produit est basé sur un taux de commissionnement de 40/10. </w:t>
      </w:r>
    </w:p>
    <w:p>
      <w:pPr>
        <w:autoSpaceDN w:val="0"/>
        <w:autoSpaceDE w:val="0"/>
        <w:widowControl/>
        <w:spacing w:line="230" w:lineRule="auto" w:before="352" w:after="0"/>
        <w:ind w:left="4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La conformité en toute simplicité ! </w:t>
      </w:r>
    </w:p>
    <w:p>
      <w:pPr>
        <w:autoSpaceDN w:val="0"/>
        <w:autoSpaceDE w:val="0"/>
        <w:widowControl/>
        <w:spacing w:line="245" w:lineRule="auto" w:before="202" w:after="0"/>
        <w:ind w:left="4" w:right="432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La gouvernance produit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Dans le cadre de notre démarche d’amélioration continue de la qualité de nos produits, faites-nous part de vos retours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si vous constatez que soit : </w:t>
      </w:r>
    </w:p>
    <w:p>
      <w:pPr>
        <w:autoSpaceDN w:val="0"/>
        <w:tabs>
          <w:tab w:pos="726" w:val="left"/>
        </w:tabs>
        <w:autoSpaceDE w:val="0"/>
        <w:widowControl/>
        <w:spacing w:line="245" w:lineRule="auto" w:before="10" w:after="0"/>
        <w:ind w:left="364" w:right="432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 produit n’est pas en adéquation avec les intérêts, objectifs et caractéristiques du marché cible précisé ci-dessus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; </w:t>
      </w:r>
    </w:p>
    <w:p>
      <w:pPr>
        <w:autoSpaceDN w:val="0"/>
        <w:tabs>
          <w:tab w:pos="726" w:val="left"/>
        </w:tabs>
        <w:autoSpaceDE w:val="0"/>
        <w:widowControl/>
        <w:spacing w:line="228" w:lineRule="auto" w:before="10" w:after="0"/>
        <w:ind w:left="364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des circonstances relatives au produit sont susceptibles d’avoir des répercussions défavorables pour le client ; </w:t>
      </w:r>
    </w:p>
    <w:p>
      <w:pPr>
        <w:autoSpaceDN w:val="0"/>
        <w:tabs>
          <w:tab w:pos="362" w:val="left"/>
          <w:tab w:pos="718" w:val="left"/>
        </w:tabs>
        <w:autoSpaceDE w:val="0"/>
        <w:widowControl/>
        <w:spacing w:line="245" w:lineRule="auto" w:before="10" w:after="0"/>
        <w:ind w:left="4" w:right="43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>les modalités de rémunération proposées pour le produit vous placent dans une situation de conflit d’intérêt vis-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à-vis du client ;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à partir de la messagerie instantanée mise à disposition depuis notre plateforme de vente, ou via votre délégué régional. </w:t>
      </w:r>
    </w:p>
    <w:p>
      <w:pPr>
        <w:autoSpaceDN w:val="0"/>
        <w:autoSpaceDE w:val="0"/>
        <w:widowControl/>
        <w:spacing w:line="245" w:lineRule="auto" w:before="412" w:after="0"/>
        <w:ind w:left="4" w:right="432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La réglementation LCBFT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Au regard du risque faible du produit, vous devez appliquer a minima un niveau de </w:t>
      </w:r>
      <w:r>
        <w:rPr>
          <w:rFonts w:ascii="Open Sans" w:hAnsi="Open Sans" w:eastAsia="Open Sans"/>
          <w:b/>
          <w:i w:val="0"/>
          <w:color w:val="002337"/>
          <w:sz w:val="18"/>
        </w:rPr>
        <w:t>vigilance simplifiée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au titre du titre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VI du livre V du code monétaire et financier. </w:t>
      </w:r>
    </w:p>
    <w:p>
      <w:pPr>
        <w:autoSpaceDN w:val="0"/>
        <w:autoSpaceDE w:val="0"/>
        <w:widowControl/>
        <w:spacing w:line="230" w:lineRule="auto" w:before="28" w:after="0"/>
        <w:ind w:left="4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Concrètement cela signifie que vous devez collecter les informations d’identification suivants : </w:t>
      </w:r>
    </w:p>
    <w:p>
      <w:pPr>
        <w:autoSpaceDN w:val="0"/>
        <w:tabs>
          <w:tab w:pos="7096" w:val="left"/>
        </w:tabs>
        <w:autoSpaceDE w:val="0"/>
        <w:widowControl/>
        <w:spacing w:line="230" w:lineRule="auto" w:before="238" w:after="0"/>
        <w:ind w:left="3548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6"/>
        </w:rPr>
        <w:t xml:space="preserve">Client personne physique </w:t>
      </w:r>
      <w:r>
        <w:tab/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Client personne morale </w:t>
      </w:r>
    </w:p>
    <w:p>
      <w:pPr>
        <w:autoSpaceDN w:val="0"/>
        <w:autoSpaceDE w:val="0"/>
        <w:widowControl/>
        <w:spacing w:line="230" w:lineRule="auto" w:before="104" w:after="0"/>
        <w:ind w:left="0" w:right="1004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Forme juridique, dénomination sociale,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3512"/>
        <w:gridCol w:w="3512"/>
        <w:gridCol w:w="3512"/>
      </w:tblGrid>
      <w:tr>
        <w:trPr>
          <w:trHeight w:hRule="exact" w:val="248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Client potentiel 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4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8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numéro SIREN, adresse du siège et du lieu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26"/>
        <w:ind w:left="0" w:right="1256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de direction effective si différent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3512"/>
        <w:gridCol w:w="3512"/>
        <w:gridCol w:w="3512"/>
      </w:tblGrid>
      <w:tr>
        <w:trPr>
          <w:trHeight w:hRule="exact" w:val="244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56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Bénéficiaire effectif 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21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</w:tr>
      <w:tr>
        <w:trPr>
          <w:trHeight w:hRule="exact" w:val="300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32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Personne agissant pour le 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naissance, 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2" w:after="0"/>
              <w:ind w:left="19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naissance, </w:t>
            </w:r>
          </w:p>
        </w:tc>
      </w:tr>
      <w:tr>
        <w:trPr>
          <w:trHeight w:hRule="exact" w:val="180"/>
        </w:trPr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21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compte du Client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(ex : payeur </w:t>
            </w:r>
          </w:p>
        </w:tc>
        <w:tc>
          <w:tcPr>
            <w:tcW w:type="dxa" w:w="3512"/>
            <w:vMerge/>
            <w:tcBorders/>
          </w:tcPr>
          <w:p/>
        </w:tc>
        <w:tc>
          <w:tcPr>
            <w:tcW w:type="dxa" w:w="351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512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lien avec la personne représentée 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2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fonction de représentation exercée </w:t>
            </w:r>
          </w:p>
        </w:tc>
      </w:tr>
      <w:tr>
        <w:trPr>
          <w:trHeight w:hRule="exact" w:val="310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de prime, représentant légal)</w:t>
            </w:r>
          </w:p>
        </w:tc>
        <w:tc>
          <w:tcPr>
            <w:tcW w:type="dxa" w:w="3512"/>
            <w:vMerge/>
            <w:tcBorders/>
          </w:tcPr>
          <w:p/>
        </w:tc>
        <w:tc>
          <w:tcPr>
            <w:tcW w:type="dxa" w:w="351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82" w:after="0"/>
        <w:ind w:left="4" w:right="432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Si l’adhérent réside hors de l’UE ou que l’adhérent et l’organisme prêteur résident en dehors de la France, le produit passe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</w:t>
      </w:r>
      <w:r>
        <w:rPr>
          <w:rFonts w:ascii="Open Sans" w:hAnsi="Open Sans" w:eastAsia="Open Sans"/>
          <w:b/>
          <w:i w:val="0"/>
          <w:color w:val="002337"/>
          <w:sz w:val="18"/>
        </w:rPr>
        <w:t>vigilance standard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. </w:t>
      </w:r>
    </w:p>
    <w:p>
      <w:pPr>
        <w:autoSpaceDN w:val="0"/>
        <w:tabs>
          <w:tab w:pos="364" w:val="left"/>
          <w:tab w:pos="726" w:val="left"/>
        </w:tabs>
        <w:autoSpaceDE w:val="0"/>
        <w:widowControl/>
        <w:spacing w:line="254" w:lineRule="auto" w:before="28" w:after="0"/>
        <w:ind w:left="4" w:right="432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Concrètement, cela signifie que vous devez, en plus de la collecte des informations d’identification 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Effectuer la vérification d’identité conformément aux articles R561-5-1 et suivants du code monétaire et financier </w:t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Collecter et actualiser, au moins une fois par an, les informations pertinentes au titre de la relation d’affaires et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 la connaissance de la situation professionnelle, économique et financière du client et, le cas échéant de son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bénéficiaire effectif. </w:t>
      </w:r>
    </w:p>
    <w:p>
      <w:pPr>
        <w:autoSpaceDN w:val="0"/>
        <w:tabs>
          <w:tab w:pos="364" w:val="left"/>
          <w:tab w:pos="726" w:val="left"/>
        </w:tabs>
        <w:autoSpaceDE w:val="0"/>
        <w:widowControl/>
        <w:spacing w:line="257" w:lineRule="auto" w:before="190" w:after="0"/>
        <w:ind w:left="4" w:right="432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cas d’opération atypique au sens de l’article L561-10-2 du code monétaire et financier, vous devez, en plus de la collecte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des informations d’identification 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Effectuer la vérification d’identité conformément aux articles R561-5-1 et suivants du code monétaire et financier </w:t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Collecter et actualiser, au moins une fois par an, les informations pertinentes au titre de la relation d’affaires et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 la connaissance de la situation professionnelle, économique et financière du client et, le cas échéant de son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bénéficiaire effectif, afin d’éliminer ou de réduire le risque de blanchiment d’argent et de financement du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terrorisme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Recueillir une seconde pièce d’identité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S’assurer que le premier paiement soit effectué en provenance d’un compte situé en UE et ouvert au nom du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Client ou de son représentant. </w:t>
      </w:r>
    </w:p>
    <w:p>
      <w:pPr>
        <w:autoSpaceDN w:val="0"/>
        <w:tabs>
          <w:tab w:pos="490" w:val="left"/>
        </w:tabs>
        <w:autoSpaceDE w:val="0"/>
        <w:widowControl/>
        <w:spacing w:line="245" w:lineRule="auto" w:before="482" w:after="0"/>
        <w:ind w:left="4" w:right="432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cas de question, vous pouvez vous adresser au correspondant TRACFIN de notre société à l’adresse mail suivante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: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hyperlink r:id="rId19" w:history="1">
          <w:r>
            <w:rPr>
              <w:rStyle w:val="Hyperlink"/>
            </w:rPr>
            <w:t xml:space="preserve"> lcb-ft.tracfin@zenioo.com.</w:t>
          </w:r>
        </w:hyperlink>
      </w:r>
    </w:p>
    <w:p>
      <w:pPr>
        <w:autoSpaceDN w:val="0"/>
        <w:autoSpaceDE w:val="0"/>
        <w:widowControl/>
        <w:spacing w:line="228" w:lineRule="auto" w:before="154" w:after="0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3 / 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268"/>
        <w:gridCol w:w="5268"/>
      </w:tblGrid>
      <w:tr>
        <w:trPr>
          <w:trHeight w:hRule="exact" w:val="52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Philip,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0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60" w:right="650" w:bottom="88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74"/>
        <w:ind w:left="436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Formalités médicales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14" w:type="dxa"/>
      </w:tblPr>
      <w:tblGrid>
        <w:gridCol w:w="5736"/>
        <w:gridCol w:w="5736"/>
      </w:tblGrid>
      <w:tr>
        <w:trPr>
          <w:trHeight w:hRule="exact" w:val="62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177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" w:right="14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NOUVEAU :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Aucune formalité médicale demandée pour les prêts inférieurs à 200 000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€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, avec un terme antérieur aux 60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ans de l’emprunteur et tenant compte de l’encours assuré des autres crédits </w:t>
            </w:r>
          </w:p>
        </w:tc>
      </w:tr>
    </w:tbl>
    <w:p>
      <w:pPr>
        <w:autoSpaceDN w:val="0"/>
        <w:autoSpaceDE w:val="0"/>
        <w:widowControl/>
        <w:spacing w:line="1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21" w:type="dxa"/>
      </w:tblPr>
      <w:tblGrid>
        <w:gridCol w:w="2868"/>
        <w:gridCol w:w="2868"/>
        <w:gridCol w:w="2868"/>
        <w:gridCol w:w="2868"/>
      </w:tblGrid>
      <w:tr>
        <w:trPr>
          <w:trHeight w:hRule="exact" w:val="352"/>
        </w:trPr>
        <w:tc>
          <w:tcPr>
            <w:tcW w:type="dxa" w:w="2696"/>
            <w:tcBorders>
              <w:end w:sz="4.0" w:val="single" w:color="#AEC5CF"/>
              <w:bottom w:sz="3.199999999999932" w:val="single" w:color="#AEC5C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8"/>
            <w:gridSpan w:val="3"/>
            <w:tcBorders>
              <w:start w:sz="4.0" w:val="single" w:color="#AEC5CF"/>
              <w:top w:sz="4.0" w:val="single" w:color="#AEC5CF"/>
              <w:end w:sz="4.0" w:val="single" w:color="#AEC5CF"/>
              <w:bottom w:sz="3.199999999999932" w:val="single" w:color="#AEC5CF"/>
            </w:tcBorders>
            <w:shd w:fill="edf3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Âge assuré </w:t>
            </w:r>
          </w:p>
        </w:tc>
      </w:tr>
      <w:tr>
        <w:trPr>
          <w:trHeight w:hRule="exact" w:val="500"/>
        </w:trPr>
        <w:tc>
          <w:tcPr>
            <w:tcW w:type="dxa" w:w="2696"/>
            <w:tcBorders>
              <w:start w:sz="3.200000000000003" w:val="single" w:color="#AEC5CF"/>
              <w:top w:sz="3.199999999999932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15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Capital assuré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(dont en cours) </w:t>
            </w:r>
          </w:p>
        </w:tc>
        <w:tc>
          <w:tcPr>
            <w:tcW w:type="dxa" w:w="2976"/>
            <w:tcBorders>
              <w:start w:sz="4.0" w:val="single" w:color="#AEC5CF"/>
              <w:top w:sz="3.199999999999932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Jusqu'à 45 ans </w:t>
            </w:r>
          </w:p>
        </w:tc>
        <w:tc>
          <w:tcPr>
            <w:tcW w:type="dxa" w:w="2882"/>
            <w:tcBorders>
              <w:start w:sz="3.199999999999818" w:val="single" w:color="#AEC5CF"/>
              <w:top w:sz="3.199999999999932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46 - 65 ans </w:t>
            </w:r>
          </w:p>
        </w:tc>
        <w:tc>
          <w:tcPr>
            <w:tcW w:type="dxa" w:w="2790"/>
            <w:tcBorders>
              <w:start w:sz="4.0" w:val="single" w:color="#AEC5CF"/>
              <w:top w:sz="3.199999999999932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de 65 ans </w:t>
            </w:r>
          </w:p>
        </w:tc>
      </w:tr>
      <w:tr>
        <w:trPr>
          <w:trHeight w:hRule="exact" w:val="324"/>
        </w:trPr>
        <w:tc>
          <w:tcPr>
            <w:tcW w:type="dxa" w:w="2696"/>
            <w:tcBorders>
              <w:start w:sz="3.20000000000000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&lt;= à 200 000 € </w:t>
            </w:r>
          </w:p>
        </w:tc>
        <w:tc>
          <w:tcPr>
            <w:tcW w:type="dxa" w:w="8648"/>
            <w:gridSpan w:val="3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4ef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QSS </w:t>
            </w:r>
          </w:p>
        </w:tc>
      </w:tr>
      <w:tr>
        <w:trPr>
          <w:trHeight w:hRule="exact" w:val="260"/>
        </w:trPr>
        <w:tc>
          <w:tcPr>
            <w:tcW w:type="dxa" w:w="2696"/>
            <w:tcBorders>
              <w:start w:sz="3.20000000000000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200 001€ à 300 000 € </w:t>
            </w:r>
          </w:p>
        </w:tc>
        <w:tc>
          <w:tcPr>
            <w:tcW w:type="dxa" w:w="2976"/>
            <w:tcBorders>
              <w:start w:sz="4.0" w:val="single" w:color="#AEC5CF"/>
              <w:top w:sz="4.0" w:val="single" w:color="#AEC5CF"/>
            </w:tcBorders>
            <w:shd w:fill="f3face"/>
            <w:tcMar>
              <w:start w:w="0" w:type="dxa"/>
              <w:end w:w="0" w:type="dxa"/>
            </w:tcMar>
          </w:tcPr>
          <w:p/>
        </w:tc>
        <w:tc>
          <w:tcPr>
            <w:tcW w:type="dxa" w:w="2882"/>
            <w:tcBorders>
              <w:top w:sz="4.0" w:val="single" w:color="#AEC5CF"/>
              <w:end w:sz="4.0" w:val="single" w:color="#AEC5CF"/>
              <w:bottom w:sz="4.0" w:val="single" w:color="#AEC5CF"/>
            </w:tcBorders>
            <w:shd w:fill="f3face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BS0 </w:t>
            </w:r>
          </w:p>
        </w:tc>
      </w:tr>
      <w:tr>
        <w:trPr>
          <w:trHeight w:hRule="exact" w:val="326"/>
        </w:trPr>
        <w:tc>
          <w:tcPr>
            <w:tcW w:type="dxa" w:w="2696"/>
            <w:tcBorders>
              <w:start w:sz="3.20000000000000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300 001€ à 400 000 € </w:t>
            </w:r>
          </w:p>
        </w:tc>
        <w:tc>
          <w:tcPr>
            <w:tcW w:type="dxa" w:w="2976"/>
            <w:tcBorders>
              <w:start w:sz="4.0" w:val="single" w:color="#AEC5CF"/>
              <w:end w:sz="3.199999999999818" w:val="single" w:color="#AEC5CF"/>
            </w:tcBorders>
            <w:shd w:fill="f3face"/>
            <w:tcMar>
              <w:start w:w="0" w:type="dxa"/>
              <w:end w:w="0" w:type="dxa"/>
            </w:tcMar>
          </w:tcPr>
          <w:p/>
        </w:tc>
        <w:tc>
          <w:tcPr>
            <w:tcW w:type="dxa" w:w="5672"/>
            <w:gridSpan w:val="2"/>
            <w:vMerge w:val="restart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BS0 + COTININE 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5.99999999999909" w:type="dxa"/>
            </w:tblPr>
            <w:tblGrid>
              <w:gridCol w:w="2790"/>
            </w:tblGrid>
            <w:tr>
              <w:trPr>
                <w:trHeight w:hRule="exact" w:val="226"/>
              </w:trPr>
              <w:tc>
                <w:tcPr>
                  <w:tcW w:type="dxa" w:w="2576"/>
                  <w:tcBorders/>
                  <w:shd w:fill="f8d4d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QS + RM + BS0 + COTININE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24"/>
        </w:trPr>
        <w:tc>
          <w:tcPr>
            <w:tcW w:type="dxa" w:w="2696"/>
            <w:tcBorders>
              <w:start w:sz="3.20000000000000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400 001€ à 500.000 € </w:t>
            </w:r>
          </w:p>
        </w:tc>
        <w:tc>
          <w:tcPr>
            <w:tcW w:type="dxa" w:w="2976"/>
            <w:tcBorders>
              <w:start w:sz="4.0" w:val="single" w:color="#AEC5CF"/>
              <w:end w:sz="3.199999999999818" w:val="single" w:color="#AEC5CF"/>
            </w:tcBorders>
            <w:shd w:fill="f3face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3.99999999999977" w:type="dxa"/>
            </w:tblPr>
            <w:tblGrid>
              <w:gridCol w:w="2976"/>
            </w:tblGrid>
            <w:tr>
              <w:trPr>
                <w:trHeight w:hRule="exact" w:val="180"/>
              </w:trPr>
              <w:tc>
                <w:tcPr>
                  <w:tcW w:type="dxa" w:w="2760"/>
                  <w:tcBorders/>
                  <w:shd w:fill="f3fa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672"/>
            <w:gridSpan w:val="2"/>
            <w:vMerge/>
            <w:tcBorders>
              <w:start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2696"/>
            <w:tcBorders>
              <w:start w:sz="3.20000000000000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500 001€ à 600 000 € </w:t>
            </w:r>
          </w:p>
        </w:tc>
        <w:tc>
          <w:tcPr>
            <w:tcW w:type="dxa" w:w="2976"/>
            <w:tcBorders>
              <w:start w:sz="4.0" w:val="single" w:color="#AEC5CF"/>
              <w:end w:sz="3.199999999999818" w:val="single" w:color="#AEC5CF"/>
              <w:bottom w:sz="4.0" w:val="single" w:color="#AEC5CF"/>
            </w:tcBorders>
            <w:shd w:fill="f3face"/>
            <w:tcMar>
              <w:start w:w="0" w:type="dxa"/>
              <w:end w:w="0" w:type="dxa"/>
            </w:tcMar>
          </w:tcPr>
          <w:p/>
        </w:tc>
        <w:tc>
          <w:tcPr>
            <w:tcW w:type="dxa" w:w="5672"/>
            <w:gridSpan w:val="2"/>
            <w:vMerge w:val="restart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e8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BS1 + COTININE +ECG1 </w:t>
            </w:r>
          </w:p>
        </w:tc>
      </w:tr>
      <w:tr>
        <w:trPr>
          <w:trHeight w:hRule="exact" w:val="324"/>
        </w:trPr>
        <w:tc>
          <w:tcPr>
            <w:tcW w:type="dxa" w:w="2696"/>
            <w:tcBorders>
              <w:start w:sz="3.20000000000000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600 001€ à 1 000 000 € </w:t>
            </w:r>
          </w:p>
        </w:tc>
        <w:tc>
          <w:tcPr>
            <w:tcW w:type="dxa" w:w="297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fcf9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BS1 + COTININE </w:t>
            </w:r>
          </w:p>
        </w:tc>
        <w:tc>
          <w:tcPr>
            <w:tcW w:type="dxa" w:w="5736"/>
            <w:gridSpan w:val="2"/>
            <w:vMerge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</w:tr>
      <w:tr>
        <w:trPr>
          <w:trHeight w:hRule="exact" w:val="326"/>
        </w:trPr>
        <w:tc>
          <w:tcPr>
            <w:tcW w:type="dxa" w:w="2696"/>
            <w:tcBorders>
              <w:start w:sz="3.20000000000000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1 000 001€ à 2 000 000 € </w:t>
            </w:r>
          </w:p>
        </w:tc>
        <w:tc>
          <w:tcPr>
            <w:tcW w:type="dxa" w:w="8648"/>
            <w:gridSpan w:val="3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d0e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BS1 + EU + ECG1 </w:t>
            </w:r>
          </w:p>
        </w:tc>
      </w:tr>
      <w:tr>
        <w:trPr>
          <w:trHeight w:hRule="exact" w:val="326"/>
        </w:trPr>
        <w:tc>
          <w:tcPr>
            <w:tcW w:type="dxa" w:w="2696"/>
            <w:tcBorders>
              <w:start w:sz="3.200000000000003" w:val="single" w:color="#AEC5CF"/>
              <w:top w:sz="4.0" w:val="single" w:color="#AEC5CF"/>
              <w:end w:sz="4.0" w:val="single" w:color="#AEC5CF"/>
              <w:bottom w:sz="3.200000000000273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&gt; 2 000 000 € </w:t>
            </w:r>
          </w:p>
        </w:tc>
        <w:tc>
          <w:tcPr>
            <w:tcW w:type="dxa" w:w="8648"/>
            <w:gridSpan w:val="3"/>
            <w:tcBorders>
              <w:start w:sz="4.0" w:val="single" w:color="#AEC5CF"/>
              <w:top w:sz="4.0" w:val="single" w:color="#AEC5CF"/>
              <w:end w:sz="4.0" w:val="single" w:color="#AEC5CF"/>
              <w:bottom w:sz="3.200000000000273" w:val="single" w:color="#AEC5CF"/>
            </w:tcBorders>
            <w:shd w:fill="f8f3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BS1 + EU + ECG2 + FF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96.0" w:type="dxa"/>
      </w:tblPr>
      <w:tblGrid>
        <w:gridCol w:w="5736"/>
        <w:gridCol w:w="5736"/>
      </w:tblGrid>
      <w:tr>
        <w:trPr>
          <w:trHeight w:hRule="exact" w:val="1102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72" w:after="0"/>
              <w:ind w:left="400" w:right="13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18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2337"/>
                <w:sz w:val="18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2337"/>
                <w:sz w:val="18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2337"/>
                <w:sz w:val="18"/>
              </w:rPr>
              <w:t>•</w:t>
            </w:r>
          </w:p>
        </w:tc>
        <w:tc>
          <w:tcPr>
            <w:tcW w:type="dxa" w:w="10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40" w:right="28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QSS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Questionnaire simplifié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QS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: Questionnaire de santé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RM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Rapport Médical complété par un médecin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BS0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: Bilan Sanguin formule 0 : Numération et Formule Sanguine, Plaquettes, Vitesse de sédimentation, Cholestérol </w:t>
            </w:r>
          </w:p>
        </w:tc>
      </w:tr>
    </w:tbl>
    <w:p>
      <w:pPr>
        <w:autoSpaceDN w:val="0"/>
        <w:tabs>
          <w:tab w:pos="1156" w:val="left"/>
        </w:tabs>
        <w:autoSpaceDE w:val="0"/>
        <w:widowControl/>
        <w:spacing w:line="257" w:lineRule="auto" w:before="14" w:after="0"/>
        <w:ind w:left="796" w:right="432" w:firstLine="0"/>
        <w:jc w:val="left"/>
      </w:pP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Total / HDL, Glycémie à jeun, Triglycérides, Créatinine, ASAT, ALAT, GGT. Pour les hommes de + de 50 ans, dosage de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l’Antigène Spécifique de la prostate </w:t>
      </w:r>
      <w:r>
        <w:br/>
      </w: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BS1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Bilan Sanguin formule 1 : Numération et Formule Sanguine, Plaquettes, Vitesse de sédimentation, Cholestérol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Total / HDL, Glycémie à jeun, Triglycérides, Créatinine, ASAT, ALAT, GGT.  Dosage de la Protéine C réactive, Acide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urique, Phosphatase alcaline, Marqueurs de l’hépatite B (Ag Hbs) et de l’Hépatite C (AC anti-VHC), Sérologie HIV 1 et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2, Hémoglobine glyquée (HbA1c). Pour les hommes de + de 50 ans, dosage de l’Antigène Spécifique de la prostate </w:t>
      </w: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br/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>EU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Examen d’urines (recherche dans les urines) : Sucre, Albumine, Leucocytes, Sang, Cytobactériologie des urines,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dosage de la cotinine urinaire (pour accès au tarif non-fumeur) </w:t>
      </w:r>
      <w:r>
        <w:br/>
      </w: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>ECG1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Electrocardiogramme de repos avec tracés et conclusions du cardiologue </w:t>
      </w:r>
      <w:r>
        <w:br/>
      </w: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>ECG2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Electrocardiogramme de repos et électrocardiogramme d’effort (en l’absence de toute contre-indication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médicale), avec tracés et conclusions du cardiologue </w:t>
      </w:r>
      <w:r>
        <w:br/>
      </w: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br/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>COTININE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Test de cotinine urinaire (pour accès au tarif non-fumeur) </w:t>
      </w: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FF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formalités financières </w:t>
      </w:r>
    </w:p>
    <w:p>
      <w:pPr>
        <w:autoSpaceDN w:val="0"/>
        <w:autoSpaceDE w:val="0"/>
        <w:widowControl/>
        <w:spacing w:line="228" w:lineRule="auto" w:before="454" w:after="0"/>
        <w:ind w:left="436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Les formalités médicales sont à transmettre : </w:t>
      </w:r>
    </w:p>
    <w:p>
      <w:pPr>
        <w:autoSpaceDN w:val="0"/>
        <w:tabs>
          <w:tab w:pos="1156" w:val="left"/>
        </w:tabs>
        <w:autoSpaceDE w:val="0"/>
        <w:widowControl/>
        <w:spacing w:line="250" w:lineRule="auto" w:before="190" w:after="0"/>
        <w:ind w:left="796" w:right="432" w:firstLine="0"/>
        <w:jc w:val="left"/>
      </w:pPr>
      <w:r>
        <w:rPr>
          <w:rFonts w:ascii="Wingdings" w:hAnsi="Wingdings" w:eastAsia="Wingdings"/>
          <w:b w:val="0"/>
          <w:i w:val="0"/>
          <w:color w:val="002337"/>
          <w:sz w:val="18"/>
        </w:rPr>
        <w:t></w:t>
      </w:r>
      <w:r>
        <w:tab/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t>Adhésion papier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sous enveloppe confidentielle à l'attention du Médecin Conseil de MULTI−IMPACT à l'adresse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suivante : MULTI−IMPACT − À l'attention du médecin conseil − Service médical − 41/43 avenue Hoche − CS 110002 −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51687 REIMS CEDEX. </w:t>
      </w:r>
    </w:p>
    <w:p>
      <w:pPr>
        <w:autoSpaceDN w:val="0"/>
        <w:tabs>
          <w:tab w:pos="1156" w:val="left"/>
        </w:tabs>
        <w:autoSpaceDE w:val="0"/>
        <w:widowControl/>
        <w:spacing w:line="230" w:lineRule="auto" w:before="28" w:after="0"/>
        <w:ind w:left="796" w:right="0" w:firstLine="0"/>
        <w:jc w:val="left"/>
      </w:pPr>
      <w:r>
        <w:rPr>
          <w:rFonts w:ascii="Wingdings" w:hAnsi="Wingdings" w:eastAsia="Wingdings"/>
          <w:b w:val="0"/>
          <w:i w:val="0"/>
          <w:color w:val="002337"/>
          <w:sz w:val="18"/>
        </w:rPr>
        <w:t></w:t>
      </w:r>
      <w:r>
        <w:tab/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t>Adhésion en ligne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possibilité pour l’assuré de déposer ses pièces médicales via son espace client sécurisé. </w:t>
      </w:r>
    </w:p>
    <w:p>
      <w:pPr>
        <w:autoSpaceDN w:val="0"/>
        <w:autoSpaceDE w:val="0"/>
        <w:widowControl/>
        <w:spacing w:line="228" w:lineRule="auto" w:before="190" w:after="50"/>
        <w:ind w:left="436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Lorsque le postulant se soumet aux formalités médicales demandées par l'assureur, il a le choix de les effectuer dans nos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6.0" w:type="dxa"/>
      </w:tblPr>
      <w:tblGrid>
        <w:gridCol w:w="5736"/>
        <w:gridCol w:w="5736"/>
      </w:tblGrid>
      <w:tr>
        <w:trPr>
          <w:trHeight w:hRule="exact" w:val="4380"/>
        </w:trPr>
        <w:tc>
          <w:tcPr>
            <w:tcW w:type="dxa" w:w="1890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9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centres prestataire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formalités médica</w:t>
            </w:r>
          </w:p>
          <w:p>
            <w:pPr>
              <w:autoSpaceDN w:val="0"/>
              <w:tabs>
                <w:tab w:pos="1004" w:val="left"/>
              </w:tabs>
              <w:autoSpaceDE w:val="0"/>
              <w:widowControl/>
              <w:spacing w:line="245" w:lineRule="auto" w:before="190" w:after="0"/>
              <w:ind w:left="648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ARM (Ana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72 72 72 −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</w:p>
          <w:p>
            <w:pPr>
              <w:autoSpaceDN w:val="0"/>
              <w:tabs>
                <w:tab w:pos="1010" w:val="left"/>
              </w:tabs>
              <w:autoSpaceDE w:val="0"/>
              <w:widowControl/>
              <w:spacing w:line="226" w:lineRule="auto" w:before="148" w:after="0"/>
              <w:ind w:left="65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BSV (Bilan</w:t>
            </w:r>
          </w:p>
          <w:p>
            <w:pPr>
              <w:autoSpaceDN w:val="0"/>
              <w:tabs>
                <w:tab w:pos="1004" w:val="left"/>
              </w:tabs>
              <w:autoSpaceDE w:val="0"/>
              <w:widowControl/>
              <w:spacing w:line="230" w:lineRule="auto" w:before="108" w:after="0"/>
              <w:ind w:left="648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ABCOS-CI</w:t>
            </w:r>
          </w:p>
          <w:p>
            <w:pPr>
              <w:autoSpaceDN w:val="0"/>
              <w:autoSpaceDE w:val="0"/>
              <w:widowControl/>
              <w:spacing w:line="240" w:lineRule="auto" w:before="2038" w:after="0"/>
              <w:ind w:left="39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416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 ou bien auprès d'un praticien de son choix.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Le réseau des centres permet le regroupement des </w:t>
            </w:r>
          </w:p>
          <w:p>
            <w:pPr>
              <w:autoSpaceDN w:val="0"/>
              <w:autoSpaceDE w:val="0"/>
              <w:widowControl/>
              <w:spacing w:line="228" w:lineRule="auto" w:before="30" w:after="0"/>
              <w:ind w:left="3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les sans avance de fonds pour le postulant.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Les centres à contacter réalisant les bilans médicaux sont : 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lyse Risque Médical)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présent dans 185 villes dont 14 adresses à Paris et 19 en région parisienne − 09 70 </w:t>
            </w:r>
          </w:p>
          <w:p>
            <w:pPr>
              <w:autoSpaceDN w:val="0"/>
              <w:autoSpaceDE w:val="0"/>
              <w:widowControl/>
              <w:spacing w:line="230" w:lineRule="auto" w:before="28" w:after="0"/>
              <w:ind w:left="22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hyperlink r:id="rId22" w:history="1">
                <w:r>
                  <w:rPr>
                    <w:rStyle w:val="Hyperlink"/>
                  </w:rPr>
                  <w:t>http://www.armfrance.com/</w:t>
                </w:r>
              </w:hyperlink>
            </w:r>
          </w:p>
          <w:p>
            <w:pPr>
              <w:autoSpaceDN w:val="0"/>
              <w:autoSpaceDE w:val="0"/>
              <w:widowControl/>
              <w:spacing w:line="230" w:lineRule="auto" w:before="148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BSV (Bilan Santé Vitton)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 présent dans 200 sites en France - 09 69 36 16 96−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hyperlink r:id="rId23" w:history="1">
                <w:r>
                  <w:rPr>
                    <w:rStyle w:val="Hyperlink"/>
                  </w:rPr>
                  <w:t>http://www.bilan-sante.fr/</w:t>
                </w:r>
              </w:hyperlink>
            </w:r>
          </w:p>
          <w:p>
            <w:pPr>
              <w:autoSpaceDN w:val="0"/>
              <w:autoSpaceDE w:val="0"/>
              <w:widowControl/>
              <w:spacing w:line="230" w:lineRule="auto" w:before="108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ABCOS-CIVEM-CBSA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: présent dans 205 centres − 09 69 32 27 32 −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hyperlink r:id="rId24" w:history="1">
                <w:r>
                  <w:rPr>
                    <w:rStyle w:val="Hyperlink"/>
                  </w:rPr>
                  <w:t>http://www.abcossante.com/</w:t>
                </w:r>
              </w:hyperlink>
            </w:r>
          </w:p>
          <w:p>
            <w:pPr>
              <w:autoSpaceDN w:val="0"/>
              <w:autoSpaceDE w:val="0"/>
              <w:widowControl/>
              <w:spacing w:line="230" w:lineRule="auto" w:before="1094" w:after="0"/>
              <w:ind w:left="0" w:right="186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4"/>
              </w:rPr>
              <w:t xml:space="preserve">FP_ADEGNRL7350_190224 </w:t>
            </w:r>
          </w:p>
          <w:p>
            <w:pPr>
              <w:autoSpaceDN w:val="0"/>
              <w:autoSpaceDE w:val="0"/>
              <w:widowControl/>
              <w:spacing w:line="245" w:lineRule="auto" w:before="512" w:after="0"/>
              <w:ind w:left="102" w:right="432" w:firstLine="8402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4 / 4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Philip,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0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60" w:right="150" w:bottom="88" w:left="28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zenioo.com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mailto:lcb-ft.tracfin@zenioo.com" TargetMode="Externa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yperlink" Target="http://www.armfrance.com/" TargetMode="External"/><Relationship Id="rId23" Type="http://schemas.openxmlformats.org/officeDocument/2006/relationships/hyperlink" Target="http://www.bilan-sante.fr/" TargetMode="External"/><Relationship Id="rId24" Type="http://schemas.openxmlformats.org/officeDocument/2006/relationships/hyperlink" Target="http://www.abcossan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