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3133090</wp:posOffset>
            </wp:positionH>
            <wp:positionV relativeFrom="page">
              <wp:posOffset>275590</wp:posOffset>
            </wp:positionV>
            <wp:extent cx="4149090" cy="2166536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1665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</wp:posOffset>
            </wp:positionH>
            <wp:positionV relativeFrom="page">
              <wp:posOffset>347980</wp:posOffset>
            </wp:positionV>
            <wp:extent cx="383540" cy="15718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" cy="1571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</wp:posOffset>
            </wp:positionH>
            <wp:positionV relativeFrom="page">
              <wp:posOffset>347980</wp:posOffset>
            </wp:positionV>
            <wp:extent cx="285750" cy="14444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444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1164590</wp:posOffset>
            </wp:positionH>
            <wp:positionV relativeFrom="page">
              <wp:posOffset>345440</wp:posOffset>
            </wp:positionV>
            <wp:extent cx="243840" cy="15005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500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</wp:posOffset>
            </wp:positionH>
            <wp:positionV relativeFrom="page">
              <wp:posOffset>279400</wp:posOffset>
            </wp:positionV>
            <wp:extent cx="6959600" cy="2146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</wp:posOffset>
            </wp:positionH>
            <wp:positionV relativeFrom="page">
              <wp:posOffset>6464300</wp:posOffset>
            </wp:positionV>
            <wp:extent cx="4533900" cy="25527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2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4241800</wp:posOffset>
            </wp:positionV>
            <wp:extent cx="6959600" cy="21082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108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22" w:val="left"/>
          <w:tab w:pos="768" w:val="left"/>
        </w:tabs>
        <w:autoSpaceDE w:val="0"/>
        <w:widowControl/>
        <w:spacing w:line="628" w:lineRule="exact" w:before="92" w:after="362"/>
        <w:ind w:left="522" w:right="6912" w:firstLine="0"/>
        <w:jc w:val="left"/>
      </w:pPr>
      <w:r>
        <w:rPr>
          <w:rFonts w:ascii="MyriadPro" w:hAnsi="MyriadPro" w:eastAsia="MyriadPro"/>
          <w:b w:val="0"/>
          <w:i w:val="0"/>
          <w:color w:val="EE7203"/>
          <w:sz w:val="60"/>
        </w:rPr>
        <w:t xml:space="preserve">IARD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FFFFFF"/>
          <w:sz w:val="78"/>
        </w:rPr>
        <w:t>HABI</w:t>
      </w:r>
      <w:r>
        <w:rPr>
          <w:rFonts w:ascii="MyriadPro" w:hAnsi="MyriadPro" w:eastAsia="MyriadPro"/>
          <w:b w:val="0"/>
          <w:i w:val="0"/>
          <w:color w:val="FFFFFF"/>
          <w:sz w:val="78"/>
        </w:rPr>
        <w:t xml:space="preserve">TATION </w:t>
      </w:r>
      <w:r>
        <w:br/>
      </w:r>
      <w:r>
        <w:tab/>
      </w:r>
      <w:r>
        <w:rPr>
          <w:rFonts w:ascii="MyriadPro" w:hAnsi="MyriadPro" w:eastAsia="MyriadPro"/>
          <w:b/>
          <w:i w:val="0"/>
          <w:color w:val="FFFFFF"/>
          <w:sz w:val="18"/>
        </w:rPr>
        <w:t>F I D E L I D A D 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5953"/>
        <w:gridCol w:w="5953"/>
      </w:tblGrid>
      <w:tr>
        <w:trPr>
          <w:trHeight w:hRule="exact" w:val="1210"/>
        </w:trPr>
        <w:tc>
          <w:tcPr>
            <w:tcW w:type="dxa" w:w="1220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6900" cy="5207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520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20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22" w:after="0"/>
              <w:ind w:left="116" w:right="244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8"/>
              </w:rPr>
              <w:t xml:space="preserve">POUR UN LARGE PUBLIC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8"/>
              </w:rPr>
              <w:t xml:space="preserve">RÉSIDENCE PRINCIPALE OU SECONDAIRE </w:t>
            </w:r>
          </w:p>
        </w:tc>
      </w:tr>
    </w:tbl>
    <w:p>
      <w:pPr>
        <w:autoSpaceDN w:val="0"/>
        <w:tabs>
          <w:tab w:pos="2150" w:val="left"/>
        </w:tabs>
        <w:autoSpaceDE w:val="0"/>
        <w:widowControl/>
        <w:spacing w:line="480" w:lineRule="exact" w:before="278" w:after="0"/>
        <w:ind w:left="1528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40"/>
        </w:rPr>
        <w:t xml:space="preserve">Des formules adaptées aux propriétaires et locataires, </w:t>
      </w:r>
      <w:r>
        <w:rPr>
          <w:rFonts w:ascii="MyriadPro" w:hAnsi="MyriadPro" w:eastAsia="MyriadPro"/>
          <w:b w:val="0"/>
          <w:i w:val="0"/>
          <w:color w:val="000000"/>
          <w:sz w:val="40"/>
        </w:rPr>
        <w:t>y compris les colocataires et les SCI familiales !</w:t>
      </w:r>
    </w:p>
    <w:p>
      <w:pPr>
        <w:autoSpaceDN w:val="0"/>
        <w:autoSpaceDE w:val="0"/>
        <w:widowControl/>
        <w:spacing w:line="546" w:lineRule="exact" w:before="496" w:after="42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FFFFFF"/>
          <w:sz w:val="44"/>
        </w:rPr>
        <w:t>L’offre en synthèse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969"/>
        <w:gridCol w:w="3969"/>
        <w:gridCol w:w="3969"/>
      </w:tblGrid>
      <w:tr>
        <w:trPr>
          <w:trHeight w:hRule="exact" w:val="850"/>
        </w:trPr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0" w:after="0"/>
              <w:ind w:left="576" w:right="72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4"/>
              </w:rPr>
              <w:t xml:space="preserve">Formule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EE7203"/>
                <w:sz w:val="38"/>
              </w:rPr>
              <w:t>ESSENTIELLE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0" w:after="0"/>
              <w:ind w:left="864" w:right="864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4"/>
              </w:rPr>
              <w:t xml:space="preserve">Formule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EE7203"/>
                <w:sz w:val="38"/>
              </w:rPr>
              <w:t>CONFORT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0" w:after="0"/>
              <w:ind w:left="1008" w:right="864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4"/>
              </w:rPr>
              <w:t xml:space="preserve">Formule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EE7203"/>
                <w:sz w:val="38"/>
              </w:rPr>
              <w:t>SÉRÉNITÉ</w:t>
            </w:r>
          </w:p>
        </w:tc>
      </w:tr>
      <w:tr>
        <w:trPr>
          <w:trHeight w:hRule="exact" w:val="300"/>
        </w:trPr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1"/>
              </w:rPr>
              <w:t xml:space="preserve">Les garanties indispensables 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1"/>
              </w:rPr>
              <w:t xml:space="preserve">L’équilibre parfait 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4" w:after="0"/>
              <w:ind w:left="67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1"/>
              </w:rPr>
              <w:t xml:space="preserve">Des garanties sur-équipées </w:t>
            </w:r>
          </w:p>
        </w:tc>
      </w:tr>
      <w:tr>
        <w:trPr>
          <w:trHeight w:hRule="exact" w:val="252"/>
        </w:trPr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1"/>
              </w:rPr>
              <w:t>pour les petits budgets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1"/>
              </w:rPr>
              <w:t>entre budget et garanties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58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1"/>
              </w:rPr>
              <w:t>avec un large choix d’options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86"/>
        <w:ind w:left="0" w:right="0"/>
      </w:pPr>
    </w:p>
    <w:p>
      <w:pPr>
        <w:sectPr>
          <w:pgSz w:w="11906" w:h="16838"/>
          <w:pgMar w:top="792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006" w:val="left"/>
        </w:tabs>
        <w:autoSpaceDE w:val="0"/>
        <w:widowControl/>
        <w:spacing w:line="564" w:lineRule="exact" w:before="0" w:after="0"/>
        <w:ind w:left="580" w:right="864" w:firstLine="0"/>
        <w:jc w:val="left"/>
      </w:pPr>
      <w:r>
        <w:rPr>
          <w:rFonts w:ascii="MyriadPro" w:hAnsi="MyriadPro" w:eastAsia="MyriadPro"/>
          <w:b/>
          <w:i w:val="0"/>
          <w:color w:val="FFFFFF"/>
          <w:sz w:val="36"/>
        </w:rPr>
        <w:t xml:space="preserve">Les conditions d’accès </w:t>
      </w:r>
      <w:r>
        <w:rPr>
          <w:rFonts w:ascii="MyriadPro" w:hAnsi="MyriadPro" w:eastAsia="MyriadPro"/>
          <w:b/>
          <w:i w:val="0"/>
          <w:color w:val="4A4A49"/>
          <w:sz w:val="23"/>
        </w:rPr>
        <w:t xml:space="preserve">Pour souscrire, il faut : </w:t>
      </w:r>
    </w:p>
    <w:p>
      <w:pPr>
        <w:sectPr>
          <w:type w:val="continuous"/>
          <w:pgSz w:w="11906" w:h="16838"/>
          <w:pgMar w:top="792" w:right="0" w:bottom="0" w:left="0" w:header="720" w:footer="720" w:gutter="0"/>
          <w:cols w:num="2" w:equalWidth="0">
            <w:col w:w="5092" w:space="0"/>
            <w:col w:w="6813" w:space="0"/>
          </w:cols>
          <w:docGrid w:linePitch="360"/>
        </w:sectPr>
      </w:pPr>
    </w:p>
    <w:p>
      <w:pPr>
        <w:autoSpaceDN w:val="0"/>
        <w:tabs>
          <w:tab w:pos="2392" w:val="left"/>
        </w:tabs>
        <w:autoSpaceDE w:val="0"/>
        <w:widowControl/>
        <w:spacing w:line="578" w:lineRule="exact" w:before="0" w:after="24"/>
        <w:ind w:left="990" w:right="576" w:firstLine="0"/>
        <w:jc w:val="left"/>
      </w:pPr>
      <w:r>
        <w:rPr>
          <w:rFonts w:ascii="MyriadPro" w:hAnsi="MyriadPro" w:eastAsia="MyriadPro"/>
          <w:b/>
          <w:i w:val="0"/>
          <w:color w:val="EE7203"/>
          <w:sz w:val="36"/>
        </w:rPr>
        <w:t xml:space="preserve">Les exclusions </w:t>
      </w:r>
      <w:r>
        <w:br/>
      </w: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Les biens supérieurs à 10 pièces (villas,  chateaux, </w:t>
      </w:r>
    </w:p>
    <w:p>
      <w:pPr>
        <w:sectPr>
          <w:type w:val="nextColumn"/>
          <w:pgSz w:w="11906" w:h="16838"/>
          <w:pgMar w:top="792" w:right="0" w:bottom="0" w:left="0" w:header="720" w:footer="720" w:gutter="0"/>
          <w:cols w:num="2" w:equalWidth="0">
            <w:col w:w="5092" w:space="0"/>
            <w:col w:w="6813" w:space="0"/>
          </w:cols>
          <w:docGrid w:linePitch="360"/>
        </w:sectPr>
      </w:pPr>
    </w:p>
    <w:p>
      <w:pPr>
        <w:autoSpaceDN w:val="0"/>
        <w:tabs>
          <w:tab w:pos="6366" w:val="left"/>
        </w:tabs>
        <w:autoSpaceDE w:val="0"/>
        <w:widowControl/>
        <w:spacing w:line="280" w:lineRule="exact" w:before="0" w:after="86"/>
        <w:ind w:left="1006" w:right="0" w:firstLine="0"/>
        <w:jc w:val="left"/>
      </w:pP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w w:val="102.34134674072266"/>
          <w:rFonts w:ascii="MyriadPro" w:hAnsi="MyriadPro" w:eastAsia="MyriadPro"/>
          <w:b w:val="0"/>
          <w:i w:val="0"/>
          <w:color w:val="4A4A49"/>
          <w:sz w:val="20"/>
        </w:rPr>
        <w:t xml:space="preserve">Être âgé de 18 ans ; </w:t>
      </w:r>
      <w:r>
        <w:tab/>
      </w:r>
      <w:r>
        <w:rPr>
          <w:rFonts w:ascii="MyriadPro" w:hAnsi="MyriadPro" w:eastAsia="MyriadPro"/>
          <w:b w:val="0"/>
          <w:i w:val="0"/>
          <w:color w:val="4A4A49"/>
          <w:sz w:val="21"/>
        </w:rPr>
        <w:t>manoirs...) ;</w:t>
      </w:r>
    </w:p>
    <w:p>
      <w:pPr>
        <w:sectPr>
          <w:type w:val="continuous"/>
          <w:pgSz w:w="11906" w:h="16838"/>
          <w:pgMar w:top="792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290" w:val="left"/>
        </w:tabs>
        <w:autoSpaceDE w:val="0"/>
        <w:widowControl/>
        <w:spacing w:line="278" w:lineRule="exact" w:before="2" w:after="0"/>
        <w:ind w:left="1006" w:right="576" w:firstLine="0"/>
        <w:jc w:val="left"/>
      </w:pP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Être locataire ou propriétaire occupant </w:t>
      </w:r>
      <w:r>
        <w:tab/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d’un appartement ou d’une maison </w:t>
      </w:r>
      <w:r>
        <w:tab/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situé en France métropolitaine ; </w:t>
      </w:r>
      <w:r>
        <w:br/>
      </w: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Avoir une résidence principale ou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494948"/>
          <w:sz w:val="21"/>
        </w:rPr>
        <w:t>résidence secondaire.</w:t>
      </w:r>
    </w:p>
    <w:p>
      <w:pPr>
        <w:sectPr>
          <w:type w:val="continuous"/>
          <w:pgSz w:w="11906" w:h="16838"/>
          <w:pgMar w:top="792" w:right="0" w:bottom="0" w:left="0" w:header="720" w:footer="720" w:gutter="0"/>
          <w:cols w:num="2" w:equalWidth="0">
            <w:col w:w="5390" w:space="0"/>
            <w:col w:w="6515" w:space="0"/>
          </w:cols>
          <w:docGrid w:linePitch="360"/>
        </w:sectPr>
      </w:pPr>
    </w:p>
    <w:p>
      <w:pPr>
        <w:autoSpaceDN w:val="0"/>
        <w:tabs>
          <w:tab w:pos="976" w:val="left"/>
        </w:tabs>
        <w:autoSpaceDE w:val="0"/>
        <w:widowControl/>
        <w:spacing w:line="276" w:lineRule="exact" w:before="4" w:after="0"/>
        <w:ind w:left="692" w:right="1152" w:firstLine="0"/>
        <w:jc w:val="left"/>
      </w:pP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Les bungalows, chalets en bois, maison au toit 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de chaume à ossature en bois, mobiles homes... ; </w:t>
      </w:r>
    </w:p>
    <w:p>
      <w:pPr>
        <w:autoSpaceDN w:val="0"/>
        <w:tabs>
          <w:tab w:pos="976" w:val="left"/>
        </w:tabs>
        <w:autoSpaceDE w:val="0"/>
        <w:widowControl/>
        <w:spacing w:line="278" w:lineRule="exact" w:before="118" w:after="0"/>
        <w:ind w:left="692" w:right="576" w:firstLine="0"/>
        <w:jc w:val="left"/>
      </w:pP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Les habitations réservées pour plus de la moitié de leur 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surface à des activités professionnelles libérales ; </w:t>
      </w:r>
    </w:p>
    <w:p>
      <w:pPr>
        <w:autoSpaceDN w:val="0"/>
        <w:tabs>
          <w:tab w:pos="976" w:val="left"/>
        </w:tabs>
        <w:autoSpaceDE w:val="0"/>
        <w:widowControl/>
        <w:spacing w:line="276" w:lineRule="exact" w:before="92" w:after="0"/>
        <w:ind w:left="692" w:right="864" w:firstLine="0"/>
        <w:jc w:val="left"/>
      </w:pP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Les bâtiments vides d’occupation ou désaffectés, les 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bâtiments vétustes ou délabrés ; </w:t>
      </w:r>
    </w:p>
    <w:p>
      <w:pPr>
        <w:autoSpaceDN w:val="0"/>
        <w:autoSpaceDE w:val="0"/>
        <w:widowControl/>
        <w:spacing w:line="280" w:lineRule="exact" w:before="88" w:after="2308"/>
        <w:ind w:left="692" w:right="0" w:firstLine="0"/>
        <w:jc w:val="left"/>
      </w:pPr>
      <w:r>
        <w:rPr>
          <w:rFonts w:ascii="Webdings" w:hAnsi="Webdings" w:eastAsia="Webdings"/>
          <w:b w:val="0"/>
          <w:i w:val="0"/>
          <w:color w:val="4A4A49"/>
          <w:sz w:val="28"/>
        </w:rPr>
        <w:t>a</w:t>
      </w:r>
      <w:r>
        <w:rPr>
          <w:rFonts w:ascii="MyriadPro" w:hAnsi="MyriadPro" w:eastAsia="MyriadPro"/>
          <w:b w:val="0"/>
          <w:i w:val="0"/>
          <w:color w:val="4A4A49"/>
          <w:sz w:val="21"/>
        </w:rPr>
        <w:t xml:space="preserve">Les sinistrés DDE, Incendie, Vol. </w:t>
      </w:r>
    </w:p>
    <w:p>
      <w:pPr>
        <w:sectPr>
          <w:type w:val="nextColumn"/>
          <w:pgSz w:w="11906" w:h="16838"/>
          <w:pgMar w:top="792" w:right="0" w:bottom="0" w:left="0" w:header="720" w:footer="720" w:gutter="0"/>
          <w:cols w:num="2" w:equalWidth="0">
            <w:col w:w="5390" w:space="0"/>
            <w:col w:w="6515" w:space="0"/>
          </w:cols>
          <w:docGrid w:linePitch="360"/>
        </w:sectPr>
      </w:pPr>
    </w:p>
    <w:p>
      <w:pPr>
        <w:sectPr>
          <w:type w:val="continuous"/>
          <w:pgSz w:w="11906" w:h="16838"/>
          <w:pgMar w:top="79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3989070</wp:posOffset>
            </wp:positionH>
            <wp:positionV relativeFrom="page">
              <wp:posOffset>444500</wp:posOffset>
            </wp:positionV>
            <wp:extent cx="3213100" cy="167943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6794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457200</wp:posOffset>
            </wp:positionV>
            <wp:extent cx="6832600" cy="16637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66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</wp:posOffset>
            </wp:positionH>
            <wp:positionV relativeFrom="page">
              <wp:posOffset>7505700</wp:posOffset>
            </wp:positionV>
            <wp:extent cx="4533900" cy="25273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27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2349500</wp:posOffset>
            </wp:positionV>
            <wp:extent cx="2349500" cy="4775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775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34" w:val="left"/>
          <w:tab w:pos="6840" w:val="left"/>
        </w:tabs>
        <w:autoSpaceDE w:val="0"/>
        <w:widowControl/>
        <w:spacing w:line="478" w:lineRule="exact" w:before="412" w:after="0"/>
        <w:ind w:left="700" w:right="3600" w:firstLine="0"/>
        <w:jc w:val="left"/>
      </w:pPr>
      <w:r>
        <w:rPr>
          <w:rFonts w:ascii="MyriadPro" w:hAnsi="MyriadPro" w:eastAsia="MyriadPro"/>
          <w:b w:val="0"/>
          <w:i w:val="0"/>
          <w:color w:val="EE7203"/>
          <w:sz w:val="52"/>
        </w:rPr>
        <w:t xml:space="preserve">IARD </w:t>
      </w:r>
      <w:r>
        <w:br/>
      </w:r>
      <w:r>
        <w:rPr>
          <w:rFonts w:ascii="MyriadPro" w:hAnsi="MyriadPro" w:eastAsia="MyriadPro"/>
          <w:b/>
          <w:i w:val="0"/>
          <w:color w:val="FFFFFF"/>
          <w:sz w:val="36"/>
        </w:rPr>
        <w:t xml:space="preserve">HABITATION </w:t>
      </w:r>
      <w:r>
        <w:tab/>
      </w:r>
      <w:r>
        <w:rPr>
          <w:rFonts w:ascii="MyriadPro" w:hAnsi="MyriadPro" w:eastAsia="MyriadPro"/>
          <w:b/>
          <w:i w:val="0"/>
          <w:color w:val="FFFFFF"/>
          <w:sz w:val="20"/>
        </w:rPr>
        <w:t>F I D E L I D A D E</w:t>
      </w:r>
    </w:p>
    <w:p>
      <w:pPr>
        <w:autoSpaceDN w:val="0"/>
        <w:autoSpaceDE w:val="0"/>
        <w:widowControl/>
        <w:spacing w:line="360" w:lineRule="exact" w:before="570" w:after="0"/>
        <w:ind w:left="1714" w:right="6048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36"/>
        </w:rPr>
        <w:t xml:space="preserve">Le point sur les garanties </w:t>
      </w:r>
      <w:r>
        <w:br/>
      </w:r>
      <w:r>
        <w:rPr>
          <w:rFonts w:ascii="MyriadPro" w:hAnsi="MyriadPro" w:eastAsia="MyriadPro"/>
          <w:b/>
          <w:i w:val="0"/>
          <w:color w:val="000000"/>
          <w:sz w:val="36"/>
        </w:rPr>
        <w:t>et services</w:t>
      </w:r>
    </w:p>
    <w:p>
      <w:pPr>
        <w:autoSpaceDN w:val="0"/>
        <w:autoSpaceDE w:val="0"/>
        <w:widowControl/>
        <w:spacing w:line="286" w:lineRule="exact" w:before="518" w:after="22"/>
        <w:ind w:left="570" w:right="0" w:firstLine="0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>› Garanties de base</w:t>
      </w:r>
    </w:p>
    <w:p>
      <w:pPr>
        <w:sectPr>
          <w:pgSz w:w="11906" w:h="16838"/>
          <w:pgMar w:top="22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796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Responsabilité civile, défense pénale, incendie, explosion et évènements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assimilés, dégâts des eaux, bris de glace. </w:t>
      </w:r>
    </w:p>
    <w:p>
      <w:pPr>
        <w:autoSpaceDN w:val="0"/>
        <w:autoSpaceDE w:val="0"/>
        <w:widowControl/>
        <w:spacing w:line="276" w:lineRule="exact" w:before="130" w:after="0"/>
        <w:ind w:left="796" w:right="1152" w:hanging="226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Garanties contre les risques naturels imprévisibles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Dommages matériels provoqués par les catastrophes naturelles,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>technologiques ou évènements climatiques.</w:t>
      </w:r>
    </w:p>
    <w:p>
      <w:pPr>
        <w:autoSpaceDN w:val="0"/>
        <w:tabs>
          <w:tab w:pos="796" w:val="left"/>
        </w:tabs>
        <w:autoSpaceDE w:val="0"/>
        <w:widowControl/>
        <w:spacing w:line="274" w:lineRule="exact" w:before="132" w:after="0"/>
        <w:ind w:left="570" w:right="720" w:firstLine="0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Vol, détériorations et vandalisme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>Disparition, destruction ou détérioration des bâtiments ou du mobilier.</w:t>
      </w:r>
    </w:p>
    <w:p>
      <w:pPr>
        <w:autoSpaceDN w:val="0"/>
        <w:autoSpaceDE w:val="0"/>
        <w:widowControl/>
        <w:spacing w:line="276" w:lineRule="exact" w:before="130" w:after="0"/>
        <w:ind w:left="796" w:right="288" w:hanging="226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Accidents électriques et ménagers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Dommages matériels subis par les appareils électriques ou électroniques ;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>brûlures causées par un excès de chaleur ; perte de denrées alimentaires.</w:t>
      </w:r>
    </w:p>
    <w:p>
      <w:pPr>
        <w:autoSpaceDN w:val="0"/>
        <w:autoSpaceDE w:val="0"/>
        <w:widowControl/>
        <w:spacing w:line="276" w:lineRule="exact" w:before="130" w:after="0"/>
        <w:ind w:left="796" w:right="1008" w:hanging="226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Piscine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Extension des garanties de Responsabilités Civile aux dommages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>matériels et corporels du fait de la piscine.</w:t>
      </w:r>
    </w:p>
    <w:p>
      <w:pPr>
        <w:autoSpaceDN w:val="0"/>
        <w:autoSpaceDE w:val="0"/>
        <w:widowControl/>
        <w:spacing w:line="276" w:lineRule="exact" w:before="130" w:after="0"/>
        <w:ind w:left="796" w:right="432" w:hanging="226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Sérénité coup dur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Prise en charge des cotisations pendant 12 mois en cas de licenciement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>économique,  cessation d’activité...</w:t>
      </w:r>
    </w:p>
    <w:p>
      <w:pPr>
        <w:autoSpaceDN w:val="0"/>
        <w:autoSpaceDE w:val="0"/>
        <w:widowControl/>
        <w:spacing w:line="278" w:lineRule="exact" w:before="128" w:after="0"/>
        <w:ind w:left="796" w:right="720" w:hanging="226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Bris de glaces étendu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Garanties pour les frais de bris, de parois, de balcons, de vérandas, de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marquises, de serres, de châssis et d’aquarium ainsi que les bris des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>produits verriers</w:t>
      </w:r>
    </w:p>
    <w:p>
      <w:pPr>
        <w:autoSpaceDN w:val="0"/>
        <w:autoSpaceDE w:val="0"/>
        <w:widowControl/>
        <w:spacing w:line="278" w:lineRule="exact" w:before="128" w:after="0"/>
        <w:ind w:left="796" w:right="288" w:hanging="226"/>
        <w:jc w:val="left"/>
      </w:pPr>
      <w:r>
        <w:rPr>
          <w:rFonts w:ascii="MyriadPro" w:hAnsi="MyriadPro" w:eastAsia="MyriadPro"/>
          <w:b/>
          <w:i w:val="0"/>
          <w:color w:val="EE7203"/>
          <w:sz w:val="23"/>
        </w:rPr>
        <w:t xml:space="preserve">› Valeur à neuf du mobilier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Pour toutes les garanties souscrites sauf le Vol et les Dommages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électriques nous prenons à notre charge la vétusté à concurrence de 25%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de la valeur de remplacement à neuf au jour du sinistre. </w:t>
      </w:r>
    </w:p>
    <w:p>
      <w:pPr>
        <w:autoSpaceDN w:val="0"/>
        <w:autoSpaceDE w:val="0"/>
        <w:widowControl/>
        <w:spacing w:line="446" w:lineRule="exact" w:before="666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FFFFFF"/>
          <w:sz w:val="36"/>
        </w:rPr>
        <w:t>Les Plus du contrat</w:t>
      </w:r>
    </w:p>
    <w:p>
      <w:pPr>
        <w:sectPr>
          <w:type w:val="continuous"/>
          <w:pgSz w:w="11906" w:h="16838"/>
          <w:pgMar w:top="228" w:right="0" w:bottom="0" w:left="0" w:header="720" w:footer="720" w:gutter="0"/>
          <w:cols w:num="2" w:equalWidth="0">
            <w:col w:w="7602" w:space="0"/>
            <w:col w:w="4303" w:space="0"/>
          </w:cols>
          <w:docGrid w:linePitch="360"/>
        </w:sectPr>
      </w:pPr>
    </w:p>
    <w:p>
      <w:pPr>
        <w:autoSpaceDN w:val="0"/>
        <w:autoSpaceDE w:val="0"/>
        <w:widowControl/>
        <w:spacing w:line="360" w:lineRule="exact" w:before="86" w:after="0"/>
        <w:ind w:left="332" w:right="1872" w:firstLine="0"/>
        <w:jc w:val="left"/>
      </w:pPr>
      <w:r>
        <w:rPr>
          <w:rFonts w:ascii="MyriadPro" w:hAnsi="MyriadPro" w:eastAsia="MyriadPro"/>
          <w:b/>
          <w:i w:val="0"/>
          <w:color w:val="FFFFFF"/>
          <w:sz w:val="36"/>
        </w:rPr>
        <w:t xml:space="preserve">Les atouts </w:t>
      </w:r>
      <w:r>
        <w:br/>
      </w:r>
      <w:r>
        <w:rPr>
          <w:rFonts w:ascii="MyriadPro" w:hAnsi="MyriadPro" w:eastAsia="MyriadPro"/>
          <w:b/>
          <w:i w:val="0"/>
          <w:color w:val="FFFFFF"/>
          <w:sz w:val="36"/>
        </w:rPr>
        <w:t xml:space="preserve">qui font </w:t>
      </w:r>
      <w:r>
        <w:br/>
      </w:r>
      <w:r>
        <w:rPr>
          <w:rFonts w:ascii="MyriadPro" w:hAnsi="MyriadPro" w:eastAsia="MyriadPro"/>
          <w:b/>
          <w:i w:val="0"/>
          <w:color w:val="FFFFFF"/>
          <w:sz w:val="36"/>
        </w:rPr>
        <w:t>la différence</w:t>
      </w:r>
    </w:p>
    <w:p>
      <w:pPr>
        <w:autoSpaceDN w:val="0"/>
        <w:autoSpaceDE w:val="0"/>
        <w:widowControl/>
        <w:spacing w:line="248" w:lineRule="exact" w:before="644" w:after="0"/>
        <w:ind w:left="820" w:right="720" w:hanging="340"/>
        <w:jc w:val="left"/>
      </w:pPr>
      <w:r>
        <w:rPr>
          <w:rFonts w:ascii="MyriadPro" w:hAnsi="MyriadPro" w:eastAsia="MyriadPro"/>
          <w:b/>
          <w:i w:val="0"/>
          <w:color w:val="EE7203"/>
          <w:sz w:val="40"/>
        </w:rPr>
        <w:t>+</w:t>
      </w:r>
      <w:r>
        <w:rPr>
          <w:rFonts w:ascii="MyriadPro" w:hAnsi="MyriadPro" w:eastAsia="MyriadPro"/>
          <w:b/>
          <w:i w:val="0"/>
          <w:color w:val="EE7203"/>
          <w:sz w:val="23"/>
        </w:rPr>
        <w:t xml:space="preserve">Le capital mobilier garanti </w:t>
      </w:r>
      <w:r>
        <w:rPr>
          <w:rFonts w:ascii="MyriadPro" w:hAnsi="MyriadPro" w:eastAsia="MyriadPro"/>
          <w:b/>
          <w:i w:val="0"/>
          <w:color w:val="EE7203"/>
          <w:sz w:val="23"/>
        </w:rPr>
        <w:t>jusqu’à 80 000€</w:t>
      </w:r>
      <w:r>
        <w:rPr>
          <w:rFonts w:ascii="MyriadPro" w:hAnsi="MyriadPro" w:eastAsia="MyriadPro"/>
          <w:b w:val="0"/>
          <w:i w:val="0"/>
          <w:color w:val="EFF8FB"/>
          <w:sz w:val="23"/>
        </w:rPr>
        <w:t xml:space="preserve">et la </w:t>
      </w:r>
      <w:r>
        <w:br/>
      </w:r>
      <w:r>
        <w:rPr>
          <w:rFonts w:ascii="MyriadPro" w:hAnsi="MyriadPro" w:eastAsia="MyriadPro"/>
          <w:b w:val="0"/>
          <w:i w:val="0"/>
          <w:color w:val="EFF8FB"/>
          <w:sz w:val="23"/>
        </w:rPr>
        <w:t xml:space="preserve">vétusté est compensée à </w:t>
      </w:r>
      <w:r>
        <w:br/>
      </w:r>
      <w:r>
        <w:rPr>
          <w:rFonts w:ascii="MyriadPro" w:hAnsi="MyriadPro" w:eastAsia="MyriadPro"/>
          <w:b w:val="0"/>
          <w:i w:val="0"/>
          <w:color w:val="EFF8FB"/>
          <w:sz w:val="23"/>
        </w:rPr>
        <w:t>25% de la valeur à neuf.</w:t>
      </w:r>
    </w:p>
    <w:p>
      <w:pPr>
        <w:autoSpaceDN w:val="0"/>
        <w:autoSpaceDE w:val="0"/>
        <w:widowControl/>
        <w:spacing w:line="260" w:lineRule="exact" w:before="422" w:after="0"/>
        <w:ind w:left="820" w:right="1008" w:hanging="340"/>
        <w:jc w:val="left"/>
      </w:pPr>
      <w:r>
        <w:rPr>
          <w:rFonts w:ascii="MyriadPro" w:hAnsi="MyriadPro" w:eastAsia="MyriadPro"/>
          <w:b/>
          <w:i w:val="0"/>
          <w:color w:val="EE7203"/>
          <w:sz w:val="40"/>
        </w:rPr>
        <w:t>+</w:t>
      </w:r>
      <w:r>
        <w:rPr>
          <w:rFonts w:ascii="MyriadPro" w:hAnsi="MyriadPro" w:eastAsia="MyriadPro"/>
          <w:b/>
          <w:i w:val="0"/>
          <w:color w:val="EE7203"/>
          <w:sz w:val="23"/>
        </w:rPr>
        <w:t xml:space="preserve"> Acceptation des </w:t>
      </w:r>
      <w:r>
        <w:br/>
      </w:r>
      <w:r>
        <w:rPr>
          <w:rFonts w:ascii="MyriadPro" w:hAnsi="MyriadPro" w:eastAsia="MyriadPro"/>
          <w:b/>
          <w:i w:val="0"/>
          <w:color w:val="EE7203"/>
          <w:sz w:val="23"/>
        </w:rPr>
        <w:t xml:space="preserve">affaires résiliées </w:t>
      </w:r>
      <w:r>
        <w:rPr>
          <w:rFonts w:ascii="MyriadPro" w:hAnsi="MyriadPro" w:eastAsia="MyriadPro"/>
          <w:b w:val="0"/>
          <w:i w:val="0"/>
          <w:color w:val="EFF8FB"/>
          <w:sz w:val="23"/>
        </w:rPr>
        <w:t xml:space="preserve">pour </w:t>
      </w:r>
      <w:r>
        <w:rPr>
          <w:rFonts w:ascii="MyriadPro" w:hAnsi="MyriadPro" w:eastAsia="MyriadPro"/>
          <w:b w:val="0"/>
          <w:i w:val="0"/>
          <w:color w:val="EFF8FB"/>
          <w:sz w:val="23"/>
        </w:rPr>
        <w:t xml:space="preserve">non-paiement de prime </w:t>
      </w:r>
      <w:r>
        <w:rPr>
          <w:rFonts w:ascii="MyriadPro" w:hAnsi="MyriadPro" w:eastAsia="MyriadPro"/>
          <w:b w:val="0"/>
          <w:i w:val="0"/>
          <w:color w:val="EFF8FB"/>
          <w:sz w:val="23"/>
        </w:rPr>
        <w:t xml:space="preserve">avec une souscription en </w:t>
      </w:r>
      <w:r>
        <w:rPr>
          <w:rFonts w:ascii="MyriadPro" w:hAnsi="MyriadPro" w:eastAsia="MyriadPro"/>
          <w:b w:val="0"/>
          <w:i w:val="0"/>
          <w:color w:val="EFF8FB"/>
          <w:sz w:val="23"/>
        </w:rPr>
        <w:t xml:space="preserve">fractionnement annuel </w:t>
      </w:r>
      <w:r>
        <w:rPr>
          <w:rFonts w:ascii="MyriadPro" w:hAnsi="MyriadPro" w:eastAsia="MyriadPro"/>
          <w:b w:val="0"/>
          <w:i w:val="0"/>
          <w:color w:val="EFF8FB"/>
          <w:sz w:val="23"/>
        </w:rPr>
        <w:t>obligatoire</w:t>
      </w:r>
    </w:p>
    <w:p>
      <w:pPr>
        <w:autoSpaceDN w:val="0"/>
        <w:autoSpaceDE w:val="0"/>
        <w:widowControl/>
        <w:spacing w:line="260" w:lineRule="exact" w:before="422" w:after="2078"/>
        <w:ind w:left="820" w:right="864" w:hanging="340"/>
        <w:jc w:val="left"/>
      </w:pPr>
      <w:r>
        <w:rPr>
          <w:rFonts w:ascii="MyriadPro" w:hAnsi="MyriadPro" w:eastAsia="MyriadPro"/>
          <w:b/>
          <w:i w:val="0"/>
          <w:color w:val="EE7203"/>
          <w:sz w:val="40"/>
        </w:rPr>
        <w:t>+</w:t>
      </w:r>
      <w:r>
        <w:rPr>
          <w:rFonts w:ascii="MyriadPro" w:hAnsi="MyriadPro" w:eastAsia="MyriadPro"/>
          <w:b/>
          <w:i w:val="0"/>
          <w:color w:val="EE7209"/>
          <w:sz w:val="23"/>
        </w:rPr>
        <w:t xml:space="preserve">Les énergies </w:t>
      </w:r>
      <w:r>
        <w:br/>
      </w:r>
      <w:r>
        <w:rPr>
          <w:rFonts w:ascii="MyriadPro" w:hAnsi="MyriadPro" w:eastAsia="MyriadPro"/>
          <w:b/>
          <w:i w:val="0"/>
          <w:color w:val="EE7209"/>
          <w:sz w:val="23"/>
        </w:rPr>
        <w:t xml:space="preserve">renouvelables </w:t>
      </w:r>
      <w:r>
        <w:br/>
      </w:r>
      <w:r>
        <w:rPr>
          <w:rFonts w:ascii="MyriadPro" w:hAnsi="MyriadPro" w:eastAsia="MyriadPro"/>
          <w:b/>
          <w:i w:val="0"/>
          <w:color w:val="EE7209"/>
          <w:sz w:val="23"/>
        </w:rPr>
        <w:t>couvertes</w:t>
      </w:r>
      <w:r>
        <w:rPr>
          <w:rFonts w:ascii="MyriadPro" w:hAnsi="MyriadPro" w:eastAsia="MyriadPro"/>
          <w:b w:val="0"/>
          <w:i/>
          <w:color w:val="FFFFFF"/>
          <w:sz w:val="20"/>
        </w:rPr>
        <w:t xml:space="preserve">(capteurs solaires, </w:t>
      </w:r>
      <w:r>
        <w:rPr>
          <w:rFonts w:ascii="MyriadPro" w:hAnsi="MyriadPro" w:eastAsia="MyriadPro"/>
          <w:b w:val="0"/>
          <w:i/>
          <w:color w:val="FFFFFF"/>
          <w:sz w:val="20"/>
        </w:rPr>
        <w:t>photovoltaïques)</w:t>
      </w:r>
      <w:r>
        <w:rPr>
          <w:rFonts w:ascii="MyriadPro" w:hAnsi="MyriadPro" w:eastAsia="MyriadPro"/>
          <w:b w:val="0"/>
          <w:i w:val="0"/>
          <w:color w:val="FFFFFF"/>
          <w:sz w:val="23"/>
        </w:rPr>
        <w:t xml:space="preserve"> en cas de </w:t>
      </w:r>
      <w:r>
        <w:rPr>
          <w:rFonts w:ascii="MyriadPro" w:hAnsi="MyriadPro" w:eastAsia="MyriadPro"/>
          <w:b w:val="0"/>
          <w:i w:val="0"/>
          <w:color w:val="FFFFFF"/>
          <w:sz w:val="23"/>
        </w:rPr>
        <w:t xml:space="preserve">souscription de l’option </w:t>
      </w:r>
      <w:r>
        <w:rPr>
          <w:rFonts w:ascii="MyriadPro" w:hAnsi="MyriadPro" w:eastAsia="MyriadPro"/>
          <w:b w:val="0"/>
          <w:i w:val="0"/>
          <w:color w:val="FFFFFF"/>
          <w:sz w:val="23"/>
        </w:rPr>
        <w:t>« Extension bris de glace »</w:t>
      </w:r>
    </w:p>
    <w:p>
      <w:pPr>
        <w:sectPr>
          <w:type w:val="nextColumn"/>
          <w:pgSz w:w="11906" w:h="16838"/>
          <w:pgMar w:top="228" w:right="0" w:bottom="0" w:left="0" w:header="720" w:footer="720" w:gutter="0"/>
          <w:cols w:num="2" w:equalWidth="0">
            <w:col w:w="7602" w:space="0"/>
            <w:col w:w="4303" w:space="0"/>
          </w:cols>
          <w:docGrid w:linePitch="360"/>
        </w:sectPr>
      </w:pPr>
    </w:p>
    <w:p>
      <w:pPr>
        <w:autoSpaceDN w:val="0"/>
        <w:autoSpaceDE w:val="0"/>
        <w:widowControl/>
        <w:spacing w:line="560" w:lineRule="exact" w:before="134" w:after="312"/>
        <w:ind w:left="944" w:right="1728" w:firstLine="0"/>
        <w:jc w:val="left"/>
      </w:pPr>
      <w:r>
        <w:rPr>
          <w:rFonts w:ascii="MyriadPro" w:hAnsi="MyriadPro" w:eastAsia="MyriadPro"/>
          <w:b/>
          <w:i w:val="0"/>
          <w:color w:val="EE7203"/>
          <w:sz w:val="56"/>
        </w:rPr>
        <w:t xml:space="preserve">+  </w:t>
      </w:r>
      <w:r>
        <w:rPr>
          <w:rFonts w:ascii="MyriadPro" w:hAnsi="MyriadPro" w:eastAsia="MyriadPro"/>
          <w:b/>
          <w:i w:val="0"/>
          <w:color w:val="EE7203"/>
          <w:sz w:val="36"/>
        </w:rPr>
        <w:t>Assurance scolaire</w:t>
      </w:r>
      <w:r>
        <w:rPr>
          <w:rFonts w:ascii="MyriadPro" w:hAnsi="MyriadPro" w:eastAsia="MyriadPro"/>
          <w:b/>
          <w:i w:val="0"/>
          <w:color w:val="020203"/>
          <w:sz w:val="23"/>
        </w:rPr>
        <w:t xml:space="preserve">dans le cadre de ses activités scolaires et extra-scolaires. </w:t>
      </w:r>
      <w:r>
        <w:rPr>
          <w:rFonts w:ascii="MyriadPro" w:hAnsi="MyriadPro" w:eastAsia="MyriadPro"/>
          <w:b/>
          <w:i w:val="0"/>
          <w:color w:val="EE7203"/>
          <w:sz w:val="56"/>
        </w:rPr>
        <w:t xml:space="preserve">+  </w:t>
      </w:r>
      <w:r>
        <w:rPr>
          <w:rFonts w:ascii="MyriadPro" w:hAnsi="MyriadPro" w:eastAsia="MyriadPro"/>
          <w:b/>
          <w:i w:val="0"/>
          <w:color w:val="EE7203"/>
          <w:sz w:val="36"/>
        </w:rPr>
        <w:t xml:space="preserve">RC Assistante maternelle </w:t>
      </w:r>
      <w:r>
        <w:rPr>
          <w:rFonts w:ascii="MyriadPro" w:hAnsi="MyriadPro" w:eastAsia="MyriadPro"/>
          <w:b/>
          <w:i w:val="0"/>
          <w:color w:val="020203"/>
          <w:sz w:val="23"/>
        </w:rPr>
        <w:t xml:space="preserve">dommages subis par les enfants confiés </w:t>
      </w:r>
      <w:r>
        <w:rPr>
          <w:rFonts w:ascii="MyriadPro" w:hAnsi="MyriadPro" w:eastAsia="MyriadPro"/>
          <w:b/>
          <w:i w:val="0"/>
          <w:color w:val="EE7203"/>
          <w:sz w:val="56"/>
        </w:rPr>
        <w:t xml:space="preserve">+  </w:t>
      </w:r>
      <w:r>
        <w:rPr>
          <w:rFonts w:ascii="MyriadPro" w:hAnsi="MyriadPro" w:eastAsia="MyriadPro"/>
          <w:b/>
          <w:i w:val="0"/>
          <w:color w:val="EE7203"/>
          <w:sz w:val="36"/>
        </w:rPr>
        <w:t>Chambre étudiante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3969"/>
        <w:gridCol w:w="3969"/>
        <w:gridCol w:w="3969"/>
      </w:tblGrid>
      <w:tr>
        <w:trPr>
          <w:trHeight w:hRule="exact" w:val="680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90" w:after="0"/>
              <w:ind w:left="39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20203"/>
                <w:sz w:val="15"/>
              </w:rPr>
              <w:t>FMA Assurances</w:t>
            </w:r>
            <w:r>
              <w:rPr>
                <w:rFonts w:ascii="MyriadPro" w:hAnsi="MyriadPro" w:eastAsia="MyriadPro"/>
                <w:b w:val="0"/>
                <w:i w:val="0"/>
                <w:color w:val="020203"/>
                <w:sz w:val="15"/>
              </w:rPr>
              <w:t xml:space="preserve"> - SAS au capital de 787 204 € - Courtier en assurance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49300" cy="304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47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EE7203"/>
                <w:sz w:val="12"/>
              </w:rPr>
              <w:t xml:space="preserve"> FP - MRH FIDÉLIDAD - 06/2023</w:t>
            </w:r>
          </w:p>
        </w:tc>
      </w:tr>
    </w:tbl>
    <w:p>
      <w:pPr>
        <w:autoSpaceDN w:val="0"/>
        <w:autoSpaceDE w:val="0"/>
        <w:widowControl/>
        <w:spacing w:line="180" w:lineRule="exact" w:before="4" w:after="0"/>
        <w:ind w:left="752" w:right="0" w:firstLine="0"/>
        <w:jc w:val="left"/>
      </w:pPr>
      <w:r>
        <w:rPr>
          <w:rFonts w:ascii="MyriadPro" w:hAnsi="MyriadPro" w:eastAsia="MyriadPro"/>
          <w:b w:val="0"/>
          <w:i w:val="0"/>
          <w:color w:val="020203"/>
          <w:sz w:val="15"/>
        </w:rPr>
        <w:t>Siège social : Immeuble Colisée Gardens, 8-14 avenue de l’Arche, 92400 Courbevoie - RCS Nanterre 429882236 - ORIAS : 12068209</w:t>
      </w:r>
    </w:p>
    <w:p>
      <w:pPr>
        <w:autoSpaceDN w:val="0"/>
        <w:autoSpaceDE w:val="0"/>
        <w:widowControl/>
        <w:spacing w:line="184" w:lineRule="exact" w:before="6" w:after="0"/>
        <w:ind w:left="752" w:right="0" w:firstLine="0"/>
        <w:jc w:val="left"/>
      </w:pPr>
      <w:r>
        <w:rPr>
          <w:rFonts w:ascii="MyriadPro" w:hAnsi="MyriadPro" w:eastAsia="MyriadPro"/>
          <w:b/>
          <w:i w:val="0"/>
          <w:color w:val="020203"/>
          <w:sz w:val="15"/>
        </w:rPr>
        <w:t>Fidelidade -</w:t>
      </w:r>
      <w:r>
        <w:rPr>
          <w:rFonts w:ascii="MyriadPro" w:hAnsi="MyriadPro" w:eastAsia="MyriadPro"/>
          <w:b w:val="0"/>
          <w:i w:val="0"/>
          <w:color w:val="020203"/>
          <w:sz w:val="15"/>
        </w:rPr>
        <w:t xml:space="preserve"> Companhia de Seguros, SA Succursale de France, située à la tour W - 24ème étage - 102 Terrasse Boieldieu - 92085 Paris La Défense Cedex - Numéro d’identification </w:t>
      </w:r>
    </w:p>
    <w:p>
      <w:pPr>
        <w:autoSpaceDN w:val="0"/>
        <w:autoSpaceDE w:val="0"/>
        <w:widowControl/>
        <w:spacing w:line="180" w:lineRule="exact" w:before="10" w:after="0"/>
        <w:ind w:left="752" w:right="0" w:firstLine="0"/>
        <w:jc w:val="left"/>
      </w:pPr>
      <w:r>
        <w:rPr>
          <w:rFonts w:ascii="MyriadPro" w:hAnsi="MyriadPro" w:eastAsia="MyriadPro"/>
          <w:b w:val="0"/>
          <w:i w:val="0"/>
          <w:color w:val="020203"/>
          <w:sz w:val="15"/>
        </w:rPr>
        <w:t xml:space="preserve">RCS NANTERRE 413175191 - Capital Social 509 263 524 € - Autorité de contrôle : «Autoridade de Supervisão de Seguros e Fundos de Pensões» (ASF), Avenida da Republica, 76, </w:t>
      </w:r>
    </w:p>
    <w:p>
      <w:pPr>
        <w:autoSpaceDN w:val="0"/>
        <w:autoSpaceDE w:val="0"/>
        <w:widowControl/>
        <w:spacing w:line="180" w:lineRule="exact" w:before="10" w:after="0"/>
        <w:ind w:left="752" w:right="0" w:firstLine="0"/>
        <w:jc w:val="left"/>
      </w:pPr>
      <w:r>
        <w:rPr>
          <w:rFonts w:ascii="MyriadPro" w:hAnsi="MyriadPro" w:eastAsia="MyriadPro"/>
          <w:b w:val="0"/>
          <w:i w:val="0"/>
          <w:color w:val="020203"/>
          <w:sz w:val="15"/>
        </w:rPr>
        <w:t xml:space="preserve">1600-205 Lisboa - Portugal </w:t>
      </w:r>
    </w:p>
    <w:sectPr w:rsidR="00FC693F" w:rsidRPr="0006063C" w:rsidSect="00034616">
      <w:type w:val="continuous"/>
      <w:pgSz w:w="11906" w:h="16838"/>
      <w:pgMar w:top="228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