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</wp:posOffset>
            </wp:positionH>
            <wp:positionV relativeFrom="page">
              <wp:posOffset>5613400</wp:posOffset>
            </wp:positionV>
            <wp:extent cx="7251700" cy="5084452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1700" cy="508445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</wp:posOffset>
            </wp:positionH>
            <wp:positionV relativeFrom="page">
              <wp:posOffset>0</wp:posOffset>
            </wp:positionV>
            <wp:extent cx="6591300" cy="17272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727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5678" w:val="left"/>
        </w:tabs>
        <w:autoSpaceDE w:val="0"/>
        <w:widowControl/>
        <w:spacing w:line="734" w:lineRule="exact" w:before="0" w:after="1056"/>
        <w:ind w:left="4074" w:right="1872" w:firstLine="0"/>
        <w:jc w:val="left"/>
      </w:pPr>
      <w:r>
        <w:rPr>
          <w:rFonts w:ascii="BrandingSF" w:hAnsi="BrandingSF" w:eastAsia="BrandingSF"/>
          <w:b/>
          <w:i w:val="0"/>
          <w:color w:val="4EA699"/>
          <w:sz w:val="52"/>
        </w:rPr>
        <w:t xml:space="preserve">Habitation </w:t>
      </w:r>
      <w:r>
        <w:br/>
      </w:r>
      <w:r>
        <w:rPr>
          <w:rFonts w:ascii="BrandingSF" w:hAnsi="BrandingSF" w:eastAsia="BrandingSF"/>
          <w:b/>
          <w:i w:val="0"/>
          <w:color w:val="4EA699"/>
          <w:sz w:val="48"/>
        </w:rPr>
        <w:t xml:space="preserve">TABLEAU DES GARANTIES </w:t>
      </w:r>
    </w:p>
    <w:p>
      <w:pPr>
        <w:sectPr>
          <w:pgSz w:w="11906" w:h="16838"/>
          <w:pgMar w:top="350" w:right="0" w:bottom="306" w:left="506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850"/>
        <w:gridCol w:w="2850"/>
        <w:gridCol w:w="2850"/>
        <w:gridCol w:w="2850"/>
      </w:tblGrid>
      <w:tr>
        <w:trPr>
          <w:trHeight w:hRule="exact" w:val="76"/>
        </w:trPr>
        <w:tc>
          <w:tcPr>
            <w:tcW w:type="dxa" w:w="583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8"/>
        </w:trPr>
        <w:tc>
          <w:tcPr>
            <w:tcW w:type="dxa" w:w="39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3 NIVEAUX DE GARANTIES</w:t>
            </w:r>
          </w:p>
        </w:tc>
        <w:tc>
          <w:tcPr>
            <w:tcW w:type="dxa" w:w="880"/>
            <w:tcBorders/>
            <w:shd w:fill="4da699"/>
            <w:tcMar>
              <w:start w:w="0" w:type="dxa"/>
              <w:end w:w="0" w:type="dxa"/>
            </w:tcMar>
          </w:tcPr>
          <w:p/>
        </w:tc>
        <w:tc>
          <w:tcPr>
            <w:tcW w:type="dxa" w:w="1016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74"/>
        </w:trPr>
        <w:tc>
          <w:tcPr>
            <w:tcW w:type="dxa" w:w="39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60.0" w:type="dxa"/>
            </w:tblPr>
            <w:tblGrid>
              <w:gridCol w:w="3934"/>
            </w:tblGrid>
            <w:tr>
              <w:trPr>
                <w:trHeight w:hRule="exact" w:val="420"/>
              </w:trPr>
              <w:tc>
                <w:tcPr>
                  <w:tcW w:type="dxa" w:w="1042"/>
                  <w:tcBorders/>
                  <w:shd w:fill="dbe8e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48" w:after="0"/>
                    <w:ind w:left="0" w:right="0" w:firstLine="0"/>
                    <w:jc w:val="center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575756"/>
                      <w:sz w:val="16"/>
                    </w:rPr>
                    <w:t>STANDARD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880"/>
            </w:tblGrid>
            <w:tr>
              <w:trPr>
                <w:trHeight w:hRule="exact" w:val="420"/>
              </w:trPr>
              <w:tc>
                <w:tcPr>
                  <w:tcW w:type="dxa" w:w="880"/>
                  <w:tcBorders/>
                  <w:shd w:fill="b3d2c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48" w:after="0"/>
                    <w:ind w:left="24" w:right="0" w:firstLine="0"/>
                    <w:jc w:val="left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575756"/>
                      <w:sz w:val="16"/>
                    </w:rPr>
                    <w:t>CONFORT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16"/>
            </w:tblGrid>
            <w:tr>
              <w:trPr>
                <w:trHeight w:hRule="exact" w:val="420"/>
              </w:trPr>
              <w:tc>
                <w:tcPr>
                  <w:tcW w:type="dxa" w:w="1012"/>
                  <w:tcBorders/>
                  <w:shd w:fill="87bbb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48" w:after="0"/>
                    <w:ind w:left="0" w:right="0" w:firstLine="0"/>
                    <w:jc w:val="center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575756"/>
                      <w:sz w:val="16"/>
                    </w:rPr>
                    <w:t>CONFORT+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60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4" w:after="0"/>
              <w:ind w:left="6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Capital mobilier</w:t>
            </w:r>
          </w:p>
        </w:tc>
        <w:tc>
          <w:tcPr>
            <w:tcW w:type="dxa" w:w="1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0" w:right="564" w:firstLine="0"/>
              <w:jc w:val="right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0" w:right="416" w:firstLine="0"/>
              <w:jc w:val="right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10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0" w:right="0" w:firstLine="0"/>
              <w:jc w:val="center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</w:tr>
      <w:tr>
        <w:trPr>
          <w:trHeight w:hRule="exact" w:val="316"/>
        </w:trPr>
        <w:tc>
          <w:tcPr>
            <w:tcW w:type="dxa" w:w="2760"/>
            <w:tcBorders>
              <w:bottom w:sz="4.0" w:val="single" w:color="#4DA6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0" w:after="0"/>
              <w:ind w:left="6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Capital objets de valeur</w:t>
            </w:r>
          </w:p>
        </w:tc>
        <w:tc>
          <w:tcPr>
            <w:tcW w:type="dxa" w:w="1174"/>
            <w:tcBorders>
              <w:bottom w:sz="4.0" w:val="single" w:color="#4DA6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4" w:after="0"/>
              <w:ind w:left="0" w:right="564" w:firstLine="0"/>
              <w:jc w:val="right"/>
            </w:pPr>
            <w:r>
              <w:rPr>
                <w:rFonts w:ascii="FontAwesome6Pro" w:hAnsi="FontAwesome6Pro" w:eastAsia="FontAwesome6Pro"/>
                <w:b w:val="0"/>
                <w:i w:val="0"/>
                <w:color w:val="575756"/>
                <w:sz w:val="18"/>
              </w:rPr>
              <w:t></w:t>
            </w:r>
          </w:p>
        </w:tc>
        <w:tc>
          <w:tcPr>
            <w:tcW w:type="dxa" w:w="880"/>
            <w:tcBorders>
              <w:bottom w:sz="4.0" w:val="single" w:color="#4DA6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4" w:after="0"/>
              <w:ind w:left="0" w:right="416" w:firstLine="0"/>
              <w:jc w:val="right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1016"/>
            <w:tcBorders>
              <w:bottom w:sz="4.0" w:val="single" w:color="#4DA6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4" w:after="0"/>
              <w:ind w:left="0" w:right="0" w:firstLine="0"/>
              <w:jc w:val="center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</w:tr>
      <w:tr>
        <w:trPr>
          <w:trHeight w:hRule="exact" w:val="244"/>
        </w:trPr>
        <w:tc>
          <w:tcPr>
            <w:tcW w:type="dxa" w:w="2760"/>
            <w:vMerge w:val="restart"/>
            <w:tcBorders>
              <w:top w:sz="4.0" w:val="single" w:color="#4DA6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6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Responsabilité civile</w:t>
            </w:r>
          </w:p>
        </w:tc>
        <w:tc>
          <w:tcPr>
            <w:tcW w:type="dxa" w:w="1174"/>
            <w:vMerge w:val="restart"/>
            <w:tcBorders>
              <w:top w:sz="4.0" w:val="single" w:color="#4DA6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564" w:firstLine="0"/>
              <w:jc w:val="right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880"/>
            <w:tcBorders>
              <w:top w:sz="4.0" w:val="single" w:color="#4DA6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416" w:firstLine="0"/>
              <w:jc w:val="right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1016"/>
            <w:tcBorders>
              <w:top w:sz="4.0" w:val="single" w:color="#4DA6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</w:tr>
      <w:tr>
        <w:trPr>
          <w:trHeight w:hRule="exact" w:val="58"/>
        </w:trPr>
        <w:tc>
          <w:tcPr>
            <w:tcW w:type="dxa" w:w="2850"/>
            <w:vMerge/>
            <w:tcBorders>
              <w:top w:sz="4.0" w:val="single" w:color="#4DA699"/>
            </w:tcBorders>
          </w:tcPr>
          <w:p/>
        </w:tc>
        <w:tc>
          <w:tcPr>
            <w:tcW w:type="dxa" w:w="2850"/>
            <w:vMerge/>
            <w:tcBorders>
              <w:top w:sz="4.0" w:val="single" w:color="#4DA699"/>
            </w:tcBorders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8" w:after="0"/>
              <w:ind w:left="0" w:right="416" w:firstLine="0"/>
              <w:jc w:val="right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10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8" w:after="0"/>
              <w:ind w:left="0" w:right="0" w:firstLine="0"/>
              <w:jc w:val="center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</w:tr>
      <w:tr>
        <w:trPr>
          <w:trHeight w:hRule="exact" w:val="242"/>
        </w:trPr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6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Défense pénale et recours</w:t>
            </w:r>
          </w:p>
        </w:tc>
        <w:tc>
          <w:tcPr>
            <w:tcW w:type="dxa" w:w="11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564" w:firstLine="0"/>
              <w:jc w:val="right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2850"/>
            <w:vMerge/>
            <w:tcBorders/>
          </w:tcPr>
          <w:p/>
        </w:tc>
        <w:tc>
          <w:tcPr>
            <w:tcW w:type="dxa" w:w="2850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2850"/>
            <w:vMerge/>
            <w:tcBorders/>
          </w:tcPr>
          <w:p/>
        </w:tc>
        <w:tc>
          <w:tcPr>
            <w:tcW w:type="dxa" w:w="2850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6" w:after="0"/>
              <w:ind w:left="0" w:right="416" w:firstLine="0"/>
              <w:jc w:val="right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10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6" w:after="0"/>
              <w:ind w:left="0" w:right="0" w:firstLine="0"/>
              <w:jc w:val="center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</w:tr>
      <w:tr>
        <w:trPr>
          <w:trHeight w:hRule="exact" w:val="242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6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Incendie</w:t>
            </w:r>
          </w:p>
        </w:tc>
        <w:tc>
          <w:tcPr>
            <w:tcW w:type="dxa" w:w="1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8" w:after="0"/>
              <w:ind w:left="0" w:right="564" w:firstLine="0"/>
              <w:jc w:val="right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2850"/>
            <w:vMerge/>
            <w:tcBorders/>
          </w:tcPr>
          <w:p/>
        </w:tc>
        <w:tc>
          <w:tcPr>
            <w:tcW w:type="dxa" w:w="285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350" w:right="0" w:bottom="306" w:left="506" w:header="720" w:footer="720" w:gutter="0"/>
          <w:cols w:num="2" w:equalWidth="0">
            <w:col w:w="6061" w:space="0"/>
            <w:col w:w="533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2.00000000000045" w:type="dxa"/>
      </w:tblPr>
      <w:tblGrid>
        <w:gridCol w:w="11400"/>
      </w:tblGrid>
      <w:tr>
        <w:trPr>
          <w:trHeight w:hRule="exact" w:val="460"/>
        </w:trPr>
        <w:tc>
          <w:tcPr>
            <w:tcW w:type="dxa" w:w="3576"/>
            <w:tcBorders/>
            <w:shd w:fill="4da6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1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CAPITAUX ET FRANCHISE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11400"/>
      </w:tblGrid>
      <w:tr>
        <w:trPr>
          <w:trHeight w:hRule="exact" w:val="336"/>
        </w:trPr>
        <w:tc>
          <w:tcPr>
            <w:tcW w:type="dxa" w:w="4102"/>
            <w:tcBorders/>
            <w:shd w:fill="f7f7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9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4EA699"/>
                <w:sz w:val="18"/>
              </w:rPr>
              <w:t>CAPITAL MOBILIER (au choix)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11400"/>
      </w:tblGrid>
      <w:tr>
        <w:trPr>
          <w:trHeight w:hRule="exact" w:val="578"/>
        </w:trPr>
        <w:tc>
          <w:tcPr>
            <w:tcW w:type="dxa" w:w="41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 xml:space="preserve">3000 € à 140 000 € par tranche de 1000 €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puis 5 000 € puis 10 000 €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11400"/>
      </w:tblGrid>
      <w:tr>
        <w:trPr>
          <w:trHeight w:hRule="exact" w:val="384"/>
        </w:trPr>
        <w:tc>
          <w:tcPr>
            <w:tcW w:type="dxa" w:w="4102"/>
            <w:tcBorders/>
            <w:shd w:fill="f7f7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4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4EA699"/>
                <w:sz w:val="18"/>
              </w:rPr>
              <w:t>CAPITAL OBJETS DE VALEUR (au choix)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92.00000000000045" w:type="dxa"/>
      </w:tblPr>
      <w:tblGrid>
        <w:gridCol w:w="11400"/>
      </w:tblGrid>
      <w:tr>
        <w:trPr>
          <w:trHeight w:hRule="exact" w:val="474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288" w:right="576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 xml:space="preserve">25% max du capital mobilier limité à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20 000 € max par tranche de 1000 €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84"/>
        <w:ind w:left="0" w:right="0"/>
      </w:pPr>
    </w:p>
    <w:p>
      <w:pPr>
        <w:sectPr>
          <w:type w:val="nextColumn"/>
          <w:pgSz w:w="11906" w:h="16838"/>
          <w:pgMar w:top="350" w:right="0" w:bottom="306" w:left="506" w:header="720" w:footer="720" w:gutter="0"/>
          <w:cols w:num="2" w:equalWidth="0">
            <w:col w:w="6061" w:space="0"/>
            <w:col w:w="533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425"/>
        <w:gridCol w:w="1425"/>
        <w:gridCol w:w="1425"/>
        <w:gridCol w:w="1425"/>
        <w:gridCol w:w="1425"/>
        <w:gridCol w:w="1425"/>
        <w:gridCol w:w="1425"/>
        <w:gridCol w:w="1425"/>
      </w:tblGrid>
      <w:tr>
        <w:trPr>
          <w:trHeight w:hRule="exact" w:val="218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Dégât des eaux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" w:after="0"/>
              <w:ind w:left="0" w:right="0" w:firstLine="0"/>
              <w:jc w:val="center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" w:after="0"/>
              <w:ind w:left="0" w:right="0" w:firstLine="0"/>
              <w:jc w:val="center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" w:after="0"/>
              <w:ind w:left="0" w:right="882" w:firstLine="0"/>
              <w:jc w:val="right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4102"/>
            <w:gridSpan w:val="3"/>
            <w:vMerge w:val="restart"/>
            <w:tcBorders/>
            <w:shd w:fill="f7f7f7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5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4EA699"/>
                <w:sz w:val="18"/>
              </w:rPr>
              <w:t>FRANCHISE (au choix)</w:t>
            </w:r>
          </w:p>
        </w:tc>
        <w:tc>
          <w:tcPr>
            <w:tcW w:type="dxa" w:w="10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0"/>
        </w:trPr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8" w:after="0"/>
              <w:ind w:left="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Tempête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2" w:after="0"/>
              <w:ind w:left="0" w:right="0" w:firstLine="0"/>
              <w:jc w:val="center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2" w:after="0"/>
              <w:ind w:left="0" w:right="0" w:firstLine="0"/>
              <w:jc w:val="center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14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2" w:after="0"/>
              <w:ind w:left="0" w:right="882" w:firstLine="0"/>
              <w:jc w:val="right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4275"/>
            <w:gridSpan w:val="3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4102"/>
            <w:gridSpan w:val="3"/>
            <w:vMerge w:val="restart"/>
            <w:tcBorders/>
            <w:shd w:fill="f7f7f7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150 €         300 €         500 €</w:t>
            </w:r>
          </w:p>
        </w:tc>
        <w:tc>
          <w:tcPr>
            <w:tcW w:type="dxa" w:w="1425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0" w:right="0" w:firstLine="0"/>
              <w:jc w:val="center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14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0" w:right="882" w:firstLine="0"/>
              <w:jc w:val="right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4275"/>
            <w:gridSpan w:val="3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" w:after="0"/>
              <w:ind w:left="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Catastrophe naturelle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8" w:after="0"/>
              <w:ind w:left="0" w:right="0" w:firstLine="0"/>
              <w:jc w:val="center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4275"/>
            <w:gridSpan w:val="3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49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136"/>
            </w:tblGrid>
            <w:tr>
              <w:trPr>
                <w:trHeight w:hRule="exact" w:val="530"/>
              </w:trPr>
              <w:tc>
                <w:tcPr>
                  <w:tcW w:type="dxa" w:w="1136"/>
                  <w:tcBorders/>
                  <w:shd w:fill="dbe8e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Montserrat" w:hAnsi="Montserrat" w:eastAsia="Montserrat"/>
                      <w:b/>
                      <w:i w:val="0"/>
                      <w:color w:val="575756"/>
                      <w:sz w:val="18"/>
                    </w:rPr>
                    <w:t xml:space="preserve">Nombre </w:t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575756"/>
                      <w:sz w:val="18"/>
                    </w:rPr>
                    <w:t>de pièces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440"/>
            </w:tblGrid>
            <w:tr>
              <w:trPr>
                <w:trHeight w:hRule="exact" w:val="530"/>
              </w:trPr>
              <w:tc>
                <w:tcPr>
                  <w:tcW w:type="dxa" w:w="1440"/>
                  <w:tcBorders/>
                  <w:shd w:fill="a2c8c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0" w:after="0"/>
                    <w:ind w:left="144" w:right="144" w:firstLine="0"/>
                    <w:jc w:val="center"/>
                  </w:pPr>
                  <w:r>
                    <w:rPr>
                      <w:rFonts w:ascii="Montserrat" w:hAnsi="Montserrat" w:eastAsia="Montserrat"/>
                      <w:b/>
                      <w:i w:val="0"/>
                      <w:color w:val="575756"/>
                      <w:sz w:val="18"/>
                    </w:rPr>
                    <w:t xml:space="preserve">Capital </w:t>
                  </w:r>
                  <w:r>
                    <w:br/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575756"/>
                      <w:sz w:val="18"/>
                    </w:rPr>
                    <w:t>minimum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5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526"/>
            </w:tblGrid>
            <w:tr>
              <w:trPr>
                <w:trHeight w:hRule="exact" w:val="530"/>
              </w:trPr>
              <w:tc>
                <w:tcPr>
                  <w:tcW w:type="dxa" w:w="1524"/>
                  <w:tcBorders/>
                  <w:shd w:fill="72b2a7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0" w:after="0"/>
                    <w:ind w:left="288" w:right="144" w:firstLine="0"/>
                    <w:jc w:val="center"/>
                  </w:pPr>
                  <w:r>
                    <w:rPr>
                      <w:rFonts w:ascii="Montserrat" w:hAnsi="Montserrat" w:eastAsia="Montserrat"/>
                      <w:b/>
                      <w:i w:val="0"/>
                      <w:color w:val="575756"/>
                      <w:sz w:val="18"/>
                    </w:rPr>
                    <w:t xml:space="preserve">Capital </w:t>
                  </w:r>
                  <w:r>
                    <w:br/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575756"/>
                      <w:sz w:val="18"/>
                    </w:rPr>
                    <w:t>maximum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06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2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Catastrophe technologique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8" w:after="0"/>
              <w:ind w:left="0" w:right="0" w:firstLine="0"/>
              <w:jc w:val="center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8" w:after="0"/>
              <w:ind w:left="0" w:right="0" w:firstLine="0"/>
              <w:jc w:val="center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8" w:after="0"/>
              <w:ind w:left="0" w:right="882" w:firstLine="0"/>
              <w:jc w:val="right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0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8"/>
        </w:trPr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48" w:right="72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 xml:space="preserve">Attentat et actes de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terrorisme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2" w:after="0"/>
              <w:ind w:left="0" w:right="0" w:firstLine="0"/>
              <w:jc w:val="center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49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882" w:firstLine="0"/>
              <w:jc w:val="right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11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1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3 000 €</w:t>
            </w:r>
          </w:p>
        </w:tc>
        <w:tc>
          <w:tcPr>
            <w:tcW w:type="dxa" w:w="15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15 000 €</w:t>
            </w:r>
          </w:p>
        </w:tc>
        <w:tc>
          <w:tcPr>
            <w:tcW w:type="dxa" w:w="10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9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5.9999999999991" w:type="dxa"/>
            </w:tblPr>
            <w:tblGrid>
              <w:gridCol w:w="1006"/>
            </w:tblGrid>
            <w:tr>
              <w:trPr>
                <w:trHeight w:hRule="exact" w:val="700"/>
              </w:trPr>
              <w:tc>
                <w:tcPr>
                  <w:tcW w:type="dxa" w:w="720"/>
                  <w:tcBorders/>
                  <w:shd w:fill="4da69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258" w:after="0"/>
                    <w:ind w:left="0" w:right="0" w:firstLine="0"/>
                    <w:jc w:val="center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24"/>
                    </w:rPr>
                    <w:t>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2"/>
        </w:trPr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4" w:after="0"/>
              <w:ind w:left="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Assistance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8" w:after="0"/>
              <w:ind w:left="0" w:right="0" w:firstLine="0"/>
              <w:jc w:val="center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8" w:after="0"/>
              <w:ind w:left="0" w:right="0" w:firstLine="0"/>
              <w:jc w:val="center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14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8" w:after="0"/>
              <w:ind w:left="0" w:right="882" w:firstLine="0"/>
              <w:jc w:val="right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1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2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10 000 €</w:t>
            </w:r>
          </w:p>
        </w:tc>
        <w:tc>
          <w:tcPr>
            <w:tcW w:type="dxa" w:w="15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25 000 €</w:t>
            </w:r>
          </w:p>
        </w:tc>
        <w:tc>
          <w:tcPr>
            <w:tcW w:type="dxa" w:w="142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2" w:after="0"/>
              <w:ind w:left="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Vol et vandalisme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0" w:right="0" w:firstLine="0"/>
              <w:jc w:val="center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0" w:right="882" w:firstLine="0"/>
              <w:jc w:val="right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11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3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15 000 €</w:t>
            </w:r>
          </w:p>
        </w:tc>
        <w:tc>
          <w:tcPr>
            <w:tcW w:type="dxa" w:w="15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45 000 €</w:t>
            </w:r>
          </w:p>
        </w:tc>
        <w:tc>
          <w:tcPr>
            <w:tcW w:type="dxa" w:w="1425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3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4" w:after="0"/>
              <w:ind w:left="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Bris de glace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0" w:firstLine="0"/>
              <w:jc w:val="center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14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882" w:firstLine="0"/>
              <w:jc w:val="right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850"/>
            <w:gridSpan w:val="2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1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4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20 000 €</w:t>
            </w:r>
          </w:p>
        </w:tc>
        <w:tc>
          <w:tcPr>
            <w:tcW w:type="dxa" w:w="15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60 000 €</w:t>
            </w:r>
          </w:p>
        </w:tc>
        <w:tc>
          <w:tcPr>
            <w:tcW w:type="dxa" w:w="1425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3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Assurance scolaire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0" w:after="0"/>
              <w:ind w:left="0" w:right="0" w:firstLine="0"/>
              <w:jc w:val="center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14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0" w:after="0"/>
              <w:ind w:left="0" w:right="882" w:firstLine="0"/>
              <w:jc w:val="right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850"/>
            <w:gridSpan w:val="2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1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5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25 000 €</w:t>
            </w:r>
          </w:p>
        </w:tc>
        <w:tc>
          <w:tcPr>
            <w:tcW w:type="dxa" w:w="15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75 000 €</w:t>
            </w:r>
          </w:p>
        </w:tc>
        <w:tc>
          <w:tcPr>
            <w:tcW w:type="dxa" w:w="142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Dommage électrique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option</w:t>
            </w:r>
          </w:p>
        </w:tc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0" w:right="882" w:firstLine="0"/>
              <w:jc w:val="right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11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6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30 000 €</w:t>
            </w:r>
          </w:p>
        </w:tc>
        <w:tc>
          <w:tcPr>
            <w:tcW w:type="dxa" w:w="15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95 000 €</w:t>
            </w:r>
          </w:p>
        </w:tc>
        <w:tc>
          <w:tcPr>
            <w:tcW w:type="dxa" w:w="10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"/>
        </w:trPr>
        <w:tc>
          <w:tcPr>
            <w:tcW w:type="dxa" w:w="3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Protection juridique</w:t>
            </w:r>
          </w:p>
        </w:tc>
        <w:tc>
          <w:tcPr>
            <w:tcW w:type="dxa" w:w="1425"/>
            <w:vMerge/>
            <w:tcBorders/>
          </w:tcPr>
          <w:p/>
        </w:tc>
        <w:tc>
          <w:tcPr>
            <w:tcW w:type="dxa" w:w="14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6" w:after="0"/>
              <w:ind w:left="0" w:right="882" w:firstLine="0"/>
              <w:jc w:val="right"/>
            </w:pPr>
            <w:r>
              <w:rPr>
                <w:rFonts w:ascii="FontAwesome6Pro" w:hAnsi="FontAwesome6Pro" w:eastAsia="FontAwesome6Pro"/>
                <w:b w:val="0"/>
                <w:i w:val="0"/>
                <w:color w:val="4EA699"/>
                <w:sz w:val="18"/>
              </w:rPr>
              <w:t></w:t>
            </w:r>
          </w:p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850"/>
            <w:gridSpan w:val="2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1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7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35 000 €</w:t>
            </w:r>
          </w:p>
        </w:tc>
        <w:tc>
          <w:tcPr>
            <w:tcW w:type="dxa" w:w="15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105 000 €</w:t>
            </w:r>
          </w:p>
        </w:tc>
        <w:tc>
          <w:tcPr>
            <w:tcW w:type="dxa" w:w="142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0" w:after="0"/>
              <w:ind w:left="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Dépendance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option</w:t>
            </w:r>
          </w:p>
        </w:tc>
        <w:tc>
          <w:tcPr>
            <w:tcW w:type="dxa" w:w="1425"/>
            <w:vMerge/>
            <w:tcBorders/>
          </w:tcPr>
          <w:p/>
        </w:tc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0" w:after="0"/>
              <w:ind w:left="22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option</w:t>
            </w:r>
          </w:p>
        </w:tc>
        <w:tc>
          <w:tcPr>
            <w:tcW w:type="dxa" w:w="11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8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40 000 €</w:t>
            </w:r>
          </w:p>
        </w:tc>
        <w:tc>
          <w:tcPr>
            <w:tcW w:type="dxa" w:w="15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120 000 €</w:t>
            </w:r>
          </w:p>
        </w:tc>
        <w:tc>
          <w:tcPr>
            <w:tcW w:type="dxa" w:w="142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4" w:after="0"/>
              <w:ind w:left="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Véranda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2" w:after="0"/>
              <w:ind w:left="0" w:right="0" w:firstLine="0"/>
              <w:jc w:val="center"/>
            </w:pPr>
            <w:r>
              <w:rPr>
                <w:rFonts w:ascii="FontAwesome6Pro" w:hAnsi="FontAwesome6Pro" w:eastAsia="FontAwesome6Pro"/>
                <w:b w:val="0"/>
                <w:i w:val="0"/>
                <w:color w:val="575756"/>
                <w:sz w:val="18"/>
              </w:rPr>
              <w:t>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option</w:t>
            </w:r>
          </w:p>
        </w:tc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4" w:after="0"/>
              <w:ind w:left="22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option</w:t>
            </w:r>
          </w:p>
        </w:tc>
        <w:tc>
          <w:tcPr>
            <w:tcW w:type="dxa" w:w="11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9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45 000 €</w:t>
            </w:r>
          </w:p>
        </w:tc>
        <w:tc>
          <w:tcPr>
            <w:tcW w:type="dxa" w:w="15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135 000 €</w:t>
            </w:r>
          </w:p>
        </w:tc>
        <w:tc>
          <w:tcPr>
            <w:tcW w:type="dxa" w:w="1425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6" w:after="0"/>
              <w:ind w:left="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Piscine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8" w:after="0"/>
              <w:ind w:left="0" w:right="0" w:firstLine="0"/>
              <w:jc w:val="center"/>
            </w:pPr>
            <w:r>
              <w:rPr>
                <w:rFonts w:ascii="FontAwesome6Pro" w:hAnsi="FontAwesome6Pro" w:eastAsia="FontAwesome6Pro"/>
                <w:b w:val="0"/>
                <w:i w:val="0"/>
                <w:color w:val="575756"/>
                <w:sz w:val="18"/>
              </w:rPr>
              <w:t>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option</w:t>
            </w:r>
          </w:p>
        </w:tc>
        <w:tc>
          <w:tcPr>
            <w:tcW w:type="dxa" w:w="14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6" w:after="0"/>
              <w:ind w:left="22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option</w:t>
            </w:r>
          </w:p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11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10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50 000 €</w:t>
            </w:r>
          </w:p>
        </w:tc>
        <w:tc>
          <w:tcPr>
            <w:tcW w:type="dxa" w:w="15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8"/>
              </w:rPr>
              <w:t>140 000 €</w:t>
            </w:r>
          </w:p>
        </w:tc>
        <w:tc>
          <w:tcPr>
            <w:tcW w:type="dxa" w:w="1425"/>
            <w:vMerge/>
            <w:tcBorders/>
          </w:tcPr>
          <w:p/>
        </w:tc>
      </w:tr>
      <w:tr>
        <w:trPr>
          <w:trHeight w:hRule="exact" w:val="732"/>
        </w:trPr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8" w:after="0"/>
              <w:ind w:left="0" w:right="68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8"/>
              </w:rPr>
              <w:t>GARANTIES</w:t>
            </w:r>
          </w:p>
        </w:tc>
        <w:tc>
          <w:tcPr>
            <w:tcW w:type="dxa" w:w="1425"/>
            <w:vMerge/>
            <w:tcBorders/>
          </w:tcPr>
          <w:p/>
        </w:tc>
        <w:tc>
          <w:tcPr>
            <w:tcW w:type="dxa" w:w="1425"/>
            <w:vMerge/>
            <w:tcBorders/>
          </w:tcPr>
          <w:p/>
        </w:tc>
        <w:tc>
          <w:tcPr>
            <w:tcW w:type="dxa" w:w="25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8" w:after="0"/>
              <w:ind w:left="8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8"/>
              </w:rPr>
              <w:t>PLAFONDS</w:t>
            </w:r>
          </w:p>
        </w:tc>
        <w:tc>
          <w:tcPr>
            <w:tcW w:type="dxa" w:w="15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8"/>
              </w:rPr>
              <w:t>FRANCHISES</w:t>
            </w:r>
          </w:p>
        </w:tc>
        <w:tc>
          <w:tcPr>
            <w:tcW w:type="dxa" w:w="142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68" w:after="108"/>
        <w:ind w:left="106" w:right="0" w:firstLine="0"/>
        <w:jc w:val="left"/>
      </w:pPr>
      <w:r>
        <w:rPr>
          <w:rFonts w:ascii="Montserrat" w:hAnsi="Montserrat" w:eastAsia="Montserrat"/>
          <w:b w:val="0"/>
          <w:i w:val="0"/>
          <w:color w:val="FFFFFF"/>
          <w:sz w:val="18"/>
        </w:rPr>
        <w:t xml:space="preserve">RESPONSABILITÉ CIVILE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.999999999999986" w:type="dxa"/>
      </w:tblPr>
      <w:tblGrid>
        <w:gridCol w:w="3800"/>
        <w:gridCol w:w="3800"/>
        <w:gridCol w:w="3800"/>
      </w:tblGrid>
      <w:tr>
        <w:trPr>
          <w:trHeight w:hRule="exact" w:val="37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0" w:after="0"/>
              <w:ind w:left="7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Dommages corporels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0" w:after="0"/>
              <w:ind w:left="0" w:right="80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15 000 000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10" w:after="0"/>
              <w:ind w:left="720" w:right="576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Franchise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dommage</w:t>
            </w:r>
          </w:p>
        </w:tc>
      </w:tr>
      <w:tr>
        <w:trPr>
          <w:trHeight w:hRule="exact" w:val="44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16" w:after="0"/>
              <w:ind w:left="29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Dont pollution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16" w:after="0"/>
              <w:ind w:left="0" w:right="91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900 000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</w:p>
        </w:tc>
        <w:tc>
          <w:tcPr>
            <w:tcW w:type="dxa" w:w="3800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30" w:after="0"/>
              <w:ind w:left="7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Dommages matériels et immatériels consécutifs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30" w:after="0"/>
              <w:ind w:left="0" w:right="84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3 000 000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</w:p>
        </w:tc>
        <w:tc>
          <w:tcPr>
            <w:tcW w:type="dxa" w:w="3800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98" w:after="0"/>
              <w:ind w:left="29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Dont pollution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98" w:after="0"/>
              <w:ind w:left="0" w:right="93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270 000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</w:p>
        </w:tc>
        <w:tc>
          <w:tcPr>
            <w:tcW w:type="dxa" w:w="3800"/>
            <w:vMerge/>
            <w:tcBorders/>
          </w:tcPr>
          <w:p/>
        </w:tc>
      </w:tr>
      <w:tr>
        <w:trPr>
          <w:trHeight w:hRule="exact" w:val="74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72" w:right="57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Responsabilité liée à l’occupation encourue à la suite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d’un incendie, d’une explosion ou d’un dégât des eaux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survenu dans les biens Assurés :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68" w:after="0"/>
              <w:ind w:left="0" w:right="84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3 000 000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</w:p>
        </w:tc>
        <w:tc>
          <w:tcPr>
            <w:tcW w:type="dxa" w:w="3800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298" w:right="72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Dont Responsabilité civile à l’égard du propriétaire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(si vous êtes locataire)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62" w:after="0"/>
              <w:ind w:left="0" w:right="86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1 200 000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€ </w:t>
            </w:r>
          </w:p>
        </w:tc>
        <w:tc>
          <w:tcPr>
            <w:tcW w:type="dxa" w:w="3800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8" w:after="0"/>
              <w:ind w:left="29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- Dommages matériels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8" w:after="0"/>
              <w:ind w:left="0" w:right="92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930 000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€ </w:t>
            </w:r>
          </w:p>
        </w:tc>
        <w:tc>
          <w:tcPr>
            <w:tcW w:type="dxa" w:w="3800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6" w:after="0"/>
              <w:ind w:left="29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- Dommages immatériels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6" w:after="0"/>
              <w:ind w:left="0" w:right="93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270 000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</w:p>
        </w:tc>
        <w:tc>
          <w:tcPr>
            <w:tcW w:type="dxa" w:w="3800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298" w:right="100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Dont recours des voisins et des tiers (si vous êtes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locataire ou propriétaire)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70" w:after="0"/>
              <w:ind w:left="0" w:right="86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1 800 000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€ </w:t>
            </w:r>
          </w:p>
        </w:tc>
        <w:tc>
          <w:tcPr>
            <w:tcW w:type="dxa" w:w="3800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76" w:after="0"/>
              <w:ind w:left="29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- Dommages matériels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76" w:after="0"/>
              <w:ind w:left="0" w:right="85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1 440 000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€ </w:t>
            </w:r>
          </w:p>
        </w:tc>
        <w:tc>
          <w:tcPr>
            <w:tcW w:type="dxa" w:w="3800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94" w:after="0"/>
              <w:ind w:left="29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- Dommages immatériels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94" w:after="0"/>
              <w:ind w:left="0" w:right="92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360 000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</w:p>
        </w:tc>
        <w:tc>
          <w:tcPr>
            <w:tcW w:type="dxa" w:w="380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350" w:right="0" w:bottom="306" w:left="50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2133600</wp:posOffset>
            </wp:positionV>
            <wp:extent cx="7023100" cy="85598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8559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0</wp:posOffset>
            </wp:positionV>
            <wp:extent cx="6591300" cy="17145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714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594" w:lineRule="exact" w:before="0" w:after="2150"/>
        <w:ind w:left="0" w:right="1756" w:firstLine="0"/>
        <w:jc w:val="right"/>
      </w:pPr>
      <w:r>
        <w:rPr>
          <w:rFonts w:ascii="BrandingSF" w:hAnsi="BrandingSF" w:eastAsia="BrandingSF"/>
          <w:b/>
          <w:i w:val="0"/>
          <w:color w:val="4EA699"/>
          <w:sz w:val="52"/>
        </w:rPr>
        <w:t>Habitation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6.0" w:type="dxa"/>
      </w:tblPr>
      <w:tblGrid>
        <w:gridCol w:w="3558"/>
        <w:gridCol w:w="3558"/>
        <w:gridCol w:w="3558"/>
      </w:tblGrid>
      <w:tr>
        <w:trPr>
          <w:trHeight w:hRule="exact" w:val="364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62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8"/>
              </w:rPr>
              <w:t>GARANTIES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1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8"/>
              </w:rPr>
              <w:t>PLAFONDS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8"/>
              </w:rPr>
              <w:t>FRANCHISES</w:t>
            </w:r>
          </w:p>
        </w:tc>
      </w:tr>
    </w:tbl>
    <w:p>
      <w:pPr>
        <w:autoSpaceDN w:val="0"/>
        <w:autoSpaceDE w:val="0"/>
        <w:widowControl/>
        <w:spacing w:line="228" w:lineRule="auto" w:before="156" w:after="0"/>
        <w:ind w:left="476" w:right="0" w:firstLine="0"/>
        <w:jc w:val="left"/>
      </w:pPr>
      <w:r>
        <w:rPr>
          <w:rFonts w:ascii="Montserrat" w:hAnsi="Montserrat" w:eastAsia="Montserrat"/>
          <w:b w:val="0"/>
          <w:i w:val="0"/>
          <w:color w:val="FFFFFF"/>
          <w:sz w:val="18"/>
        </w:rPr>
        <w:t xml:space="preserve">RESPONSABILITÉ CIVILE « VOYAGE – SÉJOUR » (LOCATAIRE SAISONNIER) </w:t>
      </w:r>
    </w:p>
    <w:p>
      <w:pPr>
        <w:autoSpaceDN w:val="0"/>
        <w:autoSpaceDE w:val="0"/>
        <w:widowControl/>
        <w:spacing w:line="228" w:lineRule="auto" w:before="158" w:after="50"/>
        <w:ind w:left="476" w:right="0" w:firstLine="0"/>
        <w:jc w:val="left"/>
      </w:pPr>
      <w:r>
        <w:rPr>
          <w:rFonts w:ascii="Montserrat" w:hAnsi="Montserrat" w:eastAsia="Montserrat"/>
          <w:b w:val="0"/>
          <w:i w:val="0"/>
          <w:color w:val="4EA699"/>
          <w:sz w:val="18"/>
        </w:rPr>
        <w:t>Dommages causés au propriétaire, aux voisins et aux tiers à la suite de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6.0" w:type="dxa"/>
      </w:tblPr>
      <w:tblGrid>
        <w:gridCol w:w="3558"/>
        <w:gridCol w:w="3558"/>
        <w:gridCol w:w="3558"/>
      </w:tblGrid>
      <w:tr>
        <w:trPr>
          <w:trHeight w:hRule="exact" w:val="1144"/>
        </w:trPr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50" w:after="0"/>
              <w:ind w:left="250" w:right="28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Dommages matériels suite à Incendie, Explosion ou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Dégât des eaux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50" w:after="0"/>
              <w:ind w:left="288" w:right="288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900 000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 si incendie/explosion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150 000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 si dégât des eaux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88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Montant de la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caution avec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minimum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la franchise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dommage</w:t>
            </w:r>
          </w:p>
        </w:tc>
      </w:tr>
    </w:tbl>
    <w:p>
      <w:pPr>
        <w:autoSpaceDN w:val="0"/>
        <w:autoSpaceDE w:val="0"/>
        <w:widowControl/>
        <w:spacing w:line="230" w:lineRule="auto" w:before="96" w:after="276"/>
        <w:ind w:left="476" w:right="0" w:firstLine="0"/>
        <w:jc w:val="left"/>
      </w:pPr>
      <w:r>
        <w:rPr>
          <w:rFonts w:ascii="Montserrat" w:hAnsi="Montserrat" w:eastAsia="Montserrat"/>
          <w:b w:val="0"/>
          <w:i w:val="0"/>
          <w:color w:val="FFFFFF"/>
          <w:sz w:val="18"/>
        </w:rPr>
        <w:t>DÉFENSE – RECOURS SUITE À SINISTRE</w:t>
      </w:r>
    </w:p>
    <w:p>
      <w:pPr>
        <w:sectPr>
          <w:pgSz w:w="11906" w:h="16838"/>
          <w:pgMar w:top="348" w:right="938" w:bottom="98" w:left="2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6" w:lineRule="auto" w:before="0" w:after="0"/>
        <w:ind w:left="476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8"/>
        </w:rPr>
        <w:t>Montant max par litige</w:t>
      </w:r>
    </w:p>
    <w:p>
      <w:pPr>
        <w:sectPr>
          <w:type w:val="continuous"/>
          <w:pgSz w:w="11906" w:h="16838"/>
          <w:pgMar w:top="348" w:right="938" w:bottom="98" w:left="294" w:header="720" w:footer="720" w:gutter="0"/>
          <w:cols w:num="2" w:equalWidth="0">
            <w:col w:w="4002" w:space="0"/>
            <w:col w:w="667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34"/>
        <w:ind w:left="1440" w:right="1440" w:firstLine="0"/>
        <w:jc w:val="center"/>
      </w:pPr>
      <w:r>
        <w:rPr>
          <w:rFonts w:ascii="Montserrat" w:hAnsi="Montserrat" w:eastAsia="Montserrat"/>
          <w:b w:val="0"/>
          <w:i w:val="0"/>
          <w:color w:val="000000"/>
          <w:sz w:val="18"/>
        </w:rPr>
        <w:t xml:space="preserve">13 500€ HTVA par dossier et 20 000 </w:t>
      </w:r>
      <w:r>
        <w:rPr>
          <w:w w:val="104.94000434875488"/>
          <w:rFonts w:ascii="Montserrat" w:hAnsi="Montserrat" w:eastAsia="Montserrat"/>
          <w:b w:val="0"/>
          <w:i w:val="0"/>
          <w:color w:val="000000"/>
          <w:sz w:val="10"/>
        </w:rPr>
        <w:t>€</w:t>
      </w:r>
      <w:r>
        <w:rPr>
          <w:rFonts w:ascii="Montserrat" w:hAnsi="Montserrat" w:eastAsia="Montserrat"/>
          <w:b w:val="0"/>
          <w:i w:val="0"/>
          <w:color w:val="000000"/>
          <w:sz w:val="18"/>
        </w:rPr>
        <w:t xml:space="preserve"> TTC </w:t>
      </w:r>
      <w:r>
        <w:rPr>
          <w:rFonts w:ascii="Montserrat" w:hAnsi="Montserrat" w:eastAsia="Montserrat"/>
          <w:b w:val="0"/>
          <w:i w:val="0"/>
          <w:color w:val="000000"/>
          <w:sz w:val="18"/>
        </w:rPr>
        <w:t>par année d’assurance, dont :</w:t>
      </w:r>
    </w:p>
    <w:p>
      <w:pPr>
        <w:sectPr>
          <w:type w:val="nextColumn"/>
          <w:pgSz w:w="11906" w:h="16838"/>
          <w:pgMar w:top="348" w:right="938" w:bottom="98" w:left="294" w:header="720" w:footer="720" w:gutter="0"/>
          <w:cols w:num="2" w:equalWidth="0">
            <w:col w:w="4002" w:space="0"/>
            <w:col w:w="667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68"/>
        <w:gridCol w:w="2668"/>
        <w:gridCol w:w="2668"/>
        <w:gridCol w:w="2668"/>
      </w:tblGrid>
      <w:tr>
        <w:trPr>
          <w:trHeight w:hRule="exact" w:val="496"/>
        </w:trPr>
        <w:tc>
          <w:tcPr>
            <w:tcW w:type="dxa" w:w="2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84" w:after="0"/>
              <w:ind w:left="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4"/>
              </w:rPr>
              <w:t>2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90" w:right="288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Honoraires d’avocat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– Commissions diverses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00" w:after="0"/>
              <w:ind w:left="0" w:right="84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185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 HT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84" w:after="0"/>
              <w:ind w:left="72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Seuil d’inter-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vention :  Dé-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fense pénale :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500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Recours : 200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</w:p>
        </w:tc>
      </w:tr>
      <w:tr>
        <w:trPr>
          <w:trHeight w:hRule="exact" w:val="560"/>
        </w:trPr>
        <w:tc>
          <w:tcPr>
            <w:tcW w:type="dxa" w:w="2668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44" w:right="3168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Honoraires d'avocat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– Référé et requête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70" w:after="0"/>
              <w:ind w:left="0" w:right="81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500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 HT</w:t>
            </w:r>
          </w:p>
        </w:tc>
        <w:tc>
          <w:tcPr>
            <w:tcW w:type="dxa" w:w="2668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2668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90" w:right="316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Honoraires d’avocat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– Tribunal de police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78" w:after="0"/>
              <w:ind w:left="0" w:right="80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400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 HT</w:t>
            </w:r>
          </w:p>
        </w:tc>
        <w:tc>
          <w:tcPr>
            <w:tcW w:type="dxa" w:w="2668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2668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90" w:right="288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Honoraires d’avocat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– Tribunal de proximité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84" w:after="0"/>
              <w:ind w:left="0" w:right="81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600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 HT</w:t>
            </w:r>
          </w:p>
        </w:tc>
        <w:tc>
          <w:tcPr>
            <w:tcW w:type="dxa" w:w="2668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2668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90" w:right="316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Honoraires d’avocat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– Tribunal judiciaire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72" w:after="0"/>
              <w:ind w:left="0" w:right="81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800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 HT</w:t>
            </w:r>
          </w:p>
        </w:tc>
        <w:tc>
          <w:tcPr>
            <w:tcW w:type="dxa" w:w="2668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2668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90" w:right="316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Honoraires d’avocat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– Appel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78" w:after="0"/>
              <w:ind w:left="0" w:right="82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950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 HT</w:t>
            </w:r>
          </w:p>
        </w:tc>
        <w:tc>
          <w:tcPr>
            <w:tcW w:type="dxa" w:w="2668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2668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190" w:right="244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Honoraires d’avocat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– Cassation et Conseil d’Etat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86" w:after="0"/>
              <w:ind w:left="0" w:right="78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1500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 HT</w:t>
            </w:r>
          </w:p>
        </w:tc>
        <w:tc>
          <w:tcPr>
            <w:tcW w:type="dxa" w:w="2668"/>
            <w:vMerge/>
            <w:tcBorders/>
          </w:tcPr>
          <w:p/>
        </w:tc>
      </w:tr>
      <w:tr>
        <w:trPr>
          <w:trHeight w:hRule="exact" w:val="486"/>
        </w:trPr>
        <w:tc>
          <w:tcPr>
            <w:tcW w:type="dxa" w:w="2668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90" w:right="129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Honoraires d’avocat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– Transaction amiable menée à son terme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72" w:after="0"/>
              <w:ind w:left="0" w:right="82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390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 HT</w:t>
            </w:r>
          </w:p>
        </w:tc>
        <w:tc>
          <w:tcPr>
            <w:tcW w:type="dxa" w:w="266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34"/>
        <w:ind w:left="0" w:right="0"/>
      </w:pPr>
    </w:p>
    <w:p>
      <w:pPr>
        <w:sectPr>
          <w:type w:val="continuous"/>
          <w:pgSz w:w="11906" w:h="16838"/>
          <w:pgMar w:top="348" w:right="938" w:bottom="98" w:left="2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476" w:right="1728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8"/>
        </w:rPr>
        <w:t xml:space="preserve">Honoraires d’avocat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18"/>
        </w:rPr>
        <w:t>– Assistance à expertise</w:t>
      </w:r>
    </w:p>
    <w:p>
      <w:pPr>
        <w:sectPr>
          <w:type w:val="continuous"/>
          <w:pgSz w:w="11906" w:h="16838"/>
          <w:pgMar w:top="348" w:right="938" w:bottom="98" w:left="294" w:header="720" w:footer="720" w:gutter="0"/>
          <w:cols w:num="2" w:equalWidth="0">
            <w:col w:w="4374" w:space="0"/>
            <w:col w:w="6300" w:space="0"/>
          </w:cols>
          <w:docGrid w:linePitch="360"/>
        </w:sectPr>
      </w:pPr>
    </w:p>
    <w:p>
      <w:pPr>
        <w:autoSpaceDN w:val="0"/>
        <w:autoSpaceDE w:val="0"/>
        <w:widowControl/>
        <w:spacing w:line="223" w:lineRule="auto" w:before="0" w:after="274"/>
        <w:ind w:left="0" w:right="2244" w:firstLine="0"/>
        <w:jc w:val="right"/>
      </w:pPr>
      <w:r>
        <w:rPr>
          <w:rFonts w:ascii="Montserrat" w:hAnsi="Montserrat" w:eastAsia="Montserrat"/>
          <w:b w:val="0"/>
          <w:i w:val="0"/>
          <w:color w:val="000000"/>
          <w:sz w:val="18"/>
        </w:rPr>
        <w:t xml:space="preserve">300 </w:t>
      </w:r>
      <w:r>
        <w:rPr>
          <w:w w:val="104.94000434875488"/>
          <w:rFonts w:ascii="Montserrat" w:hAnsi="Montserrat" w:eastAsia="Montserrat"/>
          <w:b w:val="0"/>
          <w:i w:val="0"/>
          <w:color w:val="000000"/>
          <w:sz w:val="10"/>
        </w:rPr>
        <w:t>€</w:t>
      </w:r>
      <w:r>
        <w:rPr>
          <w:rFonts w:ascii="Montserrat" w:hAnsi="Montserrat" w:eastAsia="Montserrat"/>
          <w:b w:val="0"/>
          <w:i w:val="0"/>
          <w:color w:val="000000"/>
          <w:sz w:val="18"/>
        </w:rPr>
        <w:t xml:space="preserve"> HT par intervention</w:t>
      </w:r>
    </w:p>
    <w:p>
      <w:pPr>
        <w:sectPr>
          <w:type w:val="nextColumn"/>
          <w:pgSz w:w="11906" w:h="16838"/>
          <w:pgMar w:top="348" w:right="938" w:bottom="98" w:left="294" w:header="720" w:footer="720" w:gutter="0"/>
          <w:cols w:num="2" w:equalWidth="0">
            <w:col w:w="4374" w:space="0"/>
            <w:col w:w="6300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auto" w:before="0" w:after="102"/>
        <w:ind w:left="476" w:right="0" w:firstLine="0"/>
        <w:jc w:val="left"/>
      </w:pPr>
      <w:r>
        <w:rPr>
          <w:rFonts w:ascii="Montserrat" w:hAnsi="Montserrat" w:eastAsia="Montserrat"/>
          <w:b w:val="0"/>
          <w:i w:val="0"/>
          <w:color w:val="FFFFFF"/>
          <w:sz w:val="18"/>
        </w:rPr>
        <w:t>INCENDIE ET RISQUES ANNEXES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6.0" w:type="dxa"/>
      </w:tblPr>
      <w:tblGrid>
        <w:gridCol w:w="3558"/>
        <w:gridCol w:w="3558"/>
        <w:gridCol w:w="3558"/>
      </w:tblGrid>
      <w:tr>
        <w:trPr>
          <w:trHeight w:hRule="exact" w:val="376"/>
        </w:trPr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50" w:right="57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Dommages matériels suite à incendie, explosion,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chute de la foudre, accident électrique aux canalisa-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tions</w:t>
            </w:r>
          </w:p>
        </w:tc>
        <w:tc>
          <w:tcPr>
            <w:tcW w:type="dxa" w:w="3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Capital mobilier choisi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44" w:after="0"/>
              <w:ind w:left="0" w:right="14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Franchise</w:t>
            </w:r>
          </w:p>
        </w:tc>
      </w:tr>
      <w:tr>
        <w:trPr>
          <w:trHeight w:hRule="exact" w:val="376"/>
        </w:trPr>
        <w:tc>
          <w:tcPr>
            <w:tcW w:type="dxa" w:w="3558"/>
            <w:vMerge/>
            <w:tcBorders/>
          </w:tcPr>
          <w:p/>
        </w:tc>
        <w:tc>
          <w:tcPr>
            <w:tcW w:type="dxa" w:w="3558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0" w:right="10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dommage</w:t>
            </w:r>
          </w:p>
        </w:tc>
      </w:tr>
    </w:tbl>
    <w:p>
      <w:pPr>
        <w:autoSpaceDN w:val="0"/>
        <w:autoSpaceDE w:val="0"/>
        <w:widowControl/>
        <w:spacing w:line="228" w:lineRule="auto" w:before="98" w:after="100"/>
        <w:ind w:left="476" w:right="0" w:firstLine="0"/>
        <w:jc w:val="left"/>
      </w:pPr>
      <w:r>
        <w:rPr>
          <w:rFonts w:ascii="Montserrat" w:hAnsi="Montserrat" w:eastAsia="Montserrat"/>
          <w:b w:val="0"/>
          <w:i w:val="0"/>
          <w:color w:val="FFFFFF"/>
          <w:sz w:val="18"/>
        </w:rPr>
        <w:t>TEMPÊTE, GRÊLE, NEIGE, GEL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6.0" w:type="dxa"/>
      </w:tblPr>
      <w:tblGrid>
        <w:gridCol w:w="3558"/>
        <w:gridCol w:w="3558"/>
        <w:gridCol w:w="3558"/>
      </w:tblGrid>
      <w:tr>
        <w:trPr>
          <w:trHeight w:hRule="exact" w:val="286"/>
        </w:trPr>
        <w:tc>
          <w:tcPr>
            <w:tcW w:type="dxa" w:w="5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250" w:right="432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Dommages matériels suite à une tempête, la grêle, le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poids de la neige, le gel et les dommages de mouille</w:t>
            </w:r>
          </w:p>
        </w:tc>
        <w:tc>
          <w:tcPr>
            <w:tcW w:type="dxa" w:w="3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Capital mobilier choisi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52" w:after="0"/>
              <w:ind w:left="0" w:right="14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Franchise</w:t>
            </w:r>
          </w:p>
        </w:tc>
      </w:tr>
      <w:tr>
        <w:trPr>
          <w:trHeight w:hRule="exact" w:val="284"/>
        </w:trPr>
        <w:tc>
          <w:tcPr>
            <w:tcW w:type="dxa" w:w="3558"/>
            <w:vMerge/>
            <w:tcBorders/>
          </w:tcPr>
          <w:p/>
        </w:tc>
        <w:tc>
          <w:tcPr>
            <w:tcW w:type="dxa" w:w="3558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10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dommage</w:t>
            </w:r>
          </w:p>
        </w:tc>
      </w:tr>
    </w:tbl>
    <w:p>
      <w:pPr>
        <w:autoSpaceDN w:val="0"/>
        <w:autoSpaceDE w:val="0"/>
        <w:widowControl/>
        <w:spacing w:line="228" w:lineRule="auto" w:before="98" w:after="100"/>
        <w:ind w:left="476" w:right="0" w:firstLine="0"/>
        <w:jc w:val="left"/>
      </w:pPr>
      <w:r>
        <w:rPr>
          <w:rFonts w:ascii="Montserrat" w:hAnsi="Montserrat" w:eastAsia="Montserrat"/>
          <w:b w:val="0"/>
          <w:i w:val="0"/>
          <w:color w:val="FFFFFF"/>
          <w:sz w:val="18"/>
        </w:rPr>
        <w:t>DÉGÂTS DES EAUX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6.0" w:type="dxa"/>
      </w:tblPr>
      <w:tblGrid>
        <w:gridCol w:w="3558"/>
        <w:gridCol w:w="3558"/>
        <w:gridCol w:w="3558"/>
      </w:tblGrid>
      <w:tr>
        <w:trPr>
          <w:trHeight w:hRule="exact" w:val="466"/>
        </w:trPr>
        <w:tc>
          <w:tcPr>
            <w:tcW w:type="dxa" w:w="5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50" w:right="432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Dommages matériels suite à des fuites, ruptures,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débordements, renversement accidentels, les infiltra-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tions, et l’eau refoulée en raison de l’obstruction d’une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canalisation</w:t>
            </w:r>
          </w:p>
        </w:tc>
        <w:tc>
          <w:tcPr>
            <w:tcW w:type="dxa" w:w="3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Capital mobilier choisi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32" w:after="0"/>
              <w:ind w:left="0" w:right="14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Franchise</w:t>
            </w:r>
          </w:p>
        </w:tc>
      </w:tr>
      <w:tr>
        <w:trPr>
          <w:trHeight w:hRule="exact" w:val="488"/>
        </w:trPr>
        <w:tc>
          <w:tcPr>
            <w:tcW w:type="dxa" w:w="3558"/>
            <w:vMerge/>
            <w:tcBorders/>
          </w:tcPr>
          <w:p/>
        </w:tc>
        <w:tc>
          <w:tcPr>
            <w:tcW w:type="dxa" w:w="3558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" w:after="0"/>
              <w:ind w:left="0" w:right="10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dommage</w:t>
            </w:r>
          </w:p>
        </w:tc>
      </w:tr>
    </w:tbl>
    <w:p>
      <w:pPr>
        <w:autoSpaceDN w:val="0"/>
        <w:autoSpaceDE w:val="0"/>
        <w:widowControl/>
        <w:spacing w:line="228" w:lineRule="auto" w:before="94" w:after="96"/>
        <w:ind w:left="476" w:right="0" w:firstLine="0"/>
        <w:jc w:val="left"/>
      </w:pPr>
      <w:r>
        <w:rPr>
          <w:rFonts w:ascii="Montserrat" w:hAnsi="Montserrat" w:eastAsia="Montserrat"/>
          <w:b w:val="0"/>
          <w:i w:val="0"/>
          <w:color w:val="FFFFFF"/>
          <w:sz w:val="18"/>
        </w:rPr>
        <w:t>CATASTROPHES NATURELLES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6.0" w:type="dxa"/>
      </w:tblPr>
      <w:tblGrid>
        <w:gridCol w:w="3558"/>
        <w:gridCol w:w="3558"/>
        <w:gridCol w:w="3558"/>
      </w:tblGrid>
      <w:tr>
        <w:trPr>
          <w:trHeight w:hRule="exact" w:val="286"/>
        </w:trPr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76" w:after="0"/>
              <w:ind w:left="25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Catastrophes Naturelles</w:t>
            </w:r>
          </w:p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76" w:after="0"/>
              <w:ind w:left="0" w:right="57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Capital mobilier choisi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52" w:after="0"/>
              <w:ind w:left="0" w:right="9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380€ (fran-</w:t>
            </w:r>
          </w:p>
        </w:tc>
      </w:tr>
      <w:tr>
        <w:trPr>
          <w:trHeight w:hRule="exact" w:val="216"/>
        </w:trPr>
        <w:tc>
          <w:tcPr>
            <w:tcW w:type="dxa" w:w="3558"/>
            <w:vMerge/>
            <w:tcBorders/>
          </w:tcPr>
          <w:p/>
        </w:tc>
        <w:tc>
          <w:tcPr>
            <w:tcW w:type="dxa" w:w="3558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8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chise règle-</w:t>
            </w:r>
          </w:p>
        </w:tc>
      </w:tr>
      <w:tr>
        <w:trPr>
          <w:trHeight w:hRule="exact" w:val="204"/>
        </w:trPr>
        <w:tc>
          <w:tcPr>
            <w:tcW w:type="dxa" w:w="3558"/>
            <w:vMerge/>
            <w:tcBorders/>
          </w:tcPr>
          <w:p/>
        </w:tc>
        <w:tc>
          <w:tcPr>
            <w:tcW w:type="dxa" w:w="3558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16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mentaire)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348" w:right="938" w:bottom="98" w:left="2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292100</wp:posOffset>
            </wp:positionH>
            <wp:positionV relativeFrom="page">
              <wp:posOffset>0</wp:posOffset>
            </wp:positionV>
            <wp:extent cx="6616700" cy="17145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714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594" w:lineRule="exact" w:before="0" w:after="2022"/>
        <w:ind w:left="0" w:right="3204" w:firstLine="0"/>
        <w:jc w:val="right"/>
      </w:pPr>
      <w:r>
        <w:rPr>
          <w:rFonts w:ascii="BrandingSF" w:hAnsi="BrandingSF" w:eastAsia="BrandingSF"/>
          <w:b/>
          <w:i w:val="0"/>
          <w:color w:val="4EA699"/>
          <w:sz w:val="52"/>
        </w:rPr>
        <w:t>Habitation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703"/>
        <w:gridCol w:w="5703"/>
      </w:tblGrid>
      <w:tr>
        <w:trPr>
          <w:trHeight w:hRule="exact" w:val="5288"/>
        </w:trPr>
        <w:tc>
          <w:tcPr>
            <w:tcW w:type="dxa" w:w="1036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0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64" w:after="0"/>
              <w:ind w:left="0" w:right="28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4"/>
              </w:rPr>
              <w:t>3</w:t>
            </w:r>
          </w:p>
        </w:tc>
      </w:tr>
      <w:tr>
        <w:trPr>
          <w:trHeight w:hRule="exact" w:val="8218"/>
        </w:trPr>
        <w:tc>
          <w:tcPr>
            <w:tcW w:type="dxa" w:w="1036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0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69900" cy="508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5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50" w:right="0" w:bottom="0" w:left="5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2400300</wp:posOffset>
            </wp:positionV>
            <wp:extent cx="6591300" cy="76454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764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0</wp:posOffset>
            </wp:positionV>
            <wp:extent cx="6591300" cy="17272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727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594" w:lineRule="exact" w:before="0" w:after="2574"/>
        <w:ind w:left="0" w:right="2114" w:firstLine="0"/>
        <w:jc w:val="right"/>
      </w:pPr>
      <w:r>
        <w:rPr>
          <w:rFonts w:ascii="BrandingSF" w:hAnsi="BrandingSF" w:eastAsia="BrandingSF"/>
          <w:b/>
          <w:i w:val="0"/>
          <w:color w:val="4EA699"/>
          <w:sz w:val="52"/>
        </w:rPr>
        <w:t>Habitation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3775"/>
        <w:gridCol w:w="3775"/>
        <w:gridCol w:w="3775"/>
      </w:tblGrid>
      <w:tr>
        <w:trPr>
          <w:trHeight w:hRule="exact" w:val="364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62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8"/>
              </w:rPr>
              <w:t>GARANTIES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1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8"/>
              </w:rPr>
              <w:t>PLAFONDS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8"/>
              </w:rPr>
              <w:t>FRANCHISES</w:t>
            </w:r>
          </w:p>
        </w:tc>
      </w:tr>
    </w:tbl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831"/>
        <w:gridCol w:w="2831"/>
        <w:gridCol w:w="2831"/>
        <w:gridCol w:w="2831"/>
      </w:tblGrid>
      <w:tr>
        <w:trPr>
          <w:trHeight w:hRule="exact" w:val="1330"/>
        </w:trPr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560" w:after="0"/>
              <w:ind w:left="3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Chambre particulière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0" w:after="0"/>
              <w:ind w:left="144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30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 par jour dans la limite de 600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€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par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sinistre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Pris en charge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à partir du pre-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mier jour pour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les hospitalisa-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tions de plus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de 2 jours</w:t>
            </w:r>
          </w:p>
        </w:tc>
      </w:tr>
      <w:tr>
        <w:trPr>
          <w:trHeight w:hRule="exact" w:val="420"/>
        </w:trPr>
        <w:tc>
          <w:tcPr>
            <w:tcW w:type="dxa" w:w="2831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4" w:after="0"/>
              <w:ind w:left="3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Location du téléviseur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4" w:after="0"/>
              <w:ind w:left="0" w:right="118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60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 par sinistre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4" w:after="0"/>
              <w:ind w:left="0" w:right="40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Néant</w:t>
            </w:r>
          </w:p>
        </w:tc>
      </w:tr>
      <w:tr>
        <w:trPr>
          <w:trHeight w:hRule="exact" w:val="680"/>
        </w:trPr>
        <w:tc>
          <w:tcPr>
            <w:tcW w:type="dxa" w:w="2831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6" w:after="0"/>
              <w:ind w:left="390" w:right="28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Frais d’accompagnement (en cas d’hospitalisation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d’enfant âgé de moins de 15 ans)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6" w:after="0"/>
              <w:ind w:left="432" w:right="288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5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 par jour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dans la limite de 300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 par sinistre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36" w:after="0"/>
              <w:ind w:left="0" w:right="40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Néant</w:t>
            </w:r>
          </w:p>
        </w:tc>
      </w:tr>
      <w:tr>
        <w:trPr>
          <w:trHeight w:hRule="exact" w:val="1190"/>
        </w:trPr>
        <w:tc>
          <w:tcPr>
            <w:tcW w:type="dxa" w:w="2831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548" w:after="0"/>
              <w:ind w:left="3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Invalidité permanente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548" w:after="0"/>
              <w:ind w:left="0" w:right="95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100 000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 par sinistre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En cas d’in-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validité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strictement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supérieure à 8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%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d’invalidité</w:t>
            </w:r>
          </w:p>
        </w:tc>
      </w:tr>
      <w:tr>
        <w:trPr>
          <w:trHeight w:hRule="exact" w:val="390"/>
        </w:trPr>
        <w:tc>
          <w:tcPr>
            <w:tcW w:type="dxa" w:w="720"/>
            <w:vMerge w:val="restart"/>
            <w:tcBorders/>
            <w:shd w:fill="4da69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5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4"/>
              </w:rPr>
              <w:t>4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94" w:after="0"/>
              <w:ind w:left="3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Capital décès et obsèques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94" w:after="0"/>
              <w:ind w:left="0" w:right="104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5 000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 par sinistre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94" w:after="0"/>
              <w:ind w:left="0" w:right="40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Néant</w:t>
            </w:r>
          </w:p>
        </w:tc>
      </w:tr>
      <w:tr>
        <w:trPr>
          <w:trHeight w:hRule="exact" w:val="330"/>
        </w:trPr>
        <w:tc>
          <w:tcPr>
            <w:tcW w:type="dxa" w:w="2831"/>
            <w:vMerge/>
            <w:tcBorders/>
          </w:tcPr>
          <w:p/>
        </w:tc>
        <w:tc>
          <w:tcPr>
            <w:tcW w:type="dxa" w:w="10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4" w:after="0"/>
              <w:ind w:left="3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8"/>
              </w:rPr>
              <w:t>PROTECTION JURIDIQUE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8"/>
              </w:rPr>
              <w:t xml:space="preserve">(Montant maximal par année d’assurance : 20 000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FFFFFF"/>
                <w:sz w:val="10"/>
              </w:rPr>
              <w:t>€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8"/>
              </w:rPr>
              <w:t xml:space="preserve">) </w:t>
            </w:r>
          </w:p>
        </w:tc>
      </w:tr>
      <w:tr>
        <w:trPr>
          <w:trHeight w:hRule="exact" w:val="1130"/>
        </w:trPr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5105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510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3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Assistance à expertise judiciaire – Assistance à mesure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d’instruction – Recours précontentieux en matière ad-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ministrative – Représentation devant une commission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administrative, civile ou disciplinaire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60" w:after="0"/>
              <w:ind w:left="0" w:right="165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330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60" w:after="0"/>
              <w:ind w:left="144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Par interven-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tion</w:t>
            </w:r>
          </w:p>
        </w:tc>
      </w:tr>
      <w:tr>
        <w:trPr>
          <w:trHeight w:hRule="exact" w:val="1120"/>
        </w:trPr>
        <w:tc>
          <w:tcPr>
            <w:tcW w:type="dxa" w:w="2831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0" w:after="0"/>
              <w:ind w:left="3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Assistance à transaction définitive ayant abouti à un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protocole signé par les parties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Assistance à médiation ou conciliation ayant abouti et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constatée par le juge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50" w:after="0"/>
              <w:ind w:left="288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Le montant est celui qui aurait été appliqué si la procé-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dure avait été menée à son terme</w:t>
            </w:r>
          </w:p>
        </w:tc>
      </w:tr>
      <w:tr>
        <w:trPr>
          <w:trHeight w:hRule="exact" w:val="420"/>
        </w:trPr>
        <w:tc>
          <w:tcPr>
            <w:tcW w:type="dxa" w:w="2831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Ordonnance en matière gracieuse ou sur requête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50" w:after="0"/>
              <w:ind w:left="0" w:right="164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540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6" w:after="0"/>
              <w:ind w:left="288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Par ordon-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nance</w:t>
            </w:r>
          </w:p>
        </w:tc>
      </w:tr>
      <w:tr>
        <w:trPr>
          <w:trHeight w:hRule="exact" w:val="340"/>
        </w:trPr>
        <w:tc>
          <w:tcPr>
            <w:tcW w:type="dxa" w:w="2831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4" w:after="0"/>
              <w:ind w:left="3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Ordonnance de référé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4" w:after="0"/>
              <w:ind w:left="0" w:right="164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460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</w:p>
        </w:tc>
        <w:tc>
          <w:tcPr>
            <w:tcW w:type="dxa" w:w="2831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2831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3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Juge de proximité ayant abouti à une décision défini-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tive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58" w:after="0"/>
              <w:ind w:left="0" w:right="313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670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</w:p>
        </w:tc>
      </w:tr>
      <w:tr>
        <w:trPr>
          <w:trHeight w:hRule="exact" w:val="580"/>
        </w:trPr>
        <w:tc>
          <w:tcPr>
            <w:tcW w:type="dxa" w:w="2831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3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Tribunal de police sans constitution de partie civile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l’Assuré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52" w:after="0"/>
              <w:ind w:left="0" w:right="164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340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46" w:after="0"/>
              <w:ind w:left="33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Par Affaire</w:t>
            </w:r>
          </w:p>
        </w:tc>
      </w:tr>
      <w:tr>
        <w:trPr>
          <w:trHeight w:hRule="exact" w:val="540"/>
        </w:trPr>
        <w:tc>
          <w:tcPr>
            <w:tcW w:type="dxa" w:w="2831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390" w:right="28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Tribunal Judiciaire, tribunal des affaires de sécurité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sociale, tribunal du contentieux de l’incapacité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06" w:after="0"/>
              <w:ind w:left="0" w:right="308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1 100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</w:p>
        </w:tc>
      </w:tr>
      <w:tr>
        <w:trPr>
          <w:trHeight w:hRule="exact" w:val="480"/>
        </w:trPr>
        <w:tc>
          <w:tcPr>
            <w:tcW w:type="dxa" w:w="2831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30" w:after="0"/>
              <w:ind w:left="3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Tribunal de commerce, tribunal administratif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30" w:after="0"/>
              <w:ind w:left="0" w:right="306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1 000 </w:t>
            </w:r>
            <w:r>
              <w:rPr>
                <w:w w:val="104.94000434875488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€</w:t>
            </w:r>
          </w:p>
        </w:tc>
      </w:tr>
      <w:tr>
        <w:trPr>
          <w:trHeight w:hRule="exact" w:val="440"/>
        </w:trPr>
        <w:tc>
          <w:tcPr>
            <w:tcW w:type="dxa" w:w="2831"/>
            <w:vMerge/>
            <w:tcBorders/>
          </w:tcPr>
          <w:p/>
        </w:tc>
        <w:tc>
          <w:tcPr>
            <w:tcW w:type="dxa" w:w="10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44" w:after="0"/>
              <w:ind w:left="3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- Conseil de Prud'hommes</w:t>
            </w:r>
          </w:p>
        </w:tc>
      </w:tr>
      <w:tr>
        <w:trPr>
          <w:trHeight w:hRule="exact" w:val="540"/>
        </w:trPr>
        <w:tc>
          <w:tcPr>
            <w:tcW w:type="dxa" w:w="2831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4" w:val="left"/>
              </w:tabs>
              <w:autoSpaceDE w:val="0"/>
              <w:widowControl/>
              <w:spacing w:line="245" w:lineRule="auto" w:before="70" w:after="0"/>
              <w:ind w:left="616" w:right="216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 Bureau de conciliation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(si la conciliation a abouti)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70" w:after="0"/>
              <w:ind w:left="0" w:right="309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500 €</w:t>
            </w:r>
          </w:p>
        </w:tc>
      </w:tr>
      <w:tr>
        <w:trPr>
          <w:trHeight w:hRule="exact" w:val="540"/>
        </w:trPr>
        <w:tc>
          <w:tcPr>
            <w:tcW w:type="dxa" w:w="2831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4" w:val="left"/>
              </w:tabs>
              <w:autoSpaceDE w:val="0"/>
              <w:widowControl/>
              <w:spacing w:line="245" w:lineRule="auto" w:before="64" w:after="0"/>
              <w:ind w:left="616" w:right="172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 Bureau de jugement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(si la conciliation n’a pas abouti)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64" w:after="0"/>
              <w:ind w:left="0" w:right="155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1 000 €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64" w:after="0"/>
              <w:ind w:left="33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Par Affaire</w:t>
            </w:r>
          </w:p>
        </w:tc>
      </w:tr>
      <w:tr>
        <w:trPr>
          <w:trHeight w:hRule="exact" w:val="1540"/>
        </w:trPr>
        <w:tc>
          <w:tcPr>
            <w:tcW w:type="dxa" w:w="2831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390" w:right="28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CIVI Commission d’indemnisation des victimes d’in-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fraction, Tribunal correctionnel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58" w:after="0"/>
              <w:ind w:left="0" w:right="310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730 €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50" w:right="58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</wp:posOffset>
            </wp:positionH>
            <wp:positionV relativeFrom="page">
              <wp:posOffset>0</wp:posOffset>
            </wp:positionV>
            <wp:extent cx="6591300" cy="17272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727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594" w:lineRule="exact" w:before="0" w:after="2438"/>
        <w:ind w:left="0" w:right="3204" w:firstLine="0"/>
        <w:jc w:val="right"/>
      </w:pPr>
      <w:r>
        <w:rPr>
          <w:rFonts w:ascii="BrandingSF" w:hAnsi="BrandingSF" w:eastAsia="BrandingSF"/>
          <w:b/>
          <w:i w:val="0"/>
          <w:color w:val="4EA699"/>
          <w:sz w:val="52"/>
        </w:rPr>
        <w:t>Habitation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03"/>
        <w:gridCol w:w="5703"/>
      </w:tblGrid>
      <w:tr>
        <w:trPr>
          <w:trHeight w:hRule="exact" w:val="4902"/>
        </w:trPr>
        <w:tc>
          <w:tcPr>
            <w:tcW w:type="dxa" w:w="1052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440" w:after="0"/>
              <w:ind w:left="0" w:right="28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4"/>
              </w:rPr>
              <w:t>5</w:t>
            </w:r>
          </w:p>
          <w:p>
            <w:pPr>
              <w:autoSpaceDN w:val="0"/>
              <w:autoSpaceDE w:val="0"/>
              <w:widowControl/>
              <w:spacing w:line="240" w:lineRule="auto" w:before="388" w:after="0"/>
              <w:ind w:left="1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69900" cy="5080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5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8180"/>
        </w:trPr>
        <w:tc>
          <w:tcPr>
            <w:tcW w:type="dxa" w:w="10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3507"/>
              <w:gridCol w:w="3507"/>
              <w:gridCol w:w="3507"/>
            </w:tblGrid>
            <w:tr>
              <w:trPr>
                <w:trHeight w:hRule="exact" w:val="1360"/>
              </w:trPr>
              <w:tc>
                <w:tcPr>
                  <w:tcW w:type="dxa" w:w="10344"/>
                  <w:gridSpan w:val="3"/>
                  <w:tcBorders>
                    <w:start w:sz="8.0" w:val="single" w:color="#4DA699"/>
                    <w:top w:sz="8.0" w:val="single" w:color="#4DA69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562" w:val="left"/>
                    </w:tabs>
                    <w:autoSpaceDE w:val="0"/>
                    <w:widowControl/>
                    <w:spacing w:line="324" w:lineRule="auto" w:before="96" w:after="86"/>
                    <w:ind w:left="70" w:right="4464" w:firstLine="0"/>
                    <w:jc w:val="left"/>
                  </w:pPr>
                  <w:r>
                    <w:tab/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4EA699"/>
                      <w:sz w:val="20"/>
                    </w:rPr>
                    <w:t xml:space="preserve">OPTION(S) 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FFFFFF"/>
                      <w:sz w:val="18"/>
                    </w:rPr>
                    <w:t>DÉPENDANCES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5172"/>
                    <w:gridCol w:w="5172"/>
                  </w:tblGrid>
                  <w:tr>
                    <w:trPr>
                      <w:trHeight w:hRule="exact" w:val="438"/>
                    </w:trPr>
                    <w:tc>
                      <w:tcPr>
                        <w:tcW w:type="dxa" w:w="46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3" w:lineRule="auto" w:before="120" w:after="0"/>
                          <w:ind w:left="40" w:right="0" w:firstLine="0"/>
                          <w:jc w:val="left"/>
                        </w:pPr>
                        <w:r>
                          <w:rPr>
                            <w:rFonts w:ascii="Montserrat" w:hAnsi="Montserrat" w:eastAsia="Montserrat"/>
                            <w:b w:val="0"/>
                            <w:i w:val="0"/>
                            <w:color w:val="000000"/>
                            <w:sz w:val="18"/>
                          </w:rPr>
                          <w:t>Dommages matériels directs des biens assurés</w:t>
                        </w:r>
                      </w:p>
                    </w:tc>
                    <w:tc>
                      <w:tcPr>
                        <w:tcW w:type="dxa" w:w="49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46" w:after="0"/>
                          <w:ind w:left="288" w:right="720" w:firstLine="0"/>
                          <w:jc w:val="center"/>
                        </w:pPr>
                        <w:r>
                          <w:rPr>
                            <w:rFonts w:ascii="Montserrat" w:hAnsi="Montserrat" w:eastAsia="Montserrat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Valeur de reconstruction vétusté déduite, </w:t>
                        </w:r>
                        <w:r>
                          <w:rPr>
                            <w:rFonts w:ascii="Montserrat" w:hAnsi="Montserrat" w:eastAsia="Montserrat"/>
                            <w:b w:val="0"/>
                            <w:i w:val="0"/>
                            <w:color w:val="000000"/>
                            <w:sz w:val="18"/>
                          </w:rPr>
                          <w:t>sans excéder la valeur de 1 000€ / m²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2156"/>
              </w:trPr>
              <w:tc>
                <w:tcPr>
                  <w:tcW w:type="dxa" w:w="10344"/>
                  <w:gridSpan w:val="3"/>
                  <w:tcBorders>
                    <w:start w:sz="8.0" w:val="single" w:color="#4DA699"/>
                    <w:bottom w:sz="8.0" w:val="single" w:color="#87BBB1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3448"/>
                    <w:gridCol w:w="3448"/>
                    <w:gridCol w:w="3448"/>
                  </w:tblGrid>
                  <w:tr>
                    <w:trPr>
                      <w:trHeight w:hRule="exact" w:val="956"/>
                    </w:trPr>
                    <w:tc>
                      <w:tcPr>
                        <w:tcW w:type="dxa" w:w="42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6" w:lineRule="auto" w:before="350" w:after="0"/>
                          <w:ind w:left="40" w:right="0" w:firstLine="0"/>
                          <w:jc w:val="left"/>
                        </w:pPr>
                        <w:r>
                          <w:rPr>
                            <w:rFonts w:ascii="Montserrat" w:hAnsi="Montserrat" w:eastAsia="Montserrat"/>
                            <w:b w:val="0"/>
                            <w:i w:val="0"/>
                            <w:color w:val="000000"/>
                            <w:sz w:val="18"/>
                          </w:rPr>
                          <w:t>Frais de démolition et de déblaiement</w:t>
                        </w:r>
                      </w:p>
                    </w:tc>
                    <w:tc>
                      <w:tcPr>
                        <w:tcW w:type="dxa" w:w="46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124" w:after="0"/>
                          <w:ind w:left="720" w:right="144" w:firstLine="0"/>
                          <w:jc w:val="center"/>
                        </w:pPr>
                        <w:r>
                          <w:rPr>
                            <w:rFonts w:ascii="Montserrat" w:hAnsi="Montserrat" w:eastAsia="Montserrat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1 500€ pour les dépendances jusqu’à </w:t>
                        </w:r>
                        <w:r>
                          <w:rPr>
                            <w:rFonts w:ascii="Montserrat" w:hAnsi="Montserrat" w:eastAsia="Montserrat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50m² - Indemnité calculée sur la valeur à </w:t>
                        </w:r>
                        <w:r>
                          <w:rPr>
                            <w:rFonts w:ascii="Montserrat" w:hAnsi="Montserrat" w:eastAsia="Montserrat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neuf du bien mobilier déduction faite de </w:t>
                        </w:r>
                        <w:r>
                          <w:rPr>
                            <w:rFonts w:ascii="Montserrat" w:hAnsi="Montserrat" w:eastAsia="Montserrat"/>
                            <w:b w:val="0"/>
                            <w:i w:val="0"/>
                            <w:color w:val="000000"/>
                            <w:sz w:val="18"/>
                          </w:rPr>
                          <w:t>la vétusté</w:t>
                        </w:r>
                      </w:p>
                    </w:tc>
                    <w:tc>
                      <w:tcPr>
                        <w:tcW w:type="dxa" w:w="1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34" w:after="0"/>
                          <w:ind w:left="144" w:right="0" w:firstLine="0"/>
                          <w:jc w:val="center"/>
                        </w:pPr>
                        <w:r>
                          <w:rPr>
                            <w:rFonts w:ascii="Montserrat" w:hAnsi="Montserrat" w:eastAsia="Montserrat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Franchise </w:t>
                        </w:r>
                        <w:r>
                          <w:rPr>
                            <w:rFonts w:ascii="Montserrat" w:hAnsi="Montserrat" w:eastAsia="Montserrat"/>
                            <w:b w:val="0"/>
                            <w:i w:val="0"/>
                            <w:color w:val="000000"/>
                            <w:sz w:val="18"/>
                          </w:rPr>
                          <w:t>dommage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28" w:lineRule="auto" w:before="98" w:after="102"/>
                    <w:ind w:left="70" w:right="0" w:firstLine="0"/>
                    <w:jc w:val="left"/>
                  </w:pPr>
                  <w:r>
                    <w:rPr>
                      <w:rFonts w:ascii="Montserrat" w:hAnsi="Montserrat" w:eastAsia="Montserrat"/>
                      <w:b w:val="0"/>
                      <w:i w:val="0"/>
                      <w:color w:val="FFFFFF"/>
                      <w:sz w:val="18"/>
                    </w:rPr>
                    <w:t>PISCINE ET SES ÉQUIPEMENTS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3448"/>
                    <w:gridCol w:w="3448"/>
                    <w:gridCol w:w="3448"/>
                  </w:tblGrid>
                  <w:tr>
                    <w:trPr>
                      <w:trHeight w:hRule="exact" w:val="512"/>
                    </w:trPr>
                    <w:tc>
                      <w:tcPr>
                        <w:tcW w:type="dxa" w:w="44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3" w:lineRule="auto" w:before="150" w:after="0"/>
                          <w:ind w:left="40" w:right="0" w:firstLine="0"/>
                          <w:jc w:val="left"/>
                        </w:pPr>
                        <w:r>
                          <w:rPr>
                            <w:rFonts w:ascii="Montserrat" w:hAnsi="Montserrat" w:eastAsia="Montserrat"/>
                            <w:b w:val="0"/>
                            <w:i w:val="0"/>
                            <w:color w:val="000000"/>
                            <w:sz w:val="18"/>
                          </w:rPr>
                          <w:t>Piscine et ses équipements</w:t>
                        </w:r>
                      </w:p>
                    </w:tc>
                    <w:tc>
                      <w:tcPr>
                        <w:tcW w:type="dxa" w:w="36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3" w:lineRule="auto" w:before="150" w:after="0"/>
                          <w:ind w:left="0" w:right="904" w:firstLine="0"/>
                          <w:jc w:val="right"/>
                        </w:pPr>
                        <w:r>
                          <w:rPr>
                            <w:rFonts w:ascii="Montserrat" w:hAnsi="Montserrat" w:eastAsia="Montserrat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40 000 </w:t>
                        </w:r>
                        <w:r>
                          <w:rPr>
                            <w:w w:val="104.94000434875488"/>
                            <w:rFonts w:ascii="Montserrat" w:hAnsi="Montserrat" w:eastAsia="Montserrat"/>
                            <w:b w:val="0"/>
                            <w:i w:val="0"/>
                            <w:color w:val="000000"/>
                            <w:sz w:val="10"/>
                          </w:rPr>
                          <w:t>€</w:t>
                        </w:r>
                      </w:p>
                    </w:tc>
                    <w:tc>
                      <w:tcPr>
                        <w:tcW w:type="dxa" w:w="20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60" w:after="0"/>
                          <w:ind w:left="864" w:right="0" w:firstLine="0"/>
                          <w:jc w:val="center"/>
                        </w:pPr>
                        <w:r>
                          <w:rPr>
                            <w:rFonts w:ascii="Montserrat" w:hAnsi="Montserrat" w:eastAsia="Montserrat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Franchise </w:t>
                        </w:r>
                        <w:r>
                          <w:br/>
                        </w:r>
                        <w:r>
                          <w:rPr>
                            <w:rFonts w:ascii="Montserrat" w:hAnsi="Montserrat" w:eastAsia="Montserrat"/>
                            <w:b w:val="0"/>
                            <w:i w:val="0"/>
                            <w:color w:val="000000"/>
                            <w:sz w:val="18"/>
                          </w:rPr>
                          <w:t>dommage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758"/>
              </w:trPr>
              <w:tc>
                <w:tcPr>
                  <w:tcW w:type="dxa" w:w="4994"/>
                  <w:tcBorders>
                    <w:start w:sz="8.0" w:val="single" w:color="#4DA699"/>
                    <w:top w:sz="8.0" w:val="single" w:color="#87BBB1"/>
                    <w:bottom w:sz="8.0" w:val="single" w:color="#87BBB1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8" w:lineRule="auto" w:before="0" w:after="0"/>
                    <w:ind w:left="70" w:right="3888" w:firstLine="0"/>
                    <w:jc w:val="left"/>
                  </w:pPr>
                  <w:r>
                    <w:rPr>
                      <w:rFonts w:ascii="Montserrat" w:hAnsi="Montserrat" w:eastAsia="Montserrat"/>
                      <w:b w:val="0"/>
                      <w:i w:val="0"/>
                      <w:color w:val="FFFFFF"/>
                      <w:sz w:val="18"/>
                    </w:rPr>
                    <w:t xml:space="preserve">VÉRANDA </w:t>
                  </w:r>
                  <w:r>
                    <w:br/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000000"/>
                      <w:sz w:val="18"/>
                    </w:rPr>
                    <w:t>Véranda</w:t>
                  </w:r>
                </w:p>
              </w:tc>
              <w:tc>
                <w:tcPr>
                  <w:tcW w:type="dxa" w:w="3838"/>
                  <w:tcBorders>
                    <w:top w:sz="8.0" w:val="single" w:color="#87BBB1"/>
                    <w:bottom w:sz="8.0" w:val="single" w:color="#87BBB1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92" w:after="0"/>
                    <w:ind w:left="0" w:right="0" w:firstLine="0"/>
                    <w:jc w:val="center"/>
                  </w:pPr>
                  <w:r>
                    <w:rPr>
                      <w:rFonts w:ascii="Montserrat" w:hAnsi="Montserrat" w:eastAsia="Montserrat"/>
                      <w:b w:val="0"/>
                      <w:i w:val="0"/>
                      <w:color w:val="000000"/>
                      <w:sz w:val="18"/>
                    </w:rPr>
                    <w:t>Capital mobilier choisi</w:t>
                  </w:r>
                </w:p>
              </w:tc>
              <w:tc>
                <w:tcPr>
                  <w:tcW w:type="dxa" w:w="1512"/>
                  <w:tcBorders>
                    <w:top w:sz="8.0" w:val="single" w:color="#87BBB1"/>
                    <w:bottom w:sz="8.0" w:val="single" w:color="#87BBB1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84" w:after="0"/>
                    <w:ind w:left="144" w:right="144" w:firstLine="0"/>
                    <w:jc w:val="center"/>
                  </w:pPr>
                  <w:r>
                    <w:rPr>
                      <w:rFonts w:ascii="Montserrat" w:hAnsi="Montserrat" w:eastAsia="Montserrat"/>
                      <w:b w:val="0"/>
                      <w:i w:val="0"/>
                      <w:color w:val="000000"/>
                      <w:sz w:val="18"/>
                    </w:rPr>
                    <w:t xml:space="preserve">Franchise 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000000"/>
                      <w:sz w:val="18"/>
                    </w:rPr>
                    <w:t>dommage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7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52" w:right="0" w:bottom="0" w:left="5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