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</wp:posOffset>
            </wp:positionH>
            <wp:positionV relativeFrom="page">
              <wp:posOffset>4330700</wp:posOffset>
            </wp:positionV>
            <wp:extent cx="6959600" cy="2959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2959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0</wp:posOffset>
            </wp:positionV>
            <wp:extent cx="3492500" cy="26035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60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3703320</wp:posOffset>
            </wp:positionH>
            <wp:positionV relativeFrom="page">
              <wp:posOffset>-13970</wp:posOffset>
            </wp:positionV>
            <wp:extent cx="3509009" cy="2620652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009" cy="262065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5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92200" cy="355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5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70" w:lineRule="exact" w:before="844" w:after="58"/>
        <w:ind w:left="566" w:right="8928" w:firstLine="18"/>
        <w:jc w:val="left"/>
      </w:pPr>
      <w:r>
        <w:rPr>
          <w:rFonts w:ascii="HDColton" w:hAnsi="HDColton" w:eastAsia="HDColton"/>
          <w:b/>
          <w:i w:val="0"/>
          <w:color w:val="E25E3F"/>
          <w:sz w:val="48"/>
        </w:rPr>
        <w:t>SANTÉ</w:t>
      </w:r>
      <w:r>
        <w:br/>
      </w:r>
      <w:r>
        <w:rPr>
          <w:rFonts w:ascii="HDColton" w:hAnsi="HDColton" w:eastAsia="HDColton"/>
          <w:b/>
          <w:i w:val="0"/>
          <w:color w:val="E25E3F"/>
          <w:sz w:val="56"/>
        </w:rPr>
        <w:t>VITALIA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78.0" w:type="dxa"/>
      </w:tblPr>
      <w:tblGrid>
        <w:gridCol w:w="5953"/>
        <w:gridCol w:w="5953"/>
      </w:tblGrid>
      <w:tr>
        <w:trPr>
          <w:trHeight w:hRule="exact" w:val="916"/>
        </w:trPr>
        <w:tc>
          <w:tcPr>
            <w:tcW w:type="dxa" w:w="702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68300" cy="368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100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74" w:after="0"/>
              <w:ind w:left="76" w:right="360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000000"/>
                <w:sz w:val="22"/>
              </w:rPr>
              <w:t xml:space="preserve">POUR UN LARGE PUBLIC </w:t>
            </w:r>
            <w:r>
              <w:br/>
            </w:r>
            <w:r>
              <w:rPr>
                <w:rFonts w:ascii="OpenSans" w:hAnsi="OpenSans" w:eastAsia="OpenSans"/>
                <w:b w:val="0"/>
                <w:i/>
                <w:color w:val="000000"/>
                <w:sz w:val="22"/>
              </w:rPr>
              <w:t>Célibataire, en couple ou en famille</w:t>
            </w:r>
          </w:p>
        </w:tc>
      </w:tr>
    </w:tbl>
    <w:p>
      <w:pPr>
        <w:autoSpaceDN w:val="0"/>
        <w:autoSpaceDE w:val="0"/>
        <w:widowControl/>
        <w:spacing w:line="432" w:lineRule="exact" w:before="786" w:after="0"/>
        <w:ind w:left="2736" w:right="2736" w:firstLine="0"/>
        <w:jc w:val="center"/>
      </w:pPr>
      <w:r>
        <w:rPr>
          <w:rFonts w:ascii="HDColton" w:hAnsi="HDColton" w:eastAsia="HDColton"/>
          <w:b/>
          <w:i w:val="0"/>
          <w:color w:val="252625"/>
          <w:sz w:val="36"/>
        </w:rPr>
        <w:t xml:space="preserve">DES COUVERTURES </w:t>
      </w:r>
      <w:r>
        <w:rPr>
          <w:rFonts w:ascii="HDColton" w:hAnsi="HDColton" w:eastAsia="HDColton"/>
          <w:b/>
          <w:i w:val="0"/>
          <w:color w:val="E25E3F"/>
          <w:sz w:val="36"/>
        </w:rPr>
        <w:t>COMPLÈTES</w:t>
      </w:r>
      <w:r>
        <w:rPr>
          <w:rFonts w:ascii="HDColton" w:hAnsi="HDColton" w:eastAsia="HDColton"/>
          <w:b/>
          <w:i w:val="0"/>
          <w:color w:val="252625"/>
          <w:sz w:val="36"/>
        </w:rPr>
        <w:t xml:space="preserve">À PRIX </w:t>
      </w:r>
      <w:r>
        <w:rPr>
          <w:rFonts w:ascii="HDColton" w:hAnsi="HDColton" w:eastAsia="HDColton"/>
          <w:b/>
          <w:i w:val="0"/>
          <w:color w:val="E25E3F"/>
          <w:sz w:val="36"/>
        </w:rPr>
        <w:t xml:space="preserve">COMPÉTITIFS </w:t>
      </w:r>
      <w:r>
        <w:br/>
      </w:r>
      <w:r>
        <w:rPr>
          <w:rFonts w:ascii="HDColton" w:hAnsi="HDColton" w:eastAsia="HDColton"/>
          <w:b/>
          <w:i w:val="0"/>
          <w:color w:val="252625"/>
          <w:sz w:val="36"/>
        </w:rPr>
        <w:t>SANS LIMITE D’ÂGE.</w:t>
      </w:r>
    </w:p>
    <w:p>
      <w:pPr>
        <w:autoSpaceDN w:val="0"/>
        <w:autoSpaceDE w:val="0"/>
        <w:widowControl/>
        <w:spacing w:line="562" w:lineRule="exact" w:before="954" w:after="420"/>
        <w:ind w:left="0" w:right="0" w:firstLine="0"/>
        <w:jc w:val="center"/>
      </w:pPr>
      <w:r>
        <w:rPr>
          <w:rFonts w:ascii="HDColton" w:hAnsi="HDColton" w:eastAsia="HDColton"/>
          <w:b/>
          <w:i w:val="0"/>
          <w:color w:val="FFFFFF"/>
          <w:sz w:val="40"/>
        </w:rPr>
        <w:t>L’OFFRE EN SYNTHÈSE</w:t>
      </w:r>
    </w:p>
    <w:p>
      <w:pPr>
        <w:sectPr>
          <w:pgSz w:w="11906" w:h="16838"/>
          <w:pgMar w:top="28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2524" w:val="left"/>
        </w:tabs>
        <w:autoSpaceDE w:val="0"/>
        <w:widowControl/>
        <w:spacing w:line="245" w:lineRule="auto" w:before="0" w:after="0"/>
        <w:ind w:left="2080" w:right="1296" w:firstLine="0"/>
        <w:jc w:val="left"/>
      </w:pPr>
      <w:r>
        <w:tab/>
      </w:r>
      <w:r>
        <w:rPr>
          <w:rFonts w:ascii="OpenSans" w:hAnsi="OpenSans" w:eastAsia="OpenSans"/>
          <w:b/>
          <w:i w:val="0"/>
          <w:color w:val="FFFFFF"/>
          <w:sz w:val="36"/>
        </w:rPr>
        <w:t xml:space="preserve">Formules </w:t>
      </w:r>
      <w:r>
        <w:br/>
      </w:r>
      <w:r>
        <w:rPr>
          <w:rFonts w:ascii="OpenSans" w:hAnsi="OpenSans" w:eastAsia="OpenSans"/>
          <w:b/>
          <w:i w:val="0"/>
          <w:color w:val="E25E3F"/>
          <w:sz w:val="38"/>
        </w:rPr>
        <w:t>ESSENTIELLES</w:t>
      </w:r>
    </w:p>
    <w:p>
      <w:pPr>
        <w:autoSpaceDN w:val="0"/>
        <w:autoSpaceDE w:val="0"/>
        <w:widowControl/>
        <w:spacing w:line="218" w:lineRule="auto" w:before="0" w:after="0"/>
        <w:ind w:left="0" w:right="904" w:firstLine="0"/>
        <w:jc w:val="right"/>
      </w:pPr>
      <w:r>
        <w:rPr>
          <w:rFonts w:ascii="OpenSans" w:hAnsi="OpenSans" w:eastAsia="OpenSans"/>
          <w:b w:val="0"/>
          <w:i w:val="0"/>
          <w:color w:val="FFFFFF"/>
          <w:sz w:val="21"/>
        </w:rPr>
        <w:t xml:space="preserve">L’équilibre parfait entre niveaux de </w:t>
      </w:r>
    </w:p>
    <w:p>
      <w:pPr>
        <w:autoSpaceDN w:val="0"/>
        <w:autoSpaceDE w:val="0"/>
        <w:widowControl/>
        <w:spacing w:line="218" w:lineRule="auto" w:before="0" w:after="0"/>
        <w:ind w:left="0" w:right="1232" w:firstLine="0"/>
        <w:jc w:val="right"/>
      </w:pPr>
      <w:r>
        <w:rPr>
          <w:rFonts w:ascii="OpenSans" w:hAnsi="OpenSans" w:eastAsia="OpenSans"/>
          <w:b w:val="0"/>
          <w:i w:val="0"/>
          <w:color w:val="FFFFFF"/>
          <w:sz w:val="21"/>
        </w:rPr>
        <w:t>garanties et tarifs compétitifs</w:t>
      </w:r>
    </w:p>
    <w:p>
      <w:pPr>
        <w:autoSpaceDN w:val="0"/>
        <w:autoSpaceDE w:val="0"/>
        <w:widowControl/>
        <w:spacing w:line="221" w:lineRule="auto" w:before="294" w:after="0"/>
        <w:ind w:left="0" w:right="2078" w:firstLine="0"/>
        <w:jc w:val="right"/>
      </w:pPr>
      <w:r>
        <w:rPr>
          <w:rFonts w:ascii="OpenSans" w:hAnsi="OpenSans" w:eastAsia="OpenSans"/>
          <w:b w:val="0"/>
          <w:i w:val="0"/>
          <w:color w:val="FFFFFF"/>
          <w:sz w:val="20"/>
        </w:rPr>
        <w:t>jusqu’à -25%</w:t>
      </w:r>
    </w:p>
    <w:p>
      <w:pPr>
        <w:autoSpaceDN w:val="0"/>
        <w:autoSpaceDE w:val="0"/>
        <w:widowControl/>
        <w:spacing w:line="226" w:lineRule="auto" w:before="280" w:after="0"/>
        <w:ind w:left="0" w:right="1386" w:firstLine="0"/>
        <w:jc w:val="right"/>
      </w:pPr>
      <w:r>
        <w:rPr>
          <w:rFonts w:ascii="OpenSans" w:hAnsi="OpenSans" w:eastAsia="OpenSans"/>
          <w:b/>
          <w:i w:val="0"/>
          <w:color w:val="FFFFFF"/>
          <w:sz w:val="21"/>
        </w:rPr>
        <w:t xml:space="preserve">6 formules </w:t>
      </w:r>
      <w:r>
        <w:rPr>
          <w:rFonts w:ascii="OpenSans" w:hAnsi="OpenSans" w:eastAsia="OpenSans"/>
          <w:b/>
          <w:i w:val="0"/>
          <w:color w:val="E25E3F"/>
          <w:sz w:val="21"/>
        </w:rPr>
        <w:t>responsables</w:t>
      </w:r>
    </w:p>
    <w:p>
      <w:pPr>
        <w:autoSpaceDN w:val="0"/>
        <w:autoSpaceDE w:val="0"/>
        <w:widowControl/>
        <w:spacing w:line="226" w:lineRule="auto" w:before="0" w:after="0"/>
        <w:ind w:left="0" w:right="1260" w:firstLine="0"/>
        <w:jc w:val="right"/>
      </w:pPr>
      <w:r>
        <w:rPr>
          <w:rFonts w:ascii="OpenSans" w:hAnsi="OpenSans" w:eastAsia="OpenSans"/>
          <w:b/>
          <w:i w:val="0"/>
          <w:color w:val="FFFFFF"/>
          <w:sz w:val="21"/>
        </w:rPr>
        <w:t xml:space="preserve">1 formule </w:t>
      </w:r>
      <w:r>
        <w:rPr>
          <w:rFonts w:ascii="OpenSans" w:hAnsi="OpenSans" w:eastAsia="OpenSans"/>
          <w:b/>
          <w:i w:val="0"/>
          <w:color w:val="E25E3F"/>
          <w:sz w:val="21"/>
        </w:rPr>
        <w:t>non responsable</w:t>
      </w:r>
    </w:p>
    <w:p>
      <w:pPr>
        <w:sectPr>
          <w:type w:val="continuous"/>
          <w:pgSz w:w="11906" w:h="16838"/>
          <w:pgMar w:top="280" w:right="0" w:bottom="0" w:left="0" w:header="720" w:footer="720" w:gutter="0"/>
          <w:cols w:num="2" w:equalWidth="0">
            <w:col w:w="6024" w:space="0"/>
            <w:col w:w="5881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296" w:right="2160" w:firstLine="0"/>
        <w:jc w:val="center"/>
      </w:pPr>
      <w:r>
        <w:rPr>
          <w:rFonts w:ascii="OpenSans" w:hAnsi="OpenSans" w:eastAsia="OpenSans"/>
          <w:b/>
          <w:i w:val="0"/>
          <w:color w:val="FFFFFF"/>
          <w:sz w:val="36"/>
        </w:rPr>
        <w:t xml:space="preserve">Formules </w:t>
      </w:r>
      <w:r>
        <w:br/>
      </w:r>
      <w:r>
        <w:rPr>
          <w:rFonts w:ascii="OpenSans" w:hAnsi="OpenSans" w:eastAsia="OpenSans"/>
          <w:b/>
          <w:i w:val="0"/>
          <w:color w:val="E25E3F"/>
          <w:sz w:val="38"/>
        </w:rPr>
        <w:t>COMPLÈTES</w:t>
      </w:r>
    </w:p>
    <w:p>
      <w:pPr>
        <w:autoSpaceDN w:val="0"/>
        <w:autoSpaceDE w:val="0"/>
        <w:widowControl/>
        <w:spacing w:line="218" w:lineRule="auto" w:before="0" w:after="0"/>
        <w:ind w:left="1392" w:right="0" w:firstLine="0"/>
        <w:jc w:val="left"/>
      </w:pPr>
      <w:r>
        <w:rPr>
          <w:rFonts w:ascii="OpenSans" w:hAnsi="OpenSans" w:eastAsia="OpenSans"/>
          <w:b w:val="0"/>
          <w:i w:val="0"/>
          <w:color w:val="FFFFFF"/>
          <w:sz w:val="21"/>
        </w:rPr>
        <w:t xml:space="preserve">la protection maximale </w:t>
      </w:r>
    </w:p>
    <w:p>
      <w:pPr>
        <w:autoSpaceDN w:val="0"/>
        <w:autoSpaceDE w:val="0"/>
        <w:widowControl/>
        <w:spacing w:line="218" w:lineRule="auto" w:before="0" w:after="0"/>
        <w:ind w:left="906" w:right="0" w:firstLine="0"/>
        <w:jc w:val="left"/>
      </w:pPr>
      <w:r>
        <w:rPr>
          <w:rFonts w:ascii="OpenSans" w:hAnsi="OpenSans" w:eastAsia="OpenSans"/>
          <w:b w:val="0"/>
          <w:i w:val="0"/>
          <w:color w:val="FFFFFF"/>
          <w:sz w:val="21"/>
        </w:rPr>
        <w:t>avec un haut niveau de garanties</w:t>
      </w:r>
    </w:p>
    <w:p>
      <w:pPr>
        <w:autoSpaceDN w:val="0"/>
        <w:autoSpaceDE w:val="0"/>
        <w:widowControl/>
        <w:spacing w:line="226" w:lineRule="auto" w:before="822" w:after="0"/>
        <w:ind w:left="1242" w:right="0" w:firstLine="0"/>
        <w:jc w:val="left"/>
      </w:pPr>
      <w:r>
        <w:rPr>
          <w:rFonts w:ascii="OpenSans" w:hAnsi="OpenSans" w:eastAsia="OpenSans"/>
          <w:b/>
          <w:i w:val="0"/>
          <w:color w:val="FFFFFF"/>
          <w:sz w:val="21"/>
        </w:rPr>
        <w:t xml:space="preserve">6 formules </w:t>
      </w:r>
      <w:r>
        <w:rPr>
          <w:rFonts w:ascii="OpenSans" w:hAnsi="OpenSans" w:eastAsia="OpenSans"/>
          <w:b/>
          <w:i w:val="0"/>
          <w:color w:val="E25E3F"/>
          <w:sz w:val="21"/>
        </w:rPr>
        <w:t>responsables</w:t>
      </w:r>
    </w:p>
    <w:p>
      <w:pPr>
        <w:autoSpaceDN w:val="0"/>
        <w:autoSpaceDE w:val="0"/>
        <w:widowControl/>
        <w:spacing w:line="226" w:lineRule="auto" w:before="0" w:after="1092"/>
        <w:ind w:left="1116" w:right="0" w:firstLine="0"/>
        <w:jc w:val="left"/>
      </w:pPr>
      <w:r>
        <w:rPr>
          <w:rFonts w:ascii="OpenSans" w:hAnsi="OpenSans" w:eastAsia="OpenSans"/>
          <w:b/>
          <w:i w:val="0"/>
          <w:color w:val="FFFFFF"/>
          <w:sz w:val="21"/>
        </w:rPr>
        <w:t xml:space="preserve">1 formule </w:t>
      </w:r>
      <w:r>
        <w:rPr>
          <w:rFonts w:ascii="OpenSans" w:hAnsi="OpenSans" w:eastAsia="OpenSans"/>
          <w:b/>
          <w:i w:val="0"/>
          <w:color w:val="E25E3F"/>
          <w:sz w:val="21"/>
        </w:rPr>
        <w:t>non responsable</w:t>
      </w:r>
    </w:p>
    <w:p>
      <w:pPr>
        <w:sectPr>
          <w:type w:val="nextColumn"/>
          <w:pgSz w:w="11906" w:h="16838"/>
          <w:pgMar w:top="280" w:right="0" w:bottom="0" w:left="0" w:header="720" w:footer="720" w:gutter="0"/>
          <w:cols w:num="2" w:equalWidth="0">
            <w:col w:w="6024" w:space="0"/>
            <w:col w:w="5881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33140" cy="2763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76352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526.0" w:type="dxa"/>
      </w:tblPr>
      <w:tblGrid>
        <w:gridCol w:w="11906"/>
      </w:tblGrid>
      <w:tr>
        <w:trPr>
          <w:trHeight w:hRule="exact" w:val="4292"/>
        </w:trPr>
        <w:tc>
          <w:tcPr>
            <w:tcW w:type="dxa" w:w="6380"/>
            <w:tcBorders>
              <w:start w:sz="16.0" w:val="single" w:color="#FFFFFF"/>
              <w:top w:sz="16.0" w:val="single" w:color="#FFFFFF"/>
              <w:bottom w:sz="16.0" w:val="single" w:color="#FFFFFF"/>
            </w:tcBorders>
            <w:shd w:fill="e25e3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666" w:after="0"/>
              <w:ind w:left="226" w:right="0" w:firstLine="0"/>
              <w:jc w:val="left"/>
            </w:pPr>
            <w:r>
              <w:rPr>
                <w:rFonts w:ascii="HDColton" w:hAnsi="HDColton" w:eastAsia="HDColton"/>
                <w:b/>
                <w:i w:val="0"/>
                <w:color w:val="FFFFFF"/>
                <w:sz w:val="28"/>
              </w:rPr>
              <w:t>LES CONDITIONS D’ACCÈS</w:t>
            </w:r>
            <w:r>
              <w:rPr>
                <w:rFonts w:ascii="HDColton" w:hAnsi="HDColton" w:eastAsia="HDColton"/>
                <w:b/>
                <w:i w:val="0"/>
                <w:color w:val="000000"/>
                <w:sz w:val="28"/>
              </w:rPr>
              <w:t>.</w:t>
            </w:r>
          </w:p>
          <w:p>
            <w:pPr>
              <w:autoSpaceDN w:val="0"/>
              <w:autoSpaceDE w:val="0"/>
              <w:widowControl/>
              <w:spacing w:line="257" w:lineRule="auto" w:before="0" w:after="0"/>
              <w:ind w:left="566" w:right="1440" w:hanging="36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18"/>
              </w:rPr>
              <w:t>Pour souscrire, il faut :</w:t>
            </w:r>
            <w:r>
              <w:br/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18"/>
              </w:rPr>
              <w:t xml:space="preserve">être agé de 18 ans minimum et sans limite d’âge de 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18"/>
              </w:rPr>
              <w:t xml:space="preserve">souscription ; </w:t>
            </w:r>
            <w:r>
              <w:br/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18"/>
              </w:rPr>
              <w:t>résider en France métropolitaine</w:t>
            </w:r>
          </w:p>
          <w:p>
            <w:pPr>
              <w:autoSpaceDN w:val="0"/>
              <w:autoSpaceDE w:val="0"/>
              <w:widowControl/>
              <w:spacing w:line="394" w:lineRule="exact" w:before="206" w:after="0"/>
              <w:ind w:left="226" w:right="0" w:firstLine="0"/>
              <w:jc w:val="left"/>
            </w:pPr>
            <w:r>
              <w:rPr>
                <w:rFonts w:ascii="HDColton" w:hAnsi="HDColton" w:eastAsia="HDColton"/>
                <w:b/>
                <w:i w:val="0"/>
                <w:color w:val="FFFFFF"/>
                <w:sz w:val="28"/>
              </w:rPr>
              <w:t>LES BÉNÉFICIAIRES</w:t>
            </w:r>
            <w:r>
              <w:rPr>
                <w:rFonts w:ascii="HDColton" w:hAnsi="HDColton" w:eastAsia="HDColton"/>
                <w:b/>
                <w:i w:val="0"/>
                <w:color w:val="000000"/>
                <w:sz w:val="28"/>
              </w:rPr>
              <w:t>.</w:t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566" w:right="1872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18"/>
              </w:rPr>
              <w:t xml:space="preserve">conjoint(e) ou concubin(e) de 18 ans minimum 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18"/>
              </w:rPr>
              <w:t xml:space="preserve">enfants jusqu’à 18 ans ou 26 ans (études ou 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18"/>
              </w:rPr>
              <w:t>alternance)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6838"/>
          <w:pgMar w:top="28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</wp:posOffset>
            </wp:positionH>
            <wp:positionV relativeFrom="page">
              <wp:posOffset>8089900</wp:posOffset>
            </wp:positionV>
            <wp:extent cx="1689100" cy="16764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7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3848100</wp:posOffset>
            </wp:positionH>
            <wp:positionV relativeFrom="page">
              <wp:posOffset>279400</wp:posOffset>
            </wp:positionV>
            <wp:extent cx="3352800" cy="18669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66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3844290</wp:posOffset>
            </wp:positionH>
            <wp:positionV relativeFrom="page">
              <wp:posOffset>274320</wp:posOffset>
            </wp:positionV>
            <wp:extent cx="3369310" cy="1878184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18781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85800" cy="228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28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84" w:lineRule="exact" w:before="376" w:after="224"/>
        <w:ind w:left="72" w:right="8784" w:firstLine="18"/>
        <w:jc w:val="left"/>
      </w:pPr>
      <w:r>
        <w:rPr>
          <w:rFonts w:ascii="HDColton" w:hAnsi="HDColton" w:eastAsia="HDColton"/>
          <w:b/>
          <w:i w:val="0"/>
          <w:color w:val="E25E3F"/>
          <w:sz w:val="40"/>
        </w:rPr>
        <w:t>SANTÉ</w:t>
      </w:r>
      <w:r>
        <w:br/>
      </w:r>
      <w:r>
        <w:rPr>
          <w:rFonts w:ascii="HDColton" w:hAnsi="HDColton" w:eastAsia="HDColton"/>
          <w:b/>
          <w:i w:val="0"/>
          <w:color w:val="E25E3F"/>
          <w:sz w:val="48"/>
        </w:rPr>
        <w:t>VITALIA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28"/>
        <w:gridCol w:w="2728"/>
        <w:gridCol w:w="2728"/>
        <w:gridCol w:w="2728"/>
      </w:tblGrid>
      <w:tr>
        <w:trPr>
          <w:trHeight w:hRule="exact" w:val="1390"/>
        </w:trPr>
        <w:tc>
          <w:tcPr>
            <w:tcW w:type="dxa" w:w="760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1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81000" cy="381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34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238" w:after="0"/>
              <w:ind w:left="92" w:right="1296" w:firstLine="0"/>
              <w:jc w:val="left"/>
            </w:pPr>
            <w:r>
              <w:rPr>
                <w:rFonts w:ascii="HDColton" w:hAnsi="HDColton" w:eastAsia="HDColton"/>
                <w:b/>
                <w:i w:val="0"/>
                <w:color w:val="000000"/>
                <w:sz w:val="44"/>
              </w:rPr>
              <w:t xml:space="preserve">Les garanties </w:t>
            </w:r>
            <w:r>
              <w:rPr>
                <w:rFonts w:ascii="HDColton" w:hAnsi="HDColton" w:eastAsia="HDColton"/>
                <w:b/>
                <w:i w:val="0"/>
                <w:color w:val="000000"/>
                <w:sz w:val="44"/>
              </w:rPr>
              <w:t>&amp; services</w:t>
            </w:r>
          </w:p>
        </w:tc>
        <w:tc>
          <w:tcPr>
            <w:tcW w:type="dxa" w:w="2748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722"/>
            <w:tcBorders>
              <w:bottom w:sz="3.200000047683716" w:val="single" w:color="#494949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38"/>
        </w:trPr>
        <w:tc>
          <w:tcPr>
            <w:tcW w:type="dxa" w:w="5394"/>
            <w:gridSpan w:val="2"/>
            <w:vMerge w:val="restart"/>
            <w:tcBorders>
              <w:top w:sz="3.200000047683716" w:val="single" w:color="#494949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56" w:after="0"/>
              <w:ind w:left="0" w:right="720" w:firstLine="0"/>
              <w:jc w:val="center"/>
            </w:pPr>
            <w:r>
              <w:rPr>
                <w:rFonts w:ascii="OpenSans" w:hAnsi="OpenSans" w:eastAsia="OpenSans"/>
                <w:b/>
                <w:i w:val="0"/>
                <w:color w:val="E25E3F"/>
                <w:sz w:val="23"/>
              </w:rPr>
              <w:t>› Garanties « Prévention et Bien-Être »</w:t>
            </w:r>
            <w:r>
              <w:rPr>
                <w:rFonts w:ascii="OpenSans" w:hAnsi="OpenSans" w:eastAsia="OpenSans"/>
                <w:b w:val="0"/>
                <w:i w:val="0"/>
                <w:color w:val="000000"/>
                <w:sz w:val="21"/>
              </w:rPr>
              <w:t xml:space="preserve">Prise en charge des examens préventifs, </w:t>
            </w:r>
          </w:p>
        </w:tc>
        <w:tc>
          <w:tcPr>
            <w:tcW w:type="dxa" w:w="2748"/>
            <w:tcBorders>
              <w:top w:sz="3.200000047683716" w:val="single" w:color="#494949"/>
              <w:bottom w:sz="4.0" w:val="single" w:color="#FFFFFF"/>
            </w:tcBorders>
            <w:shd w:fill="ed714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84" w:after="0"/>
              <w:ind w:left="0" w:right="670" w:firstLine="0"/>
              <w:jc w:val="right"/>
            </w:pPr>
            <w:r>
              <w:rPr>
                <w:rFonts w:ascii="HDColton" w:hAnsi="HDColton" w:eastAsia="HDColton"/>
                <w:b/>
                <w:i w:val="0"/>
                <w:color w:val="FFFFFF"/>
                <w:sz w:val="32"/>
              </w:rPr>
              <w:t>BONUS</w:t>
            </w:r>
          </w:p>
        </w:tc>
        <w:tc>
          <w:tcPr>
            <w:tcW w:type="dxa" w:w="2722"/>
            <w:tcBorders>
              <w:top w:sz="3.200000047683716" w:val="single" w:color="#494949"/>
              <w:bottom w:sz="4.0" w:val="single" w:color="#FFFFFF"/>
            </w:tcBorders>
            <w:shd w:fill="ed714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106" w:after="0"/>
              <w:ind w:left="650" w:right="0" w:firstLine="0"/>
              <w:jc w:val="left"/>
            </w:pPr>
            <w:r>
              <w:rPr>
                <w:rFonts w:ascii="HDColton" w:hAnsi="HDColton" w:eastAsia="HDColton"/>
                <w:b/>
                <w:i w:val="0"/>
                <w:color w:val="FFFFFF"/>
                <w:sz w:val="28"/>
              </w:rPr>
              <w:t>BIEN-ÊTRE</w:t>
            </w:r>
          </w:p>
        </w:tc>
      </w:tr>
      <w:tr>
        <w:trPr>
          <w:trHeight w:hRule="exact" w:val="184"/>
        </w:trPr>
        <w:tc>
          <w:tcPr>
            <w:tcW w:type="dxa" w:w="5456"/>
            <w:gridSpan w:val="2"/>
            <w:vMerge/>
            <w:tcBorders>
              <w:top w:sz="3.200000047683716" w:val="single" w:color="#494949"/>
            </w:tcBorders>
          </w:tcPr>
          <w:p/>
        </w:tc>
        <w:tc>
          <w:tcPr>
            <w:tcW w:type="dxa" w:w="2748"/>
            <w:vMerge w:val="restart"/>
            <w:tcBorders>
              <w:top w:sz="4.0" w:val="single" w:color="#FFFFFF"/>
            </w:tcBorders>
            <w:shd w:fill="ed714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28" w:val="left"/>
              </w:tabs>
              <w:autoSpaceDE w:val="0"/>
              <w:widowControl/>
              <w:spacing w:line="245" w:lineRule="auto" w:before="434" w:after="0"/>
              <w:ind w:left="486" w:right="288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>›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 xml:space="preserve">Bonus fidélité </w:t>
            </w:r>
            <w:r>
              <w:tab/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>appliqué dès la 3</w:t>
            </w:r>
            <w:r>
              <w:rPr>
                <w:w w:val="98.66154010479266"/>
                <w:rFonts w:ascii="OpenSans" w:hAnsi="OpenSans" w:eastAsia="OpenSans"/>
                <w:b w:val="0"/>
                <w:i w:val="0"/>
                <w:color w:val="FFFFFF"/>
                <w:sz w:val="13"/>
              </w:rPr>
              <w:t>e</w:t>
            </w:r>
          </w:p>
        </w:tc>
        <w:tc>
          <w:tcPr>
            <w:tcW w:type="dxa" w:w="2722"/>
            <w:vMerge w:val="restart"/>
            <w:tcBorders>
              <w:top w:sz="4.0" w:val="single" w:color="#FFFFFF"/>
            </w:tcBorders>
            <w:shd w:fill="ed714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92" w:after="0"/>
              <w:ind w:left="602" w:right="144" w:hanging="142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>›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 xml:space="preserve">Forfaits Médecine 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 xml:space="preserve">douce 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 xml:space="preserve">à hauteur 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>de 250€</w:t>
            </w:r>
          </w:p>
        </w:tc>
      </w:tr>
      <w:tr>
        <w:trPr>
          <w:trHeight w:hRule="exact" w:val="260"/>
        </w:trPr>
        <w:tc>
          <w:tcPr>
            <w:tcW w:type="dxa" w:w="5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0" w:after="0"/>
              <w:ind w:left="314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1"/>
              </w:rPr>
              <w:t xml:space="preserve">médecines douces,  frais de transport et </w:t>
            </w:r>
          </w:p>
        </w:tc>
        <w:tc>
          <w:tcPr>
            <w:tcW w:type="dxa" w:w="2728"/>
            <w:vMerge/>
            <w:tcBorders>
              <w:top w:sz="4.0" w:val="single" w:color="#FFFFFF"/>
            </w:tcBorders>
          </w:tcPr>
          <w:p/>
        </w:tc>
        <w:tc>
          <w:tcPr>
            <w:tcW w:type="dxa" w:w="2728"/>
            <w:vMerge/>
            <w:tcBorders>
              <w:top w:sz="4.0" w:val="single" w:color="#FFFFFF"/>
            </w:tcBorders>
          </w:tcPr>
          <w:p/>
        </w:tc>
      </w:tr>
      <w:tr>
        <w:trPr>
          <w:trHeight w:hRule="exact" w:val="260"/>
        </w:trPr>
        <w:tc>
          <w:tcPr>
            <w:tcW w:type="dxa" w:w="5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0" w:after="0"/>
              <w:ind w:left="314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1"/>
              </w:rPr>
              <w:t xml:space="preserve">d’hébergement liés à une cure thermale, </w:t>
            </w:r>
          </w:p>
        </w:tc>
        <w:tc>
          <w:tcPr>
            <w:tcW w:type="dxa" w:w="2728"/>
            <w:vMerge/>
            <w:tcBorders>
              <w:top w:sz="4.0" w:val="single" w:color="#FFFFFF"/>
            </w:tcBorders>
          </w:tcPr>
          <w:p/>
        </w:tc>
        <w:tc>
          <w:tcPr>
            <w:tcW w:type="dxa" w:w="2728"/>
            <w:vMerge/>
            <w:tcBorders>
              <w:top w:sz="4.0" w:val="single" w:color="#FFFFFF"/>
            </w:tcBorders>
          </w:tcPr>
          <w:p/>
        </w:tc>
      </w:tr>
      <w:tr>
        <w:trPr>
          <w:trHeight w:hRule="exact" w:val="309"/>
        </w:trPr>
        <w:tc>
          <w:tcPr>
            <w:tcW w:type="dxa" w:w="5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0" w:after="0"/>
              <w:ind w:left="314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1"/>
              </w:rPr>
              <w:t xml:space="preserve">pharmacie et vaccins non remboursés. </w:t>
            </w:r>
          </w:p>
        </w:tc>
        <w:tc>
          <w:tcPr>
            <w:tcW w:type="dxa" w:w="2728"/>
            <w:vMerge/>
            <w:tcBorders>
              <w:top w:sz="4.0" w:val="single" w:color="#FFFFFF"/>
            </w:tcBorders>
          </w:tcPr>
          <w:p/>
        </w:tc>
        <w:tc>
          <w:tcPr>
            <w:tcW w:type="dxa" w:w="2728"/>
            <w:vMerge/>
            <w:tcBorders>
              <w:top w:sz="4.0" w:val="single" w:color="#FFFFFF"/>
            </w:tcBorders>
          </w:tcPr>
          <w:p/>
        </w:tc>
      </w:tr>
      <w:tr>
        <w:trPr>
          <w:trHeight w:hRule="exact" w:val="71"/>
        </w:trPr>
        <w:tc>
          <w:tcPr>
            <w:tcW w:type="dxa" w:w="539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8" w:after="0"/>
              <w:ind w:left="86" w:right="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E25E3F"/>
                <w:sz w:val="23"/>
              </w:rPr>
              <w:t>› Garanties « Biens Santé »</w:t>
            </w:r>
          </w:p>
        </w:tc>
        <w:tc>
          <w:tcPr>
            <w:tcW w:type="dxa" w:w="2748"/>
            <w:vMerge w:val="restart"/>
            <w:tcBorders/>
            <w:shd w:fill="ed714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0" w:after="0"/>
              <w:ind w:left="628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>année</w:t>
            </w:r>
          </w:p>
        </w:tc>
        <w:tc>
          <w:tcPr>
            <w:tcW w:type="dxa" w:w="2728"/>
            <w:vMerge/>
            <w:tcBorders>
              <w:top w:sz="4.0" w:val="single" w:color="#FFFFFF"/>
            </w:tcBorders>
          </w:tcPr>
          <w:p/>
        </w:tc>
      </w:tr>
      <w:tr>
        <w:trPr>
          <w:trHeight w:hRule="exact" w:val="280"/>
        </w:trPr>
        <w:tc>
          <w:tcPr>
            <w:tcW w:type="dxa" w:w="5456"/>
            <w:gridSpan w:val="2"/>
            <w:vMerge/>
            <w:tcBorders/>
          </w:tcPr>
          <w:p/>
        </w:tc>
        <w:tc>
          <w:tcPr>
            <w:tcW w:type="dxa" w:w="2728"/>
            <w:vMerge/>
            <w:tcBorders/>
          </w:tcPr>
          <w:p/>
        </w:tc>
        <w:tc>
          <w:tcPr>
            <w:tcW w:type="dxa" w:w="2722"/>
            <w:vMerge w:val="restart"/>
            <w:tcBorders/>
            <w:shd w:fill="ed714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0" w:after="0"/>
              <w:ind w:left="602" w:right="144" w:hanging="142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>›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 xml:space="preserve">Applicable aux </w:t>
            </w:r>
            <w:r>
              <w:br/>
            </w: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 xml:space="preserve">médicaments </w:t>
            </w:r>
            <w:r>
              <w:br/>
            </w: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 xml:space="preserve">non remboursés 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 xml:space="preserve">et aux activités </w:t>
            </w:r>
          </w:p>
        </w:tc>
      </w:tr>
      <w:tr>
        <w:trPr>
          <w:trHeight w:hRule="exact" w:val="280"/>
        </w:trPr>
        <w:tc>
          <w:tcPr>
            <w:tcW w:type="dxa" w:w="5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4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1"/>
              </w:rPr>
              <w:t xml:space="preserve">Couverture des équipements optiques en cas de </w:t>
            </w:r>
          </w:p>
        </w:tc>
        <w:tc>
          <w:tcPr>
            <w:tcW w:type="dxa" w:w="2748"/>
            <w:vMerge w:val="restart"/>
            <w:tcBorders/>
            <w:shd w:fill="ed714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6" w:after="0"/>
              <w:ind w:left="628" w:right="288" w:hanging="140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 xml:space="preserve">› Augmentation 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22"/>
              </w:rPr>
              <w:t>de 25%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 xml:space="preserve"> des </w:t>
            </w:r>
            <w:r>
              <w:br/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>garanties</w:t>
            </w:r>
          </w:p>
        </w:tc>
        <w:tc>
          <w:tcPr>
            <w:tcW w:type="dxa" w:w="2728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5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2" w:after="0"/>
              <w:ind w:left="314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1"/>
              </w:rPr>
              <w:t>dommage accidentel.</w:t>
            </w:r>
          </w:p>
        </w:tc>
        <w:tc>
          <w:tcPr>
            <w:tcW w:type="dxa" w:w="2728"/>
            <w:vMerge/>
            <w:tcBorders/>
          </w:tcPr>
          <w:p/>
        </w:tc>
        <w:tc>
          <w:tcPr>
            <w:tcW w:type="dxa" w:w="2728"/>
            <w:vMerge/>
            <w:tcBorders/>
          </w:tcPr>
          <w:p/>
        </w:tc>
      </w:tr>
      <w:tr>
        <w:trPr>
          <w:trHeight w:hRule="exact" w:val="250"/>
        </w:trPr>
        <w:tc>
          <w:tcPr>
            <w:tcW w:type="dxa" w:w="539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6" w:after="0"/>
              <w:ind w:left="86" w:right="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E25E3F"/>
                <w:sz w:val="23"/>
              </w:rPr>
              <w:t>› Services à domicile renforcés</w:t>
            </w:r>
          </w:p>
        </w:tc>
        <w:tc>
          <w:tcPr>
            <w:tcW w:type="dxa" w:w="2728"/>
            <w:vMerge/>
            <w:tcBorders/>
          </w:tcPr>
          <w:p/>
        </w:tc>
        <w:tc>
          <w:tcPr>
            <w:tcW w:type="dxa" w:w="2728"/>
            <w:vMerge/>
            <w:tcBorders/>
          </w:tcPr>
          <w:p/>
        </w:tc>
      </w:tr>
      <w:tr>
        <w:trPr>
          <w:trHeight w:hRule="exact" w:val="110"/>
        </w:trPr>
        <w:tc>
          <w:tcPr>
            <w:tcW w:type="dxa" w:w="5456"/>
            <w:gridSpan w:val="2"/>
            <w:vMerge/>
            <w:tcBorders/>
          </w:tcPr>
          <w:p/>
        </w:tc>
        <w:tc>
          <w:tcPr>
            <w:tcW w:type="dxa" w:w="2728"/>
            <w:vMerge/>
            <w:tcBorders/>
          </w:tcPr>
          <w:p/>
        </w:tc>
        <w:tc>
          <w:tcPr>
            <w:tcW w:type="dxa" w:w="2722"/>
            <w:vMerge w:val="restart"/>
            <w:tcBorders/>
            <w:shd w:fill="ed7142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0" w:after="0"/>
              <w:ind w:left="602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22"/>
              </w:rPr>
              <w:t>physiques</w:t>
            </w:r>
          </w:p>
        </w:tc>
      </w:tr>
      <w:tr>
        <w:trPr>
          <w:trHeight w:hRule="exact" w:val="290"/>
        </w:trPr>
        <w:tc>
          <w:tcPr>
            <w:tcW w:type="dxa" w:w="53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auto" w:before="12" w:after="0"/>
              <w:ind w:left="314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000000"/>
                <w:sz w:val="21"/>
              </w:rPr>
              <w:t>En cas d’hospitalisation ou d’immobilisation (aide-</w:t>
            </w:r>
          </w:p>
        </w:tc>
        <w:tc>
          <w:tcPr>
            <w:tcW w:type="dxa" w:w="2728"/>
            <w:vMerge/>
            <w:tcBorders/>
          </w:tcPr>
          <w:p/>
        </w:tc>
        <w:tc>
          <w:tcPr>
            <w:tcW w:type="dxa" w:w="272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8" w:lineRule="auto" w:before="2" w:after="4"/>
        <w:ind w:left="314" w:right="0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ménagère, taxi, garde d’enfant, assistance aux </w:t>
      </w:r>
    </w:p>
    <w:p>
      <w:pPr>
        <w:sectPr>
          <w:pgSz w:w="11906" w:h="16838"/>
          <w:pgMar w:top="240" w:right="514" w:bottom="224" w:left="4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14" w:right="144" w:firstLine="0"/>
        <w:jc w:val="left"/>
      </w:pP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animaux de compagnie, auxiliaire de vie, livraison </w:t>
      </w:r>
      <w:r>
        <w:rPr>
          <w:rFonts w:ascii="OpenSans" w:hAnsi="OpenSans" w:eastAsia="OpenSans"/>
          <w:b w:val="0"/>
          <w:i w:val="0"/>
          <w:color w:val="000000"/>
          <w:sz w:val="21"/>
        </w:rPr>
        <w:t>des courses…)</w:t>
      </w:r>
    </w:p>
    <w:p>
      <w:pPr>
        <w:autoSpaceDN w:val="0"/>
        <w:autoSpaceDE w:val="0"/>
        <w:widowControl/>
        <w:spacing w:line="245" w:lineRule="auto" w:before="98" w:after="0"/>
        <w:ind w:left="314" w:right="144" w:hanging="228"/>
        <w:jc w:val="left"/>
      </w:pPr>
      <w:r>
        <w:rPr>
          <w:rFonts w:ascii="OpenSans" w:hAnsi="OpenSans" w:eastAsia="OpenSans"/>
          <w:b/>
          <w:i w:val="0"/>
          <w:color w:val="E25E3F"/>
          <w:sz w:val="23"/>
        </w:rPr>
        <w:t xml:space="preserve">› Services d’asssistance inclus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1"/>
        </w:rPr>
        <w:t>En cas d’hospitalisation ou d’immobilisation (aide-</w:t>
      </w: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ménagère, taxi, garde d’enfant, assistance aux </w:t>
      </w: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animaux de compagnie, auxiliaire de vie, livraison </w:t>
      </w:r>
      <w:r>
        <w:rPr>
          <w:rFonts w:ascii="OpenSans" w:hAnsi="OpenSans" w:eastAsia="OpenSans"/>
          <w:b w:val="0"/>
          <w:i w:val="0"/>
          <w:color w:val="000000"/>
          <w:sz w:val="21"/>
        </w:rPr>
        <w:t>des courses…)</w:t>
      </w:r>
    </w:p>
    <w:p>
      <w:pPr>
        <w:autoSpaceDN w:val="0"/>
        <w:autoSpaceDE w:val="0"/>
        <w:widowControl/>
        <w:spacing w:line="245" w:lineRule="auto" w:before="98" w:after="0"/>
        <w:ind w:left="314" w:right="288" w:hanging="228"/>
        <w:jc w:val="left"/>
      </w:pPr>
      <w:r>
        <w:rPr>
          <w:rFonts w:ascii="OpenSans" w:hAnsi="OpenSans" w:eastAsia="OpenSans"/>
          <w:b/>
          <w:i w:val="0"/>
          <w:color w:val="E25E3F"/>
          <w:sz w:val="23"/>
        </w:rPr>
        <w:t xml:space="preserve">› Tiers payant Almerys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Pour les soins courants, optique, vignettes </w:t>
      </w: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pharmacie, laboratoires, radiologies, auxiliaires </w:t>
      </w:r>
      <w:r>
        <w:rPr>
          <w:rFonts w:ascii="OpenSans" w:hAnsi="OpenSans" w:eastAsia="OpenSans"/>
          <w:b w:val="0"/>
          <w:i w:val="0"/>
          <w:color w:val="000000"/>
          <w:sz w:val="21"/>
        </w:rPr>
        <w:t>médicaux…</w:t>
      </w:r>
    </w:p>
    <w:p>
      <w:pPr>
        <w:autoSpaceDN w:val="0"/>
        <w:autoSpaceDE w:val="0"/>
        <w:widowControl/>
        <w:spacing w:line="245" w:lineRule="auto" w:before="98" w:after="0"/>
        <w:ind w:left="314" w:right="288" w:hanging="228"/>
        <w:jc w:val="left"/>
      </w:pPr>
      <w:r>
        <w:rPr>
          <w:rFonts w:ascii="OpenSans" w:hAnsi="OpenSans" w:eastAsia="OpenSans"/>
          <w:b/>
          <w:i w:val="0"/>
          <w:color w:val="E25E3F"/>
          <w:sz w:val="23"/>
        </w:rPr>
        <w:t xml:space="preserve">› Les formules HOSPI + </w:t>
      </w:r>
      <w:r>
        <w:br/>
      </w: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Pour les soins courants, optique, vignettes </w:t>
      </w: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pharmacie, laboratoires, radiologies, auxiliaires </w:t>
      </w:r>
      <w:r>
        <w:rPr>
          <w:rFonts w:ascii="OpenSans" w:hAnsi="OpenSans" w:eastAsia="OpenSans"/>
          <w:b w:val="0"/>
          <w:i w:val="0"/>
          <w:color w:val="000000"/>
          <w:sz w:val="21"/>
        </w:rPr>
        <w:t xml:space="preserve">médicaux… </w:t>
      </w:r>
      <w:r>
        <w:br/>
      </w:r>
      <w:r>
        <w:rPr>
          <w:rFonts w:ascii="OpenSans" w:hAnsi="OpenSans" w:eastAsia="OpenSans"/>
          <w:b/>
          <w:i w:val="0"/>
          <w:color w:val="000000"/>
          <w:sz w:val="21"/>
        </w:rPr>
        <w:t xml:space="preserve">Pas de distinction avec les signataires de </w:t>
      </w:r>
      <w:r>
        <w:br/>
      </w:r>
      <w:r>
        <w:rPr>
          <w:rFonts w:ascii="OpenSans" w:hAnsi="OpenSans" w:eastAsia="OpenSans"/>
          <w:b/>
          <w:i w:val="0"/>
          <w:color w:val="000000"/>
          <w:sz w:val="21"/>
        </w:rPr>
        <w:t>l’OPTAM / OPTAM CO</w:t>
      </w:r>
    </w:p>
    <w:p>
      <w:pPr>
        <w:autoSpaceDN w:val="0"/>
        <w:autoSpaceDE w:val="0"/>
        <w:widowControl/>
        <w:spacing w:line="362" w:lineRule="exact" w:before="1052" w:after="0"/>
        <w:ind w:left="632" w:right="3168" w:firstLine="250"/>
        <w:jc w:val="left"/>
      </w:pPr>
      <w:r>
        <w:rPr>
          <w:rFonts w:ascii="HDColton" w:hAnsi="HDColton" w:eastAsia="HDColton"/>
          <w:b/>
          <w:i w:val="0"/>
          <w:color w:val="E25E3F"/>
          <w:sz w:val="30"/>
        </w:rPr>
        <w:t xml:space="preserve">VENTE </w:t>
      </w:r>
      <w:r>
        <w:br/>
      </w:r>
      <w:r>
        <w:rPr>
          <w:rFonts w:ascii="HDColton" w:hAnsi="HDColton" w:eastAsia="HDColton"/>
          <w:b/>
          <w:i w:val="0"/>
          <w:color w:val="E25E3F"/>
          <w:sz w:val="30"/>
        </w:rPr>
        <w:t xml:space="preserve">COUPLÉE </w:t>
      </w:r>
      <w:r>
        <w:br/>
      </w:r>
      <w:r>
        <w:rPr>
          <w:rFonts w:ascii="MyriadPro" w:hAnsi="MyriadPro" w:eastAsia="MyriadPro"/>
          <w:b/>
          <w:i w:val="0"/>
          <w:color w:val="E25E3F"/>
          <w:sz w:val="53"/>
        </w:rPr>
        <w:t>+</w:t>
      </w:r>
      <w:r>
        <w:rPr>
          <w:rFonts w:ascii="MyriadPro" w:hAnsi="MyriadPro" w:eastAsia="MyriadPro"/>
          <w:b/>
          <w:i w:val="0"/>
          <w:color w:val="000000"/>
          <w:sz w:val="23"/>
        </w:rPr>
        <w:t>Prévoyance</w:t>
      </w:r>
    </w:p>
    <w:p>
      <w:pPr>
        <w:sectPr>
          <w:type w:val="continuous"/>
          <w:pgSz w:w="11906" w:h="16838"/>
          <w:pgMar w:top="240" w:right="514" w:bottom="224" w:left="480" w:header="720" w:footer="720" w:gutter="0"/>
          <w:cols w:num="2" w:equalWidth="0">
            <w:col w:w="5398" w:space="0"/>
            <w:col w:w="55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0000000000023" w:type="dxa"/>
      </w:tblPr>
      <w:tblGrid>
        <w:gridCol w:w="10912"/>
      </w:tblGrid>
      <w:tr>
        <w:trPr>
          <w:trHeight w:hRule="exact" w:val="636"/>
        </w:trPr>
        <w:tc>
          <w:tcPr>
            <w:tcW w:type="dxa" w:w="5274"/>
            <w:tcBorders>
              <w:bottom w:sz="4.0" w:val="single" w:color="#FFFFFF"/>
            </w:tcBorders>
            <w:shd w:fill="e25e3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50" w:lineRule="exact" w:before="88" w:after="0"/>
              <w:ind w:left="0" w:right="0" w:firstLine="0"/>
              <w:jc w:val="center"/>
            </w:pPr>
            <w:r>
              <w:rPr>
                <w:rFonts w:ascii="HDColton" w:hAnsi="HDColton" w:eastAsia="HDColton"/>
                <w:b/>
                <w:i w:val="0"/>
                <w:color w:val="FFFFFF"/>
                <w:sz w:val="32"/>
              </w:rPr>
              <w:t>CE QUI FAIT LA DIFFÉRENCE</w:t>
            </w:r>
          </w:p>
        </w:tc>
      </w:tr>
    </w:tbl>
    <w:p>
      <w:pPr>
        <w:autoSpaceDN w:val="0"/>
        <w:autoSpaceDE w:val="0"/>
        <w:widowControl/>
        <w:spacing w:line="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2.00000000000045" w:type="dxa"/>
      </w:tblPr>
      <w:tblGrid>
        <w:gridCol w:w="10912"/>
      </w:tblGrid>
      <w:tr>
        <w:trPr>
          <w:trHeight w:hRule="exact" w:val="1170"/>
        </w:trPr>
        <w:tc>
          <w:tcPr>
            <w:tcW w:type="dxa" w:w="4960"/>
            <w:tcBorders/>
            <w:shd w:fill="e25e3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14" w:val="left"/>
              </w:tabs>
              <w:autoSpaceDE w:val="0"/>
              <w:widowControl/>
              <w:spacing w:line="245" w:lineRule="auto" w:before="60" w:after="0"/>
              <w:ind w:left="374" w:right="144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40"/>
              </w:rPr>
              <w:t>+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24"/>
              </w:rPr>
              <w:t xml:space="preserve">  Formules Hospi + 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 xml:space="preserve">pour bénéficier </w:t>
            </w:r>
            <w:r>
              <w:tab/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 xml:space="preserve">d’une couverture complète en soins </w:t>
            </w:r>
          </w:p>
          <w:p>
            <w:pPr>
              <w:autoSpaceDN w:val="0"/>
              <w:autoSpaceDE w:val="0"/>
              <w:widowControl/>
              <w:spacing w:line="218" w:lineRule="auto" w:before="0" w:after="0"/>
              <w:ind w:left="714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>courants et hospitalisation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2.00000000000045" w:type="dxa"/>
      </w:tblPr>
      <w:tblGrid>
        <w:gridCol w:w="10912"/>
      </w:tblGrid>
      <w:tr>
        <w:trPr>
          <w:trHeight w:hRule="exact" w:val="1170"/>
        </w:trPr>
        <w:tc>
          <w:tcPr>
            <w:tcW w:type="dxa" w:w="4700"/>
            <w:tcBorders/>
            <w:shd w:fill="e25e3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714" w:val="left"/>
              </w:tabs>
              <w:autoSpaceDE w:val="0"/>
              <w:widowControl/>
              <w:spacing w:line="245" w:lineRule="auto" w:before="60" w:after="0"/>
              <w:ind w:left="374" w:right="432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40"/>
              </w:rPr>
              <w:t>+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 xml:space="preserve">Prise en charge de la 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24"/>
              </w:rPr>
              <w:t xml:space="preserve">chambre </w:t>
            </w:r>
            <w:r>
              <w:tab/>
            </w:r>
            <w:r>
              <w:rPr>
                <w:rFonts w:ascii="OpenSans" w:hAnsi="OpenSans" w:eastAsia="OpenSans"/>
                <w:b/>
                <w:i w:val="0"/>
                <w:color w:val="FFFFFF"/>
                <w:sz w:val="24"/>
              </w:rPr>
              <w:t>particulière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 xml:space="preserve"> dès la formule 1 </w:t>
            </w:r>
          </w:p>
          <w:p>
            <w:pPr>
              <w:autoSpaceDN w:val="0"/>
              <w:autoSpaceDE w:val="0"/>
              <w:widowControl/>
              <w:spacing w:line="218" w:lineRule="auto" w:before="0" w:after="0"/>
              <w:ind w:left="714" w:right="0" w:firstLine="0"/>
              <w:jc w:val="left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>ESSENTIELLE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0000000000023" w:type="dxa"/>
      </w:tblPr>
      <w:tblGrid>
        <w:gridCol w:w="10912"/>
      </w:tblGrid>
      <w:tr>
        <w:trPr>
          <w:trHeight w:hRule="exact" w:val="2064"/>
        </w:trPr>
        <w:tc>
          <w:tcPr>
            <w:tcW w:type="dxa" w:w="5274"/>
            <w:tcBorders>
              <w:bottom w:sz="4.0" w:val="single" w:color="#FFFFF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70" w:val="left"/>
              </w:tabs>
              <w:autoSpaceDE w:val="0"/>
              <w:widowControl/>
              <w:spacing w:line="245" w:lineRule="auto" w:before="60" w:after="0"/>
              <w:ind w:left="530" w:right="72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FFFFFF"/>
                <w:sz w:val="40"/>
              </w:rPr>
              <w:t>+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24"/>
              </w:rPr>
              <w:t xml:space="preserve">  Aucune limite d’âge</w:t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 xml:space="preserve"> lors de la </w:t>
            </w:r>
            <w:r>
              <w:tab/>
            </w:r>
            <w:r>
              <w:rPr>
                <w:rFonts w:ascii="OpenSans" w:hAnsi="OpenSans" w:eastAsia="OpenSans"/>
                <w:b w:val="0"/>
                <w:i w:val="0"/>
                <w:color w:val="FFFFFF"/>
                <w:sz w:val="24"/>
              </w:rPr>
              <w:t>souscription</w:t>
            </w:r>
          </w:p>
          <w:p>
            <w:pPr>
              <w:autoSpaceDN w:val="0"/>
              <w:autoSpaceDE w:val="0"/>
              <w:widowControl/>
              <w:spacing w:line="450" w:lineRule="exact" w:before="698" w:after="0"/>
              <w:ind w:left="0" w:right="0" w:firstLine="0"/>
              <w:jc w:val="center"/>
            </w:pPr>
            <w:r>
              <w:rPr>
                <w:rFonts w:ascii="HDColton" w:hAnsi="HDColton" w:eastAsia="HDColton"/>
                <w:b/>
                <w:i w:val="0"/>
                <w:color w:val="FFFFFF"/>
                <w:sz w:val="32"/>
              </w:rPr>
              <w:t>LES PLUS DU CONTRAT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2.00000000000045" w:type="dxa"/>
      </w:tblPr>
      <w:tblGrid>
        <w:gridCol w:w="10912"/>
      </w:tblGrid>
      <w:tr>
        <w:trPr>
          <w:trHeight w:hRule="exact" w:val="2936"/>
        </w:trPr>
        <w:tc>
          <w:tcPr>
            <w:tcW w:type="dxa" w:w="5262"/>
            <w:tcBorders/>
            <w:shd w:fill="802a2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756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20"/>
              </w:rPr>
              <w:t>dès 2 personnes assurées / pour le régime TNS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56"/>
              </w:rPr>
              <w:t>- 10%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OpenSans" w:hAnsi="OpenSans" w:eastAsia="OpenSans"/>
                <w:b w:val="0"/>
                <w:i w:val="0"/>
                <w:color w:val="FFFFFF"/>
                <w:sz w:val="20"/>
              </w:rPr>
              <w:t>pour le régime Alsace Moselle</w:t>
            </w:r>
            <w:r>
              <w:rPr>
                <w:rFonts w:ascii="OpenSans" w:hAnsi="OpenSans" w:eastAsia="OpenSans"/>
                <w:b/>
                <w:i w:val="0"/>
                <w:color w:val="FFFFFF"/>
                <w:sz w:val="56"/>
              </w:rPr>
              <w:t>- 15%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752"/>
        <w:ind w:left="0" w:right="0"/>
      </w:pPr>
    </w:p>
    <w:p>
      <w:pPr>
        <w:sectPr>
          <w:type w:val="nextColumn"/>
          <w:pgSz w:w="11906" w:h="16838"/>
          <w:pgMar w:top="240" w:right="514" w:bottom="224" w:left="480" w:header="720" w:footer="720" w:gutter="0"/>
          <w:cols w:num="2" w:equalWidth="0">
            <w:col w:w="5398" w:space="0"/>
            <w:col w:w="551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5456"/>
        <w:gridCol w:w="5456"/>
      </w:tblGrid>
      <w:tr>
        <w:trPr>
          <w:trHeight w:hRule="exact" w:val="750"/>
        </w:trPr>
        <w:tc>
          <w:tcPr>
            <w:tcW w:type="dxa" w:w="9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46" w:right="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4A4A49"/>
                <w:sz w:val="15"/>
              </w:rPr>
              <w:t>FMA Assurances -</w:t>
            </w:r>
            <w:r>
              <w:rPr>
                <w:rFonts w:ascii="OpenSans" w:hAnsi="OpenSans" w:eastAsia="OpenSans"/>
                <w:b w:val="0"/>
                <w:i w:val="0"/>
                <w:color w:val="4A4A49"/>
                <w:sz w:val="15"/>
              </w:rPr>
              <w:t xml:space="preserve"> SAS au capital de 787 204 € - Courtier en assurance - Siège social : Immeuble Colisée Gardens, 8-14 avenue de l’Arche, </w:t>
            </w:r>
            <w:r>
              <w:rPr>
                <w:rFonts w:ascii="OpenSans" w:hAnsi="OpenSans" w:eastAsia="OpenSans"/>
                <w:b w:val="0"/>
                <w:i w:val="0"/>
                <w:color w:val="4A4A49"/>
                <w:sz w:val="15"/>
              </w:rPr>
              <w:t xml:space="preserve">92400 Courbevoie - RCS Nanterre 429882236 - ORIAS : 12068209 </w:t>
            </w:r>
            <w:r>
              <w:br/>
            </w:r>
            <w:r>
              <w:rPr>
                <w:rFonts w:ascii="OpenSans" w:hAnsi="OpenSans" w:eastAsia="OpenSans"/>
                <w:b/>
                <w:i w:val="0"/>
                <w:color w:val="4A4A49"/>
                <w:sz w:val="15"/>
              </w:rPr>
              <w:t>L’Équité -</w:t>
            </w:r>
            <w:r>
              <w:rPr>
                <w:rFonts w:ascii="OpenSans" w:hAnsi="OpenSans" w:eastAsia="OpenSans"/>
                <w:b w:val="0"/>
                <w:i w:val="0"/>
                <w:color w:val="4A4A49"/>
                <w:sz w:val="15"/>
              </w:rPr>
              <w:t xml:space="preserve"> SA au capital de 26.469.320 euros, Entreprise régie par le Code des assurances - 572 084 697 RCS Paris. Siège Social : 2 rue Pillet-</w:t>
            </w:r>
            <w:r>
              <w:rPr>
                <w:rFonts w:ascii="OpenSans" w:hAnsi="OpenSans" w:eastAsia="OpenSans"/>
                <w:b w:val="0"/>
                <w:i w:val="0"/>
                <w:color w:val="4A4A49"/>
                <w:sz w:val="15"/>
              </w:rPr>
              <w:t>Will 75009 Paris. Société appartenant au Groupe Generali immatriculé sur le registre italien des groupes d’assurances sous le numéro 026.</w:t>
            </w:r>
          </w:p>
        </w:tc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749300" cy="304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30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1" w:lineRule="auto" w:before="84" w:after="0"/>
              <w:ind w:left="168" w:right="0" w:firstLine="0"/>
              <w:jc w:val="left"/>
            </w:pPr>
            <w:r>
              <w:rPr>
                <w:rFonts w:ascii="OpenSans" w:hAnsi="OpenSans" w:eastAsia="OpenSans"/>
                <w:b/>
                <w:i w:val="0"/>
                <w:color w:val="E25E3F"/>
                <w:sz w:val="12"/>
              </w:rPr>
              <w:t xml:space="preserve"> FP-VITALIA-07/2024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6" w:h="16838"/>
      <w:pgMar w:top="240" w:right="514" w:bottom="224" w:left="48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