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431800</wp:posOffset>
            </wp:positionH>
            <wp:positionV relativeFrom="page">
              <wp:posOffset>3771900</wp:posOffset>
            </wp:positionV>
            <wp:extent cx="3187700" cy="56134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561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4165600</wp:posOffset>
            </wp:positionH>
            <wp:positionV relativeFrom="page">
              <wp:posOffset>5854700</wp:posOffset>
            </wp:positionV>
            <wp:extent cx="50800" cy="508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4051300</wp:posOffset>
            </wp:positionH>
            <wp:positionV relativeFrom="page">
              <wp:posOffset>5918200</wp:posOffset>
            </wp:positionV>
            <wp:extent cx="139700" cy="1905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4191000</wp:posOffset>
            </wp:positionH>
            <wp:positionV relativeFrom="page">
              <wp:posOffset>5905500</wp:posOffset>
            </wp:positionV>
            <wp:extent cx="139700" cy="2032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3962400</wp:posOffset>
            </wp:positionH>
            <wp:positionV relativeFrom="page">
              <wp:posOffset>5770880</wp:posOffset>
            </wp:positionV>
            <wp:extent cx="436879" cy="409287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879" cy="40928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5982970</wp:posOffset>
            </wp:positionH>
            <wp:positionV relativeFrom="page">
              <wp:posOffset>548640</wp:posOffset>
            </wp:positionV>
            <wp:extent cx="1075689" cy="448204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75689" cy="44820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6502400</wp:posOffset>
            </wp:positionH>
            <wp:positionV relativeFrom="page">
              <wp:posOffset>546100</wp:posOffset>
            </wp:positionV>
            <wp:extent cx="558800" cy="457200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457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5981700</wp:posOffset>
            </wp:positionH>
            <wp:positionV relativeFrom="page">
              <wp:posOffset>546100</wp:posOffset>
            </wp:positionV>
            <wp:extent cx="444500" cy="15240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1524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588"/>
      </w:tblGrid>
      <w:tr>
        <w:trPr>
          <w:trHeight w:hRule="exact" w:val="1520"/>
        </w:trPr>
        <w:tc>
          <w:tcPr>
            <w:tcW w:type="dxa" w:w="105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7" w:lineRule="auto" w:before="0" w:after="0"/>
              <w:ind w:left="2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FFFFFF"/>
                <w:sz w:val="35"/>
              </w:rPr>
              <w:t>Assuranc</w:t>
            </w:r>
            <w:r>
              <w:rPr>
                <w:rFonts w:ascii="Arial" w:hAnsi="Arial" w:eastAsia="Arial"/>
                <w:b/>
                <w:i w:val="0"/>
                <w:color w:val="FFFFFF"/>
                <w:sz w:val="35"/>
              </w:rPr>
              <w:t xml:space="preserve">e </w:t>
            </w:r>
            <w:r>
              <w:rPr>
                <w:rFonts w:ascii="Arial" w:hAnsi="Arial" w:eastAsia="Arial"/>
                <w:b/>
                <w:i w:val="0"/>
                <w:color w:val="FFFFFF"/>
                <w:sz w:val="35"/>
              </w:rPr>
              <w:t xml:space="preserve">Complémentaire Santé </w:t>
            </w:r>
          </w:p>
          <w:p>
            <w:pPr>
              <w:autoSpaceDN w:val="0"/>
              <w:autoSpaceDE w:val="0"/>
              <w:widowControl/>
              <w:spacing w:line="264" w:lineRule="auto" w:before="0" w:after="0"/>
              <w:ind w:left="28" w:right="244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FFFFFF"/>
                <w:sz w:val="20"/>
              </w:rPr>
              <w:t xml:space="preserve">Document d’information sur le produit d’assurance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FFFFFF"/>
                <w:sz w:val="20"/>
              </w:rPr>
              <w:t>Produit FMA Assurances, immatriculé à l’ORIAS sous le numéro 12068209 (</w:t>
            </w:r>
            <w:r>
              <w:rPr>
                <w:rFonts w:ascii="ArialMT" w:hAnsi="ArialMT" w:eastAsia="ArialMT"/>
                <w:b w:val="0"/>
                <w:i w:val="0"/>
                <w:color w:val="FFFFFF"/>
                <w:sz w:val="20"/>
                <w:u w:val="single"/>
              </w:rPr>
              <w:t>www.orias.fr</w:t>
            </w:r>
            <w:r>
              <w:rPr>
                <w:rFonts w:ascii="ArialMT" w:hAnsi="ArialMT" w:eastAsia="ArialMT"/>
                <w:b w:val="0"/>
                <w:i w:val="0"/>
                <w:color w:val="FFFFFF"/>
                <w:sz w:val="20"/>
              </w:rPr>
              <w:t xml:space="preserve">)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16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5400" cy="25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64" w:lineRule="auto" w:before="100" w:after="0"/>
              <w:ind w:left="2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FFFFFF"/>
                <w:sz w:val="20"/>
              </w:rPr>
              <w:t xml:space="preserve">L’EQUITE, entreprise régie par le code des assurances – 572 084 697 RCS Paris, société appartenant au groupe </w:t>
            </w:r>
            <w:r>
              <w:rPr>
                <w:rFonts w:ascii="ArialMT" w:hAnsi="ArialMT" w:eastAsia="ArialMT"/>
                <w:b w:val="0"/>
                <w:i w:val="0"/>
                <w:color w:val="FFFFFF"/>
                <w:sz w:val="20"/>
              </w:rPr>
              <w:t xml:space="preserve">GENERALI, immatriculé sur le registre italien des groupes d’assurances sous le numéro 026. </w:t>
            </w:r>
          </w:p>
        </w:tc>
      </w:tr>
    </w:tbl>
    <w:p>
      <w:pPr>
        <w:autoSpaceDN w:val="0"/>
        <w:autoSpaceDE w:val="0"/>
        <w:widowControl/>
        <w:spacing w:line="6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588"/>
      </w:tblGrid>
      <w:tr>
        <w:trPr>
          <w:trHeight w:hRule="exact" w:val="312"/>
        </w:trPr>
        <w:tc>
          <w:tcPr>
            <w:tcW w:type="dxa" w:w="10526"/>
            <w:tcBorders/>
            <w:shd w:fill="19508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40" w:after="0"/>
              <w:ind w:left="2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FFFFFF"/>
                <w:sz w:val="20"/>
              </w:rPr>
              <w:t>Produit : VITALIA</w:t>
            </w:r>
          </w:p>
        </w:tc>
      </w:tr>
    </w:tbl>
    <w:p>
      <w:pPr>
        <w:autoSpaceDN w:val="0"/>
        <w:autoSpaceDE w:val="0"/>
        <w:widowControl/>
        <w:spacing w:line="269" w:lineRule="auto" w:before="232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231F20"/>
          <w:sz w:val="16"/>
        </w:rPr>
        <w:t xml:space="preserve">Ce document d’information présente un résumé des principales garanties et exclusions du produit. Il ne prend pas en compte vos besoins </w:t>
      </w:r>
      <w:r>
        <w:rPr>
          <w:rFonts w:ascii="Arial" w:hAnsi="Arial" w:eastAsia="Arial"/>
          <w:b/>
          <w:i w:val="0"/>
          <w:color w:val="231F20"/>
          <w:sz w:val="16"/>
        </w:rPr>
        <w:t xml:space="preserve">et demandes spécifiques. </w:t>
      </w:r>
    </w:p>
    <w:p>
      <w:pPr>
        <w:autoSpaceDN w:val="0"/>
        <w:autoSpaceDE w:val="0"/>
        <w:widowControl/>
        <w:spacing w:line="269" w:lineRule="auto" w:before="0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231F20"/>
          <w:sz w:val="16"/>
        </w:rPr>
        <w:t xml:space="preserve">Toutes les informations contractuelles et précontractuelles sur le produit VITALIA sont fournies au client dans d’autres documents et, </w:t>
      </w:r>
      <w:r>
        <w:rPr>
          <w:rFonts w:ascii="Arial" w:hAnsi="Arial" w:eastAsia="Arial"/>
          <w:b/>
          <w:i w:val="0"/>
          <w:color w:val="231F20"/>
          <w:sz w:val="16"/>
        </w:rPr>
        <w:t xml:space="preserve">notamment, dans le tableau de garanties ci-joint, qui détaille le niveau des remboursements. </w:t>
      </w:r>
    </w:p>
    <w:p>
      <w:pPr>
        <w:autoSpaceDN w:val="0"/>
        <w:autoSpaceDE w:val="0"/>
        <w:widowControl/>
        <w:spacing w:line="310" w:lineRule="auto" w:before="62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195182"/>
          <w:sz w:val="25"/>
        </w:rPr>
        <w:t xml:space="preserve">De quel type d’assurance s’agit-il </w:t>
      </w:r>
      <w:r>
        <w:rPr>
          <w:w w:val="98.21003278096518"/>
          <w:rFonts w:ascii="Arial" w:hAnsi="Arial" w:eastAsia="Arial"/>
          <w:b/>
          <w:i w:val="0"/>
          <w:color w:val="195182"/>
          <w:sz w:val="24"/>
        </w:rPr>
        <w:t xml:space="preserve">? </w:t>
      </w:r>
    </w:p>
    <w:p>
      <w:pPr>
        <w:autoSpaceDN w:val="0"/>
        <w:autoSpaceDE w:val="0"/>
        <w:widowControl/>
        <w:spacing w:line="257" w:lineRule="auto" w:before="0" w:after="0"/>
        <w:ind w:left="28" w:right="20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Le produit VITALIA est un produit d’Assurance Complémentaire Santé. Le contrat est destiné à rembourser tout ou partie des frais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de santé restant à la charge de l’assuré et des éventuels bénéficiaires en cas d’accident, de maladie ou de maternité, en complément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de la Sécurité Sociale française. </w:t>
      </w:r>
    </w:p>
    <w:p>
      <w:pPr>
        <w:autoSpaceDN w:val="0"/>
        <w:autoSpaceDE w:val="0"/>
        <w:widowControl/>
        <w:spacing w:line="254" w:lineRule="auto" w:before="0" w:after="0"/>
        <w:ind w:left="28" w:right="0" w:firstLine="0"/>
        <w:jc w:val="left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Les formules 1 à 6 sont « responsable » car elles respectent les obligations et interdictions de prise en charge fixées par la législation. </w:t>
      </w:r>
      <w:r>
        <w:rPr>
          <w:rFonts w:ascii="ArialMT" w:hAnsi="ArialMT" w:eastAsia="ArialMT"/>
          <w:b w:val="0"/>
          <w:i w:val="0"/>
          <w:color w:val="231F20"/>
          <w:sz w:val="18"/>
        </w:rPr>
        <w:t>Les formules Hospi + sont « non responsable » car elles ne s’inscrivent pas dans le cadre du dispositif législatif relatif aux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contrats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d’assurance complémentaire sante bénéficiant d’avantages fiscaux et sociaux. </w:t>
      </w:r>
    </w:p>
    <w:p>
      <w:pPr>
        <w:autoSpaceDN w:val="0"/>
        <w:autoSpaceDE w:val="0"/>
        <w:widowControl/>
        <w:spacing w:line="262" w:lineRule="auto" w:before="0" w:after="518"/>
        <w:ind w:left="28" w:right="288" w:firstLine="0"/>
        <w:jc w:val="left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Toutes les formules sont « solidaires » car elles ne prévoient pas de questionnaire d’état de santé et son tarif ne dépend pas de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l’état de santé de l’Adhérent. </w:t>
      </w:r>
    </w:p>
    <w:p>
      <w:pPr>
        <w:sectPr>
          <w:pgSz w:w="11906" w:h="16838"/>
          <w:pgMar w:top="360" w:right="626" w:bottom="760" w:left="69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7" w:lineRule="auto" w:before="0" w:after="0"/>
        <w:ind w:left="736" w:right="0" w:firstLine="0"/>
        <w:jc w:val="left"/>
      </w:pPr>
      <w:r>
        <w:rPr>
          <w:rFonts w:ascii="Arial" w:hAnsi="Arial" w:eastAsia="Arial"/>
          <w:b/>
          <w:i w:val="0"/>
          <w:color w:val="195182"/>
          <w:sz w:val="25"/>
        </w:rPr>
        <w:t>Qu’est c</w:t>
      </w:r>
      <w:r>
        <w:rPr>
          <w:rFonts w:ascii="Arial" w:hAnsi="Arial" w:eastAsia="Arial"/>
          <w:b/>
          <w:i w:val="0"/>
          <w:color w:val="195182"/>
          <w:sz w:val="25"/>
        </w:rPr>
        <w:t xml:space="preserve">e </w:t>
      </w:r>
      <w:r>
        <w:rPr>
          <w:rFonts w:ascii="Arial" w:hAnsi="Arial" w:eastAsia="Arial"/>
          <w:b/>
          <w:i w:val="0"/>
          <w:color w:val="195182"/>
          <w:sz w:val="25"/>
        </w:rPr>
        <w:t xml:space="preserve">qui est assuré ? </w:t>
      </w:r>
    </w:p>
    <w:p>
      <w:pPr>
        <w:autoSpaceDN w:val="0"/>
        <w:autoSpaceDE w:val="0"/>
        <w:widowControl/>
        <w:spacing w:line="247" w:lineRule="auto" w:before="146" w:after="0"/>
        <w:ind w:left="28" w:right="144" w:firstLine="0"/>
        <w:jc w:val="left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Les remboursements de frais couverts par l’assurance ne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peuvent pas être plus élevés que les dépenses engagées. Ils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sont soumis à des plafonds qui varient en fonction de la formule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et par conséquent une somme peut rester à votre charge. </w:t>
      </w:r>
      <w:r>
        <w:rPr>
          <w:rFonts w:ascii="ArialMT" w:hAnsi="ArialMT" w:eastAsia="ArialMT"/>
          <w:b w:val="0"/>
          <w:i w:val="0"/>
          <w:color w:val="231F20"/>
          <w:sz w:val="18"/>
        </w:rPr>
        <w:t>Le détail de ces plafonds figure au tableau des garanties ci-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joint. </w:t>
      </w:r>
    </w:p>
    <w:p>
      <w:pPr>
        <w:autoSpaceDN w:val="0"/>
        <w:autoSpaceDE w:val="0"/>
        <w:widowControl/>
        <w:spacing w:line="300" w:lineRule="auto" w:before="164" w:after="44"/>
        <w:ind w:left="28" w:right="0" w:firstLine="0"/>
        <w:jc w:val="left"/>
      </w:pPr>
      <w:r>
        <w:rPr>
          <w:rFonts w:ascii="Arial" w:hAnsi="Arial" w:eastAsia="Arial"/>
          <w:b/>
          <w:i w:val="0"/>
          <w:color w:val="231F20"/>
          <w:sz w:val="18"/>
        </w:rPr>
        <w:t>LES GARANTIE</w:t>
      </w:r>
      <w:r>
        <w:rPr>
          <w:rFonts w:ascii="Arial" w:hAnsi="Arial" w:eastAsia="Arial"/>
          <w:b/>
          <w:i w:val="0"/>
          <w:color w:val="231F20"/>
          <w:sz w:val="18"/>
        </w:rPr>
        <w:t>S</w:t>
      </w:r>
      <w:r>
        <w:rPr>
          <w:rFonts w:ascii="Arial" w:hAnsi="Arial" w:eastAsia="Arial"/>
          <w:b/>
          <w:i w:val="0"/>
          <w:color w:val="231F20"/>
          <w:sz w:val="18"/>
        </w:rPr>
        <w:t xml:space="preserve"> S</w:t>
      </w:r>
      <w:r>
        <w:rPr>
          <w:rFonts w:ascii="Arial" w:hAnsi="Arial" w:eastAsia="Arial"/>
          <w:b/>
          <w:i w:val="0"/>
          <w:color w:val="231F20"/>
          <w:sz w:val="18"/>
        </w:rPr>
        <w:t>Y</w:t>
      </w:r>
      <w:r>
        <w:rPr>
          <w:rFonts w:ascii="Arial" w:hAnsi="Arial" w:eastAsia="Arial"/>
          <w:b/>
          <w:i w:val="0"/>
          <w:color w:val="231F20"/>
          <w:sz w:val="18"/>
        </w:rPr>
        <w:t>STEMATIQUEMENT PREVUES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94"/>
        <w:gridCol w:w="5294"/>
      </w:tblGrid>
      <w:tr>
        <w:trPr>
          <w:trHeight w:hRule="exact" w:val="4096"/>
        </w:trPr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0009" cy="889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9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5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0009" cy="889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9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30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0009" cy="889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9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73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0009" cy="889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9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5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0009" cy="889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9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30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0009" cy="889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9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9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0009" cy="9017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9" cy="901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6" w:val="left"/>
                <w:tab w:pos="308" w:val="left"/>
              </w:tabs>
              <w:autoSpaceDE w:val="0"/>
              <w:widowControl/>
              <w:spacing w:line="257" w:lineRule="auto" w:before="44" w:after="0"/>
              <w:ind w:left="2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231F20"/>
                <w:sz w:val="18"/>
              </w:rPr>
              <w:t xml:space="preserve">Hospitalisation secteur conventionné 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: Frais de séjour, forfait 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journalier hospitalier, Honoraires, Chirurgie et anesthésie, Frais de 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transport ; 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231F20"/>
                <w:sz w:val="18"/>
              </w:rPr>
              <w:t xml:space="preserve">Hospitalisation secteur non conventionné : Frais de séjour,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231F20"/>
                <w:sz w:val="18"/>
              </w:rPr>
              <w:t xml:space="preserve">forfait journaliser hospitalier, chirurgie et anesthésie ; 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231F20"/>
                <w:sz w:val="18"/>
              </w:rPr>
              <w:t xml:space="preserve">Consultation et Pharmacie 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: Pharmacie, Médecins généralistes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ou spécialistes, Auxiliaires médicaux, Actes techniques médicaux,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Analyses/actes de biologie, Imagerie médicale, matériel médical </w:t>
            </w:r>
            <w:r>
              <w:rPr>
                <w:rFonts w:ascii="Arial" w:hAnsi="Arial" w:eastAsia="Arial"/>
                <w:b/>
                <w:i w:val="0"/>
                <w:color w:val="231F20"/>
                <w:sz w:val="18"/>
              </w:rPr>
              <w:t xml:space="preserve">Hors formules HOSPI + :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231F20"/>
                <w:sz w:val="18"/>
              </w:rPr>
              <w:t xml:space="preserve">Dentaire : 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Soins dentaires, inlays-onlays, parodontologie, 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prothèses dentaires, inlay-core, implantologie et orthodontie 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remboursés par le Régime Obligatoire ; 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231F20"/>
                <w:sz w:val="18"/>
              </w:rPr>
              <w:t xml:space="preserve">Optique acceptée ou refusée par le RO 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: Monture et verres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(équipement), lentilles (y compris lentilles jetables) ; 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231F20"/>
                <w:sz w:val="18"/>
              </w:rPr>
              <w:t>Aides Auditives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 : aides auditives (prothèse) remboursées par la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Sécurité Sociale, entretien de l’appareillage. </w:t>
            </w:r>
          </w:p>
          <w:p>
            <w:pPr>
              <w:autoSpaceDN w:val="0"/>
              <w:autoSpaceDE w:val="0"/>
              <w:widowControl/>
              <w:spacing w:line="274" w:lineRule="auto" w:before="0" w:after="0"/>
              <w:ind w:left="30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231F20"/>
                <w:sz w:val="18"/>
              </w:rPr>
              <w:t xml:space="preserve">Prestations diverses 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: Médecines douces, actes de prévention 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remboursés par la Sécurité Sociale. </w:t>
            </w:r>
          </w:p>
        </w:tc>
      </w:tr>
    </w:tbl>
    <w:p>
      <w:pPr>
        <w:autoSpaceDN w:val="0"/>
        <w:autoSpaceDE w:val="0"/>
        <w:widowControl/>
        <w:spacing w:line="300" w:lineRule="auto" w:before="272" w:after="18"/>
        <w:ind w:left="28" w:right="0" w:firstLine="0"/>
        <w:jc w:val="left"/>
      </w:pPr>
      <w:r>
        <w:rPr>
          <w:rFonts w:ascii="Arial" w:hAnsi="Arial" w:eastAsia="Arial"/>
          <w:b/>
          <w:i w:val="0"/>
          <w:color w:val="231F20"/>
          <w:sz w:val="18"/>
        </w:rPr>
        <w:t xml:space="preserve">LES SERVICES SYSTEMATIQUEMENT PREVUS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94"/>
        <w:gridCol w:w="5294"/>
      </w:tblGrid>
      <w:tr>
        <w:trPr>
          <w:trHeight w:hRule="exact" w:val="778"/>
        </w:trPr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0009" cy="889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9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302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0009" cy="889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9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8" w:after="0"/>
              <w:ind w:left="16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231F20"/>
                <w:sz w:val="18"/>
              </w:rPr>
              <w:t>Tiers Payant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, via le réseau ALMERYS (dispense d’avance de frais 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chez de nombreux professionnels de santé) ;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231F20"/>
                <w:sz w:val="18"/>
              </w:rPr>
              <w:t xml:space="preserve">Espace client. </w:t>
            </w:r>
          </w:p>
        </w:tc>
      </w:tr>
    </w:tbl>
    <w:p>
      <w:pPr>
        <w:autoSpaceDN w:val="0"/>
        <w:autoSpaceDE w:val="0"/>
        <w:widowControl/>
        <w:spacing w:line="300" w:lineRule="auto" w:before="114" w:after="20"/>
        <w:ind w:left="28" w:right="0" w:firstLine="0"/>
        <w:jc w:val="left"/>
      </w:pPr>
      <w:r>
        <w:rPr>
          <w:rFonts w:ascii="Arial" w:hAnsi="Arial" w:eastAsia="Arial"/>
          <w:b/>
          <w:i w:val="0"/>
          <w:color w:val="231F20"/>
          <w:sz w:val="18"/>
        </w:rPr>
        <w:t xml:space="preserve">L’ASSISTANCE SYSTEMATIQUEMENT PREVUS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94"/>
        <w:gridCol w:w="5294"/>
      </w:tblGrid>
      <w:tr>
        <w:trPr>
          <w:trHeight w:hRule="exact" w:val="466"/>
        </w:trPr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0009" cy="9017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9" cy="901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22" w:after="0"/>
              <w:ind w:left="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Assistance en cas, d’immobilisation, d’hospitalisation, de perte 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d’autonomie ou de décès.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360" w:right="626" w:bottom="760" w:left="692" w:header="720" w:footer="720" w:gutter="0"/>
          <w:cols w:num="2" w:equalWidth="0">
            <w:col w:w="5271" w:space="0"/>
            <w:col w:w="531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6.00000000000023" w:type="dxa"/>
      </w:tblPr>
      <w:tblGrid>
        <w:gridCol w:w="3529"/>
        <w:gridCol w:w="3529"/>
        <w:gridCol w:w="3529"/>
      </w:tblGrid>
      <w:tr>
        <w:trPr>
          <w:trHeight w:hRule="exact" w:val="748"/>
        </w:trPr>
        <w:tc>
          <w:tcPr>
            <w:tcW w:type="dxa" w:w="690"/>
            <w:gridSpan w:val="2"/>
            <w:tcBorders/>
            <w:shd w:fill="f1f1f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0" cy="3810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18"/>
            <w:tcBorders/>
            <w:shd w:fill="f1f1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7" w:lineRule="auto" w:before="270" w:after="0"/>
              <w:ind w:left="4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195182"/>
                <w:sz w:val="25"/>
              </w:rPr>
              <w:t xml:space="preserve">Qu’est ce qui n’est pas assuré ? </w:t>
            </w:r>
          </w:p>
        </w:tc>
      </w:tr>
      <w:tr>
        <w:trPr>
          <w:trHeight w:hRule="exact" w:val="1794"/>
        </w:trPr>
        <w:tc>
          <w:tcPr>
            <w:tcW w:type="dxa" w:w="290"/>
            <w:tcBorders/>
            <w:shd w:fill="f1f1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2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6360" cy="87629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60" cy="876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72" w:after="0"/>
              <w:ind w:left="2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6360" cy="8636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60" cy="863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76" w:after="0"/>
              <w:ind w:left="2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6360" cy="8763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60" cy="876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78" w:after="0"/>
              <w:ind w:left="2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6360" cy="8636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60" cy="863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718"/>
            <w:gridSpan w:val="2"/>
            <w:tcBorders/>
            <w:shd w:fill="f1f1f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38" w:after="0"/>
              <w:ind w:left="1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Les soins reçus en dehors de la période de validité du contrat ; </w:t>
            </w:r>
          </w:p>
          <w:p>
            <w:pPr>
              <w:autoSpaceDN w:val="0"/>
              <w:autoSpaceDE w:val="0"/>
              <w:widowControl/>
              <w:spacing w:line="286" w:lineRule="auto" w:before="0" w:after="0"/>
              <w:ind w:left="1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Les indemnités versées en complément de la sécurité sociale </w:t>
            </w:r>
          </w:p>
          <w:p>
            <w:pPr>
              <w:autoSpaceDN w:val="0"/>
              <w:autoSpaceDE w:val="0"/>
              <w:widowControl/>
              <w:spacing w:line="286" w:lineRule="auto" w:before="0" w:after="0"/>
              <w:ind w:left="1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en cas d’arrêt de travail ; </w:t>
            </w:r>
          </w:p>
          <w:p>
            <w:pPr>
              <w:autoSpaceDN w:val="0"/>
              <w:autoSpaceDE w:val="0"/>
              <w:widowControl/>
              <w:spacing w:line="286" w:lineRule="auto" w:before="0" w:after="0"/>
              <w:ind w:left="1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La chirurgie non prise en charge par la sécurité sociale, dans </w:t>
            </w:r>
          </w:p>
          <w:p>
            <w:pPr>
              <w:autoSpaceDN w:val="0"/>
              <w:autoSpaceDE w:val="0"/>
              <w:widowControl/>
              <w:spacing w:line="286" w:lineRule="auto" w:before="0" w:after="0"/>
              <w:ind w:left="1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un but de rajeunissement ou esthétique, </w:t>
            </w:r>
          </w:p>
          <w:p>
            <w:pPr>
              <w:autoSpaceDN w:val="0"/>
              <w:autoSpaceDE w:val="0"/>
              <w:widowControl/>
              <w:spacing w:line="286" w:lineRule="auto" w:before="0" w:after="0"/>
              <w:ind w:left="1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Les cures d’amaigrissement, de sommeil, de désintoxication </w:t>
            </w:r>
          </w:p>
          <w:p>
            <w:pPr>
              <w:autoSpaceDN w:val="0"/>
              <w:tabs>
                <w:tab w:pos="552" w:val="left"/>
                <w:tab w:pos="966" w:val="left"/>
                <w:tab w:pos="1706" w:val="left"/>
                <w:tab w:pos="2098" w:val="left"/>
                <w:tab w:pos="2772" w:val="left"/>
                <w:tab w:pos="4546" w:val="left"/>
              </w:tabs>
              <w:autoSpaceDE w:val="0"/>
              <w:widowControl/>
              <w:spacing w:line="286" w:lineRule="auto" w:before="0" w:after="0"/>
              <w:ind w:left="1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ou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les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séjours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en 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institut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médico-pédagogique 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et </w:t>
            </w:r>
          </w:p>
          <w:p>
            <w:pPr>
              <w:autoSpaceDN w:val="0"/>
              <w:autoSpaceDE w:val="0"/>
              <w:widowControl/>
              <w:spacing w:line="286" w:lineRule="auto" w:before="0" w:after="0"/>
              <w:ind w:left="1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établissements similaires. </w:t>
            </w:r>
          </w:p>
        </w:tc>
      </w:tr>
    </w:tbl>
    <w:p>
      <w:pPr>
        <w:autoSpaceDN w:val="0"/>
        <w:autoSpaceDE w:val="0"/>
        <w:widowControl/>
        <w:spacing w:line="300" w:lineRule="auto" w:before="106" w:after="132"/>
        <w:ind w:left="0" w:right="1254" w:firstLine="0"/>
        <w:jc w:val="right"/>
      </w:pPr>
      <w:r>
        <w:rPr>
          <w:rFonts w:ascii="Arial" w:hAnsi="Arial" w:eastAsia="Arial"/>
          <w:b/>
          <w:i w:val="0"/>
          <w:color w:val="231F20"/>
          <w:sz w:val="18"/>
        </w:rPr>
        <w:t xml:space="preserve">Cette liste n’est pas exhaustive.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6.00000000000023" w:type="dxa"/>
      </w:tblPr>
      <w:tblGrid>
        <w:gridCol w:w="10588"/>
      </w:tblGrid>
      <w:tr>
        <w:trPr>
          <w:trHeight w:hRule="exact" w:val="5954"/>
        </w:trPr>
        <w:tc>
          <w:tcPr>
            <w:tcW w:type="dxa" w:w="5050"/>
            <w:tcBorders/>
            <w:shd w:fill="f1f1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268" w:after="0"/>
              <w:ind w:left="738" w:right="0" w:firstLine="0"/>
              <w:jc w:val="left"/>
            </w:pPr>
            <w:r>
              <w:rPr>
                <w:w w:val="101.578688621521"/>
                <w:rFonts w:ascii="Arial" w:hAnsi="Arial" w:eastAsia="Arial"/>
                <w:b/>
                <w:i w:val="0"/>
                <w:color w:val="195182"/>
                <w:sz w:val="24"/>
              </w:rPr>
              <w:t xml:space="preserve">Y-a-t-il des exclusions à la couverture ? </w:t>
            </w:r>
          </w:p>
          <w:p>
            <w:pPr>
              <w:autoSpaceDN w:val="0"/>
              <w:autoSpaceDE w:val="0"/>
              <w:widowControl/>
              <w:spacing w:line="300" w:lineRule="auto" w:before="14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231F20"/>
                <w:sz w:val="18"/>
              </w:rPr>
              <w:t xml:space="preserve">PRINCIPALES EXCLUSIONS DU CONTRAT RESPONSABLE </w:t>
            </w:r>
          </w:p>
          <w:p>
            <w:pPr>
              <w:autoSpaceDN w:val="0"/>
              <w:tabs>
                <w:tab w:pos="456" w:val="left"/>
              </w:tabs>
              <w:autoSpaceDE w:val="0"/>
              <w:widowControl/>
              <w:spacing w:line="300" w:lineRule="auto" w:before="0" w:after="0"/>
              <w:ind w:left="3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EE312E"/>
                <w:sz w:val="24"/>
              </w:rPr>
              <w:t xml:space="preserve">!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Les dépassements d’honoraires au-delà de la limite fixée </w:t>
            </w:r>
          </w:p>
          <w:p>
            <w:pPr>
              <w:autoSpaceDN w:val="0"/>
              <w:autoSpaceDE w:val="0"/>
              <w:widowControl/>
              <w:spacing w:line="286" w:lineRule="auto" w:before="0" w:after="0"/>
              <w:ind w:left="45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réglementairement pour les médecins n’adhérant pas à </w:t>
            </w:r>
          </w:p>
          <w:p>
            <w:pPr>
              <w:autoSpaceDN w:val="0"/>
              <w:autoSpaceDE w:val="0"/>
              <w:widowControl/>
              <w:spacing w:line="286" w:lineRule="auto" w:before="0" w:after="0"/>
              <w:ind w:left="45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un dispositif de pratique tarifaire maîtrisée. </w:t>
            </w:r>
          </w:p>
          <w:p>
            <w:pPr>
              <w:autoSpaceDN w:val="0"/>
              <w:autoSpaceDE w:val="0"/>
              <w:widowControl/>
              <w:spacing w:line="300" w:lineRule="auto" w:before="184" w:after="0"/>
              <w:ind w:left="17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231F20"/>
                <w:sz w:val="18"/>
              </w:rPr>
              <w:t xml:space="preserve">Hors formules HOSPI + : </w:t>
            </w:r>
          </w:p>
          <w:p>
            <w:pPr>
              <w:autoSpaceDN w:val="0"/>
              <w:tabs>
                <w:tab w:pos="456" w:val="left"/>
              </w:tabs>
              <w:autoSpaceDE w:val="0"/>
              <w:widowControl/>
              <w:spacing w:line="300" w:lineRule="auto" w:before="0" w:after="0"/>
              <w:ind w:left="3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EE312E"/>
                <w:sz w:val="24"/>
              </w:rPr>
              <w:t xml:space="preserve">!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La participation forfaitaire de 1€ et les franchises sur les </w:t>
            </w:r>
          </w:p>
          <w:p>
            <w:pPr>
              <w:autoSpaceDN w:val="0"/>
              <w:tabs>
                <w:tab w:pos="1140" w:val="left"/>
                <w:tab w:pos="1542" w:val="left"/>
                <w:tab w:pos="2864" w:val="left"/>
                <w:tab w:pos="3498" w:val="left"/>
                <w:tab w:pos="4830" w:val="left"/>
              </w:tabs>
              <w:autoSpaceDE w:val="0"/>
              <w:widowControl/>
              <w:spacing w:line="286" w:lineRule="auto" w:before="0" w:after="0"/>
              <w:ind w:left="45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boites 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de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médicaments, 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actes 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paramédicaux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et </w:t>
            </w:r>
          </w:p>
          <w:p>
            <w:pPr>
              <w:autoSpaceDN w:val="0"/>
              <w:autoSpaceDE w:val="0"/>
              <w:widowControl/>
              <w:spacing w:line="286" w:lineRule="auto" w:before="0" w:after="0"/>
              <w:ind w:left="45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transport ; </w:t>
            </w:r>
          </w:p>
          <w:p>
            <w:pPr>
              <w:autoSpaceDN w:val="0"/>
              <w:tabs>
                <w:tab w:pos="456" w:val="left"/>
              </w:tabs>
              <w:autoSpaceDE w:val="0"/>
              <w:widowControl/>
              <w:spacing w:line="300" w:lineRule="auto" w:before="0" w:after="0"/>
              <w:ind w:left="3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EE312E"/>
                <w:sz w:val="24"/>
              </w:rPr>
              <w:t xml:space="preserve">!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La majoration du ticket modérateur et les dépassements </w:t>
            </w:r>
          </w:p>
          <w:p>
            <w:pPr>
              <w:autoSpaceDN w:val="0"/>
              <w:autoSpaceDE w:val="0"/>
              <w:widowControl/>
              <w:spacing w:line="286" w:lineRule="auto" w:before="0" w:after="0"/>
              <w:ind w:left="45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d’honoraires si les dépenses de santé sont réalisées en </w:t>
            </w:r>
          </w:p>
          <w:p>
            <w:pPr>
              <w:autoSpaceDN w:val="0"/>
              <w:autoSpaceDE w:val="0"/>
              <w:widowControl/>
              <w:spacing w:line="286" w:lineRule="auto" w:before="0" w:after="0"/>
              <w:ind w:left="45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dehors du parcours de soins ; </w:t>
            </w:r>
          </w:p>
          <w:p>
            <w:pPr>
              <w:autoSpaceDN w:val="0"/>
              <w:autoSpaceDE w:val="0"/>
              <w:widowControl/>
              <w:spacing w:line="298" w:lineRule="auto" w:before="168" w:after="0"/>
              <w:ind w:left="3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231F20"/>
                <w:sz w:val="18"/>
              </w:rPr>
              <w:t xml:space="preserve">PRINCIPALES RESTRICTIONS </w:t>
            </w:r>
          </w:p>
          <w:p>
            <w:pPr>
              <w:autoSpaceDN w:val="0"/>
              <w:tabs>
                <w:tab w:pos="456" w:val="left"/>
              </w:tabs>
              <w:autoSpaceDE w:val="0"/>
              <w:widowControl/>
              <w:spacing w:line="300" w:lineRule="auto" w:before="0" w:after="0"/>
              <w:ind w:left="3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EE312E"/>
                <w:sz w:val="24"/>
              </w:rPr>
              <w:t xml:space="preserve">!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231F20"/>
                <w:sz w:val="18"/>
              </w:rPr>
              <w:t xml:space="preserve">Hospitalisation : 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Les frais de chambre particulière ne </w:t>
            </w:r>
          </w:p>
          <w:p>
            <w:pPr>
              <w:autoSpaceDN w:val="0"/>
              <w:autoSpaceDE w:val="0"/>
              <w:widowControl/>
              <w:spacing w:line="286" w:lineRule="auto" w:before="0" w:after="0"/>
              <w:ind w:left="45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sont pas garantis pour les séjours en service psychiatrie </w:t>
            </w:r>
          </w:p>
          <w:p>
            <w:pPr>
              <w:autoSpaceDN w:val="0"/>
              <w:autoSpaceDE w:val="0"/>
              <w:widowControl/>
              <w:spacing w:line="286" w:lineRule="auto" w:before="0" w:after="0"/>
              <w:ind w:left="45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ou neuropsychiatrie, diététique, gériatrie et sont limités à </w:t>
            </w:r>
          </w:p>
          <w:p>
            <w:pPr>
              <w:autoSpaceDN w:val="0"/>
              <w:autoSpaceDE w:val="0"/>
              <w:widowControl/>
              <w:spacing w:line="283" w:lineRule="auto" w:before="0" w:after="0"/>
              <w:ind w:left="45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30 jours par an et par assuré pour les séjours de </w:t>
            </w:r>
          </w:p>
          <w:p>
            <w:pPr>
              <w:autoSpaceDN w:val="0"/>
              <w:tabs>
                <w:tab w:pos="1844" w:val="left"/>
                <w:tab w:pos="3430" w:val="left"/>
                <w:tab w:pos="3978" w:val="left"/>
              </w:tabs>
              <w:autoSpaceDE w:val="0"/>
              <w:widowControl/>
              <w:spacing w:line="286" w:lineRule="auto" w:before="0" w:after="0"/>
              <w:ind w:left="45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rééducation, 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convalescence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et 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réadaptation </w:t>
            </w:r>
          </w:p>
          <w:p>
            <w:pPr>
              <w:autoSpaceDN w:val="0"/>
              <w:autoSpaceDE w:val="0"/>
              <w:widowControl/>
              <w:spacing w:line="286" w:lineRule="auto" w:before="0" w:after="0"/>
              <w:ind w:left="45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fonctionnelle. </w:t>
            </w:r>
          </w:p>
          <w:p>
            <w:pPr>
              <w:autoSpaceDN w:val="0"/>
              <w:tabs>
                <w:tab w:pos="456" w:val="left"/>
              </w:tabs>
              <w:autoSpaceDE w:val="0"/>
              <w:widowControl/>
              <w:spacing w:line="300" w:lineRule="auto" w:before="0" w:after="0"/>
              <w:ind w:left="3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EE312E"/>
                <w:sz w:val="24"/>
              </w:rPr>
              <w:t xml:space="preserve">!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231F20"/>
                <w:sz w:val="18"/>
              </w:rPr>
              <w:t>Optique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 : Prise en charge limitée à un équipement tous </w:t>
            </w:r>
          </w:p>
          <w:p>
            <w:pPr>
              <w:autoSpaceDN w:val="0"/>
              <w:autoSpaceDE w:val="0"/>
              <w:widowControl/>
              <w:spacing w:line="286" w:lineRule="auto" w:before="0" w:after="0"/>
              <w:ind w:left="45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les deux ans, réduite à un an pour en mineur ou en cas </w:t>
            </w:r>
          </w:p>
          <w:p>
            <w:pPr>
              <w:autoSpaceDN w:val="0"/>
              <w:autoSpaceDE w:val="0"/>
              <w:widowControl/>
              <w:spacing w:line="286" w:lineRule="auto" w:before="0" w:after="0"/>
              <w:ind w:left="45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d’évolution de la vue ; </w:t>
            </w:r>
          </w:p>
        </w:tc>
      </w:tr>
    </w:tbl>
    <w:p>
      <w:pPr>
        <w:autoSpaceDN w:val="0"/>
        <w:autoSpaceDE w:val="0"/>
        <w:widowControl/>
        <w:spacing w:line="300" w:lineRule="auto" w:before="102" w:after="0"/>
        <w:ind w:left="0" w:right="1128" w:firstLine="0"/>
        <w:jc w:val="right"/>
      </w:pPr>
      <w:r>
        <w:rPr>
          <w:rFonts w:ascii="Arial" w:hAnsi="Arial" w:eastAsia="Arial"/>
          <w:b/>
          <w:i w:val="0"/>
          <w:color w:val="231F20"/>
          <w:sz w:val="19"/>
        </w:rPr>
        <w:t xml:space="preserve">Cette liste n’est pas exhaustive. </w:t>
      </w:r>
    </w:p>
    <w:p>
      <w:pPr>
        <w:sectPr>
          <w:type w:val="nextColumn"/>
          <w:pgSz w:w="11906" w:h="16838"/>
          <w:pgMar w:top="360" w:right="626" w:bottom="760" w:left="692" w:header="720" w:footer="720" w:gutter="0"/>
          <w:cols w:num="2" w:equalWidth="0">
            <w:col w:w="5271" w:space="0"/>
            <w:col w:w="53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485140</wp:posOffset>
            </wp:positionH>
            <wp:positionV relativeFrom="page">
              <wp:posOffset>236220</wp:posOffset>
            </wp:positionV>
            <wp:extent cx="421640" cy="435389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640" cy="43538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431800</wp:posOffset>
            </wp:positionH>
            <wp:positionV relativeFrom="page">
              <wp:posOffset>152400</wp:posOffset>
            </wp:positionV>
            <wp:extent cx="6692900" cy="102870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1028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476250</wp:posOffset>
            </wp:positionH>
            <wp:positionV relativeFrom="page">
              <wp:posOffset>1346200</wp:posOffset>
            </wp:positionV>
            <wp:extent cx="427990" cy="427990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42799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431800</wp:posOffset>
            </wp:positionH>
            <wp:positionV relativeFrom="page">
              <wp:posOffset>1270000</wp:posOffset>
            </wp:positionV>
            <wp:extent cx="6692900" cy="3124200"/>
            <wp:wrapNone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3124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17" w:lineRule="auto" w:before="0" w:after="0"/>
        <w:ind w:left="794" w:right="0" w:firstLine="0"/>
        <w:jc w:val="left"/>
      </w:pPr>
      <w:r>
        <w:rPr>
          <w:w w:val="101.578688621521"/>
          <w:rFonts w:ascii="Arial" w:hAnsi="Arial" w:eastAsia="Arial"/>
          <w:b/>
          <w:i w:val="0"/>
          <w:color w:val="195182"/>
          <w:sz w:val="24"/>
        </w:rPr>
        <w:t>Où s</w:t>
      </w:r>
      <w:r>
        <w:rPr>
          <w:w w:val="101.578688621521"/>
          <w:rFonts w:ascii="Arial" w:hAnsi="Arial" w:eastAsia="Arial"/>
          <w:b/>
          <w:i w:val="0"/>
          <w:color w:val="195182"/>
          <w:sz w:val="24"/>
        </w:rPr>
        <w:t>ui</w:t>
      </w:r>
      <w:r>
        <w:rPr>
          <w:w w:val="101.578688621521"/>
          <w:rFonts w:ascii="Arial" w:hAnsi="Arial" w:eastAsia="Arial"/>
          <w:b/>
          <w:i w:val="0"/>
          <w:color w:val="195182"/>
          <w:sz w:val="24"/>
        </w:rPr>
        <w:t>s</w:t>
      </w:r>
      <w:r>
        <w:rPr>
          <w:w w:val="101.578688621521"/>
          <w:rFonts w:ascii="Arial" w:hAnsi="Arial" w:eastAsia="Arial"/>
          <w:b/>
          <w:i w:val="0"/>
          <w:color w:val="195182"/>
          <w:sz w:val="24"/>
        </w:rPr>
        <w:t>-</w:t>
      </w:r>
      <w:r>
        <w:rPr>
          <w:w w:val="101.578688621521"/>
          <w:rFonts w:ascii="Arial" w:hAnsi="Arial" w:eastAsia="Arial"/>
          <w:b/>
          <w:i w:val="0"/>
          <w:color w:val="195182"/>
          <w:sz w:val="24"/>
        </w:rPr>
        <w:t xml:space="preserve">je couvert ? </w:t>
      </w:r>
    </w:p>
    <w:p>
      <w:pPr>
        <w:autoSpaceDN w:val="0"/>
        <w:autoSpaceDE w:val="0"/>
        <w:widowControl/>
        <w:spacing w:line="240" w:lineRule="auto" w:before="164" w:after="0"/>
        <w:ind w:left="28" w:right="0" w:firstLine="0"/>
        <w:jc w:val="left"/>
      </w:pPr>
      <w:r>
        <w:rPr>
          <w:rFonts w:ascii="Wingdings" w:hAnsi="Wingdings" w:eastAsia="Wingdings"/>
          <w:b w:val="0"/>
          <w:i w:val="0"/>
          <w:color w:val="518BC9"/>
          <w:sz w:val="28"/>
        </w:rPr>
        <w:t>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En France et à l’étranger ;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Wingdings" w:hAnsi="Wingdings" w:eastAsia="Wingdings"/>
          <w:b w:val="0"/>
          <w:i w:val="0"/>
          <w:color w:val="518BC9"/>
          <w:sz w:val="28"/>
        </w:rPr>
        <w:t>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Dans le cas où les soins ont été dispensés à l’étranger, le remboursement se fait sur la base de remboursement du régime </w:t>
      </w:r>
    </w:p>
    <w:p>
      <w:pPr>
        <w:autoSpaceDN w:val="0"/>
        <w:autoSpaceDE w:val="0"/>
        <w:widowControl/>
        <w:spacing w:line="286" w:lineRule="auto" w:before="0" w:after="0"/>
        <w:ind w:left="28" w:right="0" w:firstLine="0"/>
        <w:jc w:val="left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d’assurance maladie obligatoire français, quelle que soit la dépense engagée. </w:t>
      </w:r>
    </w:p>
    <w:p>
      <w:pPr>
        <w:autoSpaceDN w:val="0"/>
        <w:autoSpaceDE w:val="0"/>
        <w:widowControl/>
        <w:spacing w:line="319" w:lineRule="auto" w:before="412" w:after="0"/>
        <w:ind w:left="736" w:right="0" w:firstLine="0"/>
        <w:jc w:val="left"/>
      </w:pPr>
      <w:r>
        <w:rPr>
          <w:w w:val="101.578688621521"/>
          <w:rFonts w:ascii="Arial" w:hAnsi="Arial" w:eastAsia="Arial"/>
          <w:b/>
          <w:i w:val="0"/>
          <w:color w:val="195182"/>
          <w:sz w:val="24"/>
        </w:rPr>
        <w:t xml:space="preserve"> Quelles </w:t>
      </w:r>
      <w:r>
        <w:rPr>
          <w:w w:val="101.578688621521"/>
          <w:rFonts w:ascii="Arial" w:hAnsi="Arial" w:eastAsia="Arial"/>
          <w:b/>
          <w:i w:val="0"/>
          <w:color w:val="195182"/>
          <w:sz w:val="24"/>
        </w:rPr>
        <w:t>so</w:t>
      </w:r>
      <w:r>
        <w:rPr>
          <w:w w:val="101.578688621521"/>
          <w:rFonts w:ascii="Arial" w:hAnsi="Arial" w:eastAsia="Arial"/>
          <w:b/>
          <w:i w:val="0"/>
          <w:color w:val="195182"/>
          <w:sz w:val="24"/>
        </w:rPr>
        <w:t xml:space="preserve">nt mes obligations ? </w:t>
      </w:r>
    </w:p>
    <w:p>
      <w:pPr>
        <w:autoSpaceDN w:val="0"/>
        <w:autoSpaceDE w:val="0"/>
        <w:widowControl/>
        <w:spacing w:line="298" w:lineRule="auto" w:before="142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231F20"/>
          <w:sz w:val="18"/>
        </w:rPr>
        <w:t xml:space="preserve">Sous peine de suspension des garanties </w:t>
      </w:r>
    </w:p>
    <w:p>
      <w:pPr>
        <w:autoSpaceDN w:val="0"/>
        <w:autoSpaceDE w:val="0"/>
        <w:widowControl/>
        <w:spacing w:line="300" w:lineRule="auto" w:before="70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231F20"/>
          <w:sz w:val="18"/>
        </w:rPr>
        <w:t xml:space="preserve">A la souscription du contrat : </w:t>
      </w:r>
    </w:p>
    <w:p>
      <w:pPr>
        <w:autoSpaceDN w:val="0"/>
        <w:tabs>
          <w:tab w:pos="456" w:val="left"/>
        </w:tabs>
        <w:autoSpaceDE w:val="0"/>
        <w:widowControl/>
        <w:spacing w:line="240" w:lineRule="auto" w:before="0" w:after="0"/>
        <w:ind w:left="28" w:right="0" w:firstLine="0"/>
        <w:jc w:val="left"/>
      </w:pPr>
      <w:r>
        <w:rPr>
          <w:rFonts w:ascii="Wingdings" w:hAnsi="Wingdings" w:eastAsia="Wingdings"/>
          <w:b w:val="0"/>
          <w:i w:val="0"/>
          <w:color w:val="719146"/>
          <w:sz w:val="28"/>
        </w:rPr>
        <w:t></w:t>
      </w:r>
      <w:r>
        <w:tab/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Remplir avec exactitude la demande d’adhésion ; </w:t>
      </w:r>
    </w:p>
    <w:p>
      <w:pPr>
        <w:autoSpaceDN w:val="0"/>
        <w:tabs>
          <w:tab w:pos="456" w:val="left"/>
        </w:tabs>
        <w:autoSpaceDE w:val="0"/>
        <w:widowControl/>
        <w:spacing w:line="240" w:lineRule="auto" w:before="0" w:after="0"/>
        <w:ind w:left="28" w:right="0" w:firstLine="0"/>
        <w:jc w:val="left"/>
      </w:pPr>
      <w:r>
        <w:rPr>
          <w:rFonts w:ascii="Wingdings" w:hAnsi="Wingdings" w:eastAsia="Wingdings"/>
          <w:b w:val="0"/>
          <w:i w:val="0"/>
          <w:color w:val="719146"/>
          <w:sz w:val="28"/>
        </w:rPr>
        <w:t></w:t>
      </w:r>
      <w:r>
        <w:tab/>
      </w:r>
      <w:r>
        <w:rPr>
          <w:rFonts w:ascii="ArialMT" w:hAnsi="ArialMT" w:eastAsia="ArialMT"/>
          <w:b w:val="0"/>
          <w:i w:val="0"/>
          <w:color w:val="231F20"/>
          <w:sz w:val="18"/>
        </w:rPr>
        <w:t>Être adhérent(e) à l'Association</w:t>
      </w:r>
      <w:r>
        <w:rPr>
          <w:rFonts w:ascii="ArialMT" w:hAnsi="ArialMT" w:eastAsia="ArialMT"/>
          <w:b w:val="0"/>
          <w:i w:val="0"/>
          <w:color w:val="231F20"/>
          <w:sz w:val="18"/>
        </w:rPr>
        <w:t>FAP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; </w:t>
      </w:r>
    </w:p>
    <w:p>
      <w:pPr>
        <w:autoSpaceDN w:val="0"/>
        <w:tabs>
          <w:tab w:pos="456" w:val="left"/>
        </w:tabs>
        <w:autoSpaceDE w:val="0"/>
        <w:widowControl/>
        <w:spacing w:line="240" w:lineRule="auto" w:before="0" w:after="0"/>
        <w:ind w:left="28" w:right="0" w:firstLine="0"/>
        <w:jc w:val="left"/>
      </w:pPr>
      <w:r>
        <w:rPr>
          <w:rFonts w:ascii="Wingdings" w:hAnsi="Wingdings" w:eastAsia="Wingdings"/>
          <w:b w:val="0"/>
          <w:i w:val="0"/>
          <w:color w:val="719146"/>
          <w:sz w:val="28"/>
        </w:rPr>
        <w:t></w:t>
      </w:r>
      <w:r>
        <w:tab/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Être âgé(e) à la date de signature de la demande d’adhésion de 18 ans au minimum ; </w:t>
      </w:r>
    </w:p>
    <w:p>
      <w:pPr>
        <w:autoSpaceDN w:val="0"/>
        <w:tabs>
          <w:tab w:pos="456" w:val="left"/>
        </w:tabs>
        <w:autoSpaceDE w:val="0"/>
        <w:widowControl/>
        <w:spacing w:line="240" w:lineRule="auto" w:before="0" w:after="0"/>
        <w:ind w:left="28" w:right="0" w:firstLine="0"/>
        <w:jc w:val="left"/>
      </w:pPr>
      <w:r>
        <w:rPr>
          <w:rFonts w:ascii="Wingdings" w:hAnsi="Wingdings" w:eastAsia="Wingdings"/>
          <w:b w:val="0"/>
          <w:i w:val="0"/>
          <w:color w:val="719146"/>
          <w:sz w:val="28"/>
        </w:rPr>
        <w:t></w:t>
      </w:r>
      <w:r>
        <w:tab/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Relever du régime Obligatoire d’Assurance Maladie français ; </w:t>
      </w:r>
    </w:p>
    <w:p>
      <w:pPr>
        <w:autoSpaceDN w:val="0"/>
        <w:tabs>
          <w:tab w:pos="456" w:val="left"/>
        </w:tabs>
        <w:autoSpaceDE w:val="0"/>
        <w:widowControl/>
        <w:spacing w:line="240" w:lineRule="auto" w:before="0" w:after="0"/>
        <w:ind w:left="28" w:right="0" w:firstLine="0"/>
        <w:jc w:val="left"/>
      </w:pPr>
      <w:r>
        <w:rPr>
          <w:rFonts w:ascii="Wingdings" w:hAnsi="Wingdings" w:eastAsia="Wingdings"/>
          <w:b w:val="0"/>
          <w:i w:val="0"/>
          <w:color w:val="719146"/>
          <w:sz w:val="28"/>
        </w:rPr>
        <w:t></w:t>
      </w:r>
      <w:r>
        <w:tab/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Fournir tout document justificatif demandé par l’assureur ; </w:t>
      </w:r>
    </w:p>
    <w:p>
      <w:pPr>
        <w:autoSpaceDN w:val="0"/>
        <w:autoSpaceDE w:val="0"/>
        <w:widowControl/>
        <w:spacing w:line="300" w:lineRule="auto" w:before="86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231F20"/>
          <w:sz w:val="18"/>
        </w:rPr>
        <w:t xml:space="preserve">En cours de vie du contrat : </w:t>
      </w:r>
    </w:p>
    <w:p>
      <w:pPr>
        <w:autoSpaceDN w:val="0"/>
        <w:tabs>
          <w:tab w:pos="454" w:val="left"/>
        </w:tabs>
        <w:autoSpaceDE w:val="0"/>
        <w:widowControl/>
        <w:spacing w:line="240" w:lineRule="auto" w:before="0" w:after="0"/>
        <w:ind w:left="28" w:right="0" w:firstLine="0"/>
        <w:jc w:val="left"/>
      </w:pPr>
      <w:r>
        <w:rPr>
          <w:rFonts w:ascii="Wingdings" w:hAnsi="Wingdings" w:eastAsia="Wingdings"/>
          <w:b w:val="0"/>
          <w:i w:val="0"/>
          <w:color w:val="719146"/>
          <w:sz w:val="28"/>
        </w:rPr>
        <w:t>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Informer l’assureur des évènements suivants, dans les 30 (trente) jours qui suivent leur connaissance :  changement d’état civil, </w:t>
      </w:r>
    </w:p>
    <w:p>
      <w:pPr>
        <w:autoSpaceDN w:val="0"/>
        <w:autoSpaceDE w:val="0"/>
        <w:widowControl/>
        <w:spacing w:line="286" w:lineRule="auto" w:before="0" w:after="0"/>
        <w:ind w:left="454" w:right="0" w:firstLine="0"/>
        <w:jc w:val="left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cessation ou changement d’affiliation au Régime Obligatoire, changement de domicile, départ hors de France métropolitaine, </w:t>
      </w:r>
    </w:p>
    <w:p>
      <w:pPr>
        <w:autoSpaceDN w:val="0"/>
        <w:autoSpaceDE w:val="0"/>
        <w:widowControl/>
        <w:spacing w:line="286" w:lineRule="auto" w:before="0" w:after="0"/>
        <w:ind w:left="454" w:right="0" w:firstLine="0"/>
        <w:jc w:val="left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cessation de qualité d’ayant droit, changement de profession ou une cessation d’activité professionnelle. </w:t>
      </w:r>
    </w:p>
    <w:p>
      <w:pPr>
        <w:autoSpaceDN w:val="0"/>
        <w:autoSpaceDE w:val="0"/>
        <w:widowControl/>
        <w:spacing w:line="286" w:lineRule="auto" w:before="30" w:after="40"/>
        <w:ind w:left="28" w:right="0" w:firstLine="0"/>
        <w:jc w:val="left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Ces changements peuvent dans certains cas entrainer la modification du contrat et de la cotisation.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83"/>
        <w:gridCol w:w="5283"/>
      </w:tblGrid>
      <w:tr>
        <w:trPr>
          <w:trHeight w:hRule="exact" w:val="1146"/>
        </w:trPr>
        <w:tc>
          <w:tcPr>
            <w:tcW w:type="dxa" w:w="1052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54" w:val="left"/>
              </w:tabs>
              <w:autoSpaceDE w:val="0"/>
              <w:widowControl/>
              <w:spacing w:line="245" w:lineRule="auto" w:before="38" w:after="0"/>
              <w:ind w:left="2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231F20"/>
                <w:sz w:val="18"/>
              </w:rPr>
              <w:t xml:space="preserve">En cas de sinistre :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719146"/>
                <w:sz w:val="28"/>
              </w:rPr>
              <w:t>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Faire parvenir tous documents justificatifs nécessaires au paiement des prestations prévues au contrat ;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719146"/>
                <w:sz w:val="28"/>
              </w:rPr>
              <w:t>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Faire parvenir les demandes de remboursements à l’assureur dans un délai maximum de 2 ans suivant la date de </w:t>
            </w:r>
          </w:p>
          <w:p>
            <w:pPr>
              <w:autoSpaceDN w:val="0"/>
              <w:autoSpaceDE w:val="0"/>
              <w:widowControl/>
              <w:spacing w:line="286" w:lineRule="auto" w:before="0" w:after="0"/>
              <w:ind w:left="45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remboursement des soins de votre Sécurité sociale. </w:t>
            </w:r>
          </w:p>
        </w:tc>
      </w:tr>
      <w:tr>
        <w:trPr>
          <w:trHeight w:hRule="exact" w:val="788"/>
        </w:trPr>
        <w:tc>
          <w:tcPr>
            <w:tcW w:type="dxa" w:w="728"/>
            <w:tcBorders/>
            <w:shd w:fill="f1f1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20369" cy="427989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69" cy="4279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798"/>
            <w:tcBorders/>
            <w:shd w:fill="f1f1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270" w:after="0"/>
              <w:ind w:left="8" w:right="0" w:firstLine="0"/>
              <w:jc w:val="left"/>
            </w:pPr>
            <w:r>
              <w:rPr>
                <w:w w:val="101.578688621521"/>
                <w:rFonts w:ascii="Arial" w:hAnsi="Arial" w:eastAsia="Arial"/>
                <w:b/>
                <w:i w:val="0"/>
                <w:color w:val="195182"/>
                <w:sz w:val="24"/>
              </w:rPr>
              <w:t xml:space="preserve"> Quand</w:t>
            </w:r>
            <w:r>
              <w:rPr>
                <w:w w:val="101.578688621521"/>
                <w:rFonts w:ascii="Arial" w:hAnsi="Arial" w:eastAsia="Arial"/>
                <w:b/>
                <w:i w:val="0"/>
                <w:color w:val="195182"/>
                <w:sz w:val="24"/>
              </w:rPr>
              <w:t>et</w:t>
            </w:r>
            <w:r>
              <w:rPr>
                <w:w w:val="101.578688621521"/>
                <w:rFonts w:ascii="Arial" w:hAnsi="Arial" w:eastAsia="Arial"/>
                <w:b/>
                <w:i w:val="0"/>
                <w:color w:val="195182"/>
                <w:sz w:val="24"/>
              </w:rPr>
              <w:t xml:space="preserve">comment effectuer les paiements ? </w:t>
            </w:r>
          </w:p>
        </w:tc>
      </w:tr>
      <w:tr>
        <w:trPr>
          <w:trHeight w:hRule="exact" w:val="640"/>
        </w:trPr>
        <w:tc>
          <w:tcPr>
            <w:tcW w:type="dxa" w:w="10526"/>
            <w:gridSpan w:val="2"/>
            <w:tcBorders/>
            <w:shd w:fill="f1f1f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2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Les cotisations sont payables d’avance annuellement, à la date indiquée dans le contrat. </w:t>
            </w:r>
          </w:p>
          <w:p>
            <w:pPr>
              <w:autoSpaceDN w:val="0"/>
              <w:autoSpaceDE w:val="0"/>
              <w:widowControl/>
              <w:spacing w:line="264" w:lineRule="auto" w:before="0" w:after="0"/>
              <w:ind w:left="28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Un paiement fractionné peut toutefois être accordé au choix (Mensuel, Trimestriel, Semestriel ou Annuel). 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Les paiements peuvent être effectués par chèque (règlement annuel uniquement) ou prélèvement automatique. </w:t>
            </w:r>
          </w:p>
        </w:tc>
      </w:tr>
    </w:tbl>
    <w:p>
      <w:pPr>
        <w:autoSpaceDN w:val="0"/>
        <w:autoSpaceDE w:val="0"/>
        <w:widowControl/>
        <w:spacing w:line="1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83"/>
        <w:gridCol w:w="5283"/>
      </w:tblGrid>
      <w:tr>
        <w:trPr>
          <w:trHeight w:hRule="exact" w:val="798"/>
        </w:trPr>
        <w:tc>
          <w:tcPr>
            <w:tcW w:type="dxa" w:w="768"/>
            <w:tcBorders/>
            <w:shd w:fill="f1f1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7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52119" cy="44323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19" cy="4432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758"/>
            <w:tcBorders/>
            <w:shd w:fill="f1f1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270" w:after="0"/>
              <w:ind w:left="26" w:right="0" w:firstLine="0"/>
              <w:jc w:val="left"/>
            </w:pPr>
            <w:r>
              <w:rPr>
                <w:w w:val="101.578688621521"/>
                <w:rFonts w:ascii="Arial" w:hAnsi="Arial" w:eastAsia="Arial"/>
                <w:b/>
                <w:i w:val="0"/>
                <w:color w:val="195182"/>
                <w:sz w:val="24"/>
              </w:rPr>
              <w:t>Quan</w:t>
            </w:r>
            <w:r>
              <w:rPr>
                <w:w w:val="101.578688621521"/>
                <w:rFonts w:ascii="Arial" w:hAnsi="Arial" w:eastAsia="Arial"/>
                <w:b/>
                <w:i w:val="0"/>
                <w:color w:val="195182"/>
                <w:sz w:val="24"/>
              </w:rPr>
              <w:t>d</w:t>
            </w:r>
            <w:r>
              <w:rPr>
                <w:w w:val="101.578688621521"/>
                <w:rFonts w:ascii="Arial" w:hAnsi="Arial" w:eastAsia="Arial"/>
                <w:b/>
                <w:i w:val="0"/>
                <w:color w:val="195182"/>
                <w:sz w:val="24"/>
              </w:rPr>
              <w:t xml:space="preserve"> co</w:t>
            </w:r>
            <w:r>
              <w:rPr>
                <w:w w:val="101.578688621521"/>
                <w:rFonts w:ascii="Arial" w:hAnsi="Arial" w:eastAsia="Arial"/>
                <w:b/>
                <w:i w:val="0"/>
                <w:color w:val="195182"/>
                <w:sz w:val="24"/>
              </w:rPr>
              <w:t>m</w:t>
            </w:r>
            <w:r>
              <w:rPr>
                <w:w w:val="101.578688621521"/>
                <w:rFonts w:ascii="Arial" w:hAnsi="Arial" w:eastAsia="Arial"/>
                <w:b/>
                <w:i w:val="0"/>
                <w:color w:val="195182"/>
                <w:sz w:val="24"/>
              </w:rPr>
              <w:t xml:space="preserve">mence la couverture et quand prend-elle fin ? </w:t>
            </w:r>
          </w:p>
        </w:tc>
      </w:tr>
      <w:tr>
        <w:trPr>
          <w:trHeight w:hRule="exact" w:val="1410"/>
        </w:trPr>
        <w:tc>
          <w:tcPr>
            <w:tcW w:type="dxa" w:w="1052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28" w:right="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La date d’effet du contrat est fixée d’un commun accord et est indiquée au Certificat d’adhésion. Cette date est toujours postérieure 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à la date de la demande d’adhésion. L’assuré dispose d’un délai de rétraction de 14 jours, qui commence à courir à compter de la 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date de signature de la demande d’adhésion. </w:t>
            </w:r>
          </w:p>
          <w:p>
            <w:pPr>
              <w:autoSpaceDN w:val="0"/>
              <w:autoSpaceDE w:val="0"/>
              <w:widowControl/>
              <w:spacing w:line="257" w:lineRule="auto" w:before="0" w:after="0"/>
              <w:ind w:left="28" w:right="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Le contrat est conclu pour une durée initiale d’un an. Passé cette première année, il se renouvelle ensuite au 1er janvier de chaque 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année, par tacite reconduction.  La couverture prend fin au jour de la résiliation du contrat quel qu’en soit la cause et quelle que soit 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la partie qui en est à l’origine. </w:t>
            </w:r>
          </w:p>
        </w:tc>
      </w:tr>
      <w:tr>
        <w:trPr>
          <w:trHeight w:hRule="exact" w:val="776"/>
        </w:trPr>
        <w:tc>
          <w:tcPr>
            <w:tcW w:type="dxa" w:w="768"/>
            <w:tcBorders/>
            <w:shd w:fill="f1f1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29259" cy="436879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259" cy="4368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758"/>
            <w:tcBorders/>
            <w:shd w:fill="f1f1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268" w:after="0"/>
              <w:ind w:left="26" w:right="0" w:firstLine="0"/>
              <w:jc w:val="left"/>
            </w:pPr>
            <w:r>
              <w:rPr>
                <w:w w:val="101.578688621521"/>
                <w:rFonts w:ascii="Arial" w:hAnsi="Arial" w:eastAsia="Arial"/>
                <w:b/>
                <w:i w:val="0"/>
                <w:color w:val="195182"/>
                <w:sz w:val="24"/>
              </w:rPr>
              <w:t>Commen</w:t>
            </w:r>
            <w:r>
              <w:rPr>
                <w:w w:val="101.578688621521"/>
                <w:rFonts w:ascii="Arial" w:hAnsi="Arial" w:eastAsia="Arial"/>
                <w:b/>
                <w:i w:val="0"/>
                <w:color w:val="195182"/>
                <w:sz w:val="24"/>
              </w:rPr>
              <w:t>t</w:t>
            </w:r>
            <w:r>
              <w:rPr>
                <w:w w:val="101.578688621521"/>
                <w:rFonts w:ascii="Arial" w:hAnsi="Arial" w:eastAsia="Arial"/>
                <w:b/>
                <w:i w:val="0"/>
                <w:color w:val="195182"/>
                <w:sz w:val="24"/>
              </w:rPr>
              <w:t xml:space="preserve"> puis-je résilier le contrat ?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0566"/>
      </w:tblGrid>
      <w:tr>
        <w:trPr>
          <w:trHeight w:hRule="exact" w:val="758"/>
        </w:trPr>
        <w:tc>
          <w:tcPr>
            <w:tcW w:type="dxa" w:w="10540"/>
            <w:tcBorders/>
            <w:shd w:fill="f1f1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20" w:right="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 La résiliation doit être demandée soit par lettre recommandée ou envoi recommandé électronique ou tout autre support durable 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article 113-14 alinéa 1 du code des assurances, soit par déclaration faite contre récépissé auprès de l'assureur ou de son délégataire 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mentionné au contrat, dans les cas et conditions prévus au contrat.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262" w:right="648" w:bottom="1440" w:left="69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