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2"/>
      </w:tblGrid>
      <w:tr>
        <w:trPr>
          <w:trHeight w:hRule="exact" w:val="834"/>
        </w:trPr>
        <w:tc>
          <w:tcPr>
            <w:tcW w:type="dxa" w:w="11892"/>
            <w:tcBorders/>
            <w:shd w:fill="c8ca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06" w:after="0"/>
              <w:ind w:left="552" w:right="5040" w:firstLine="4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FFFFFF"/>
                <w:sz w:val="34"/>
              </w:rPr>
              <w:t>NOTICE D’INFORMATION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36D21"/>
                <w:sz w:val="26"/>
              </w:rPr>
              <w:t>■</w:t>
            </w:r>
            <w:r>
              <w:rPr>
                <w:rFonts w:ascii="Arial" w:hAnsi="Arial" w:eastAsia="Arial"/>
                <w:b/>
                <w:i w:val="0"/>
                <w:color w:val="F36D21"/>
                <w:sz w:val="26"/>
              </w:rPr>
              <w:t xml:space="preserve"> Protection juridique Santé</w:t>
            </w:r>
            <w:r>
              <w:rPr>
                <w:rFonts w:ascii="ArialMT" w:hAnsi="ArialMT" w:eastAsia="ArialMT"/>
                <w:b w:val="0"/>
                <w:i w:val="0"/>
                <w:color w:val="F36D21"/>
                <w:sz w:val="26"/>
              </w:rPr>
              <w:t>06FMA SANT5-10/2018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50"/>
        <w:ind w:left="0" w:right="0"/>
      </w:pPr>
    </w:p>
    <w:p>
      <w:pPr>
        <w:sectPr>
          <w:pgSz w:w="11906" w:h="16838"/>
          <w:pgMar w:top="0" w:right="0" w:bottom="220" w:left="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552" w:right="0" w:firstLine="0"/>
        <w:jc w:val="left"/>
      </w:pPr>
      <w:r>
        <w:rPr>
          <w:u w:val="single" w:color="57585a"/>
          <w:rFonts w:ascii="Arial" w:hAnsi="Arial" w:eastAsia="Arial"/>
          <w:b/>
          <w:i w:val="0"/>
          <w:color w:val="58595B"/>
          <w:sz w:val="18"/>
        </w:rPr>
        <w:t>ART. 1 : L’OBJET DE LA PRESENTE NOTICE D’INFORMATIONS</w:t>
      </w:r>
    </w:p>
    <w:p>
      <w:pPr>
        <w:autoSpaceDN w:val="0"/>
        <w:autoSpaceDE w:val="0"/>
        <w:widowControl/>
        <w:spacing w:line="257" w:lineRule="auto" w:before="22" w:after="0"/>
        <w:ind w:left="552" w:right="26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présent document constitue la notice d’informations contractuelle prévue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par l’article L141-4 du Code des Assurances reprenant les dispositions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contrat groupe  « PROTECTION JURIDIQUE FMA SANTE » (dénommé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ci-après le Contrat Groupe) souscrit auprès de CFDP Assurances par FMA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ASSURANCES, au profi t de ses clients.</w:t>
      </w:r>
    </w:p>
    <w:p>
      <w:pPr>
        <w:autoSpaceDN w:val="0"/>
        <w:autoSpaceDE w:val="0"/>
        <w:widowControl/>
        <w:spacing w:line="257" w:lineRule="auto" w:before="38" w:after="0"/>
        <w:ind w:left="552" w:right="26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Contrat Groupe a pour objet « la prise en charge des frais de procédure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[…] de fournir des services découlant de la couverture d’assurance, en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cas de différend ou de litige opposant l’assuré à un tiers, en vue notamment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défendre ou représenter en demande l’assuré dans une procédure civile,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pénale, administrative ou autre ou contre une réclamation dont il est l’objet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d’obtenir réparation à l’amiable du dommage subi » (article L127-1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Code des Assurances).</w:t>
      </w:r>
    </w:p>
    <w:p>
      <w:pPr>
        <w:autoSpaceDN w:val="0"/>
        <w:autoSpaceDE w:val="0"/>
        <w:widowControl/>
        <w:spacing w:line="288" w:lineRule="auto" w:before="38" w:after="0"/>
        <w:ind w:left="552" w:right="0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>DEFINITIONS :</w:t>
      </w:r>
    </w:p>
    <w:p>
      <w:pPr>
        <w:autoSpaceDN w:val="0"/>
        <w:autoSpaceDE w:val="0"/>
        <w:widowControl/>
        <w:spacing w:line="257" w:lineRule="auto" w:before="28" w:after="0"/>
        <w:ind w:left="552" w:right="262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L’ASSUREUR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CFDP ASSURANCES – Entreprise d’assurances régie par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Code des Assurances, Société Anonyme au capital de 1.692.240 €, ayant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son siège social immeuble l’Europe – 62 rue de Bonnel – 69003 LYON,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immatriculée au Registre du Commerce et des Sociétés de LYON sous le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numéro 958 506 156.</w:t>
      </w:r>
    </w:p>
    <w:p>
      <w:pPr>
        <w:autoSpaceDN w:val="0"/>
        <w:autoSpaceDE w:val="0"/>
        <w:widowControl/>
        <w:spacing w:line="257" w:lineRule="auto" w:before="38" w:after="0"/>
        <w:ind w:left="552" w:right="262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LE SOUSCRIPTEUR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FMA ASSURANCES – Cabinet de courtage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d’assurances, Société par Action Simplifi ée au capital de  841.324 €, ayant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son siège social Immeuble Colisée Gardens - 8-14 Avenue de l’Arche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- 92419 Courbevoie Cedex, immatriculée au Registre du Commerce et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des Sociétés de NANTERRE sous le numéro 429 882 236 et auprès de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l’Organisme pour le Registre des Intermédiaires en Assurances (ORIAS)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sous le matricule 12 068 209.</w:t>
      </w:r>
    </w:p>
    <w:p>
      <w:pPr>
        <w:autoSpaceDN w:val="0"/>
        <w:autoSpaceDE w:val="0"/>
        <w:widowControl/>
        <w:spacing w:line="257" w:lineRule="auto" w:before="38" w:after="0"/>
        <w:ind w:left="552" w:right="262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VOUS OU LE(S) BENEFICIAIRE(S)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L’adhérent, particulier personne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physique, ayant conclu un contrat d’assurance complémentaire santé auprès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du Souscripteur, ainsi que toutes les autres personnes bénéfi ciaires désignées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au bulletin individuel d’adhésion dudit contrat d’assurance complémentaire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santé.</w:t>
      </w:r>
    </w:p>
    <w:p>
      <w:pPr>
        <w:autoSpaceDN w:val="0"/>
        <w:autoSpaceDE w:val="0"/>
        <w:widowControl/>
        <w:spacing w:line="290" w:lineRule="auto" w:before="38" w:after="0"/>
        <w:ind w:left="552" w:right="0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E TIERS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Toute personne étrangère au Contrat Groupe.</w:t>
      </w:r>
    </w:p>
    <w:p>
      <w:pPr>
        <w:autoSpaceDN w:val="0"/>
        <w:autoSpaceDE w:val="0"/>
        <w:widowControl/>
        <w:spacing w:line="259" w:lineRule="auto" w:before="28" w:after="0"/>
        <w:ind w:left="552" w:right="262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LE LITIGE OU DIFFEREND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Une situation confl ictuelle causée par un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évènement préjudiciable ou un acte répréhensible vous conduisant à faire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valoir un droit contesté, à résister à une prétention ou à vous défendre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devant une juridiction. 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Pour être couvert par le Contrat Groupe, le Litige 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ou le Différend doit être survenu et déclaré pendant la durée de votre 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adhésion audit Contrat.</w:t>
      </w:r>
    </w:p>
    <w:p>
      <w:pPr>
        <w:autoSpaceDN w:val="0"/>
        <w:autoSpaceDE w:val="0"/>
        <w:widowControl/>
        <w:spacing w:line="271" w:lineRule="auto" w:before="28" w:after="0"/>
        <w:ind w:left="552" w:right="288" w:firstLine="0"/>
        <w:jc w:val="left"/>
      </w:pP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Pour mieux identi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fi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 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er l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e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 xml:space="preserve">s 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te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rmes à déf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i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 xml:space="preserve"> nition contractuelle, ils seront 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employés avec une majuscule dans la présente notice.</w:t>
      </w:r>
    </w:p>
    <w:p>
      <w:pPr>
        <w:autoSpaceDN w:val="0"/>
        <w:autoSpaceDE w:val="0"/>
        <w:widowControl/>
        <w:spacing w:line="290" w:lineRule="auto" w:before="90" w:after="0"/>
        <w:ind w:left="552" w:right="0" w:firstLine="0"/>
        <w:jc w:val="left"/>
      </w:pPr>
      <w:r>
        <w:rPr>
          <w:rFonts w:ascii="Arial" w:hAnsi="Arial" w:eastAsia="Arial"/>
          <w:b/>
          <w:i w:val="0"/>
          <w:color w:val="58595B"/>
          <w:sz w:val="18"/>
        </w:rPr>
        <w:t>ART. 2 : L’ADHESION AU CONTRAT GROUPE</w:t>
      </w:r>
    </w:p>
    <w:p>
      <w:pPr>
        <w:autoSpaceDN w:val="0"/>
        <w:autoSpaceDE w:val="0"/>
        <w:widowControl/>
        <w:spacing w:line="262" w:lineRule="auto" w:before="20" w:after="0"/>
        <w:ind w:left="552" w:right="26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L’adhésion au Contrat Groupe est obligatoire pour tout client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Souscripteur, particulier personne physique, souscrivant auprès de lui un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contrat d’assurance complémentaire santé.</w:t>
      </w:r>
    </w:p>
    <w:p>
      <w:pPr>
        <w:autoSpaceDN w:val="0"/>
        <w:autoSpaceDE w:val="0"/>
        <w:widowControl/>
        <w:spacing w:line="259" w:lineRule="auto" w:before="38" w:after="0"/>
        <w:ind w:left="552" w:right="26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L’adhésion au Contrat Groupe prend effet à la date de prise d’effet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contrat d’assurance complémentaire santé et prend fi n en cas de résiliation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celui-ci ou en cas de résiliation du Contrat Groupe, le Souscripteur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s’engageant alors à informer l’adhérent de la fi n des garanties.</w:t>
      </w:r>
    </w:p>
    <w:p>
      <w:pPr>
        <w:autoSpaceDN w:val="0"/>
        <w:autoSpaceDE w:val="0"/>
        <w:widowControl/>
        <w:spacing w:line="290" w:lineRule="auto" w:before="98" w:after="0"/>
        <w:ind w:left="552" w:right="0" w:firstLine="0"/>
        <w:jc w:val="left"/>
      </w:pPr>
      <w:r>
        <w:rPr>
          <w:rFonts w:ascii="Arial" w:hAnsi="Arial" w:eastAsia="Arial"/>
          <w:b/>
          <w:i w:val="0"/>
          <w:color w:val="58595B"/>
          <w:sz w:val="18"/>
        </w:rPr>
        <w:t>ART. 3 : LES PRESTATIONS DE L’ASSUREUR</w:t>
      </w:r>
    </w:p>
    <w:p>
      <w:pPr>
        <w:sectPr>
          <w:type w:val="continuous"/>
          <w:pgSz w:w="11906" w:h="16838"/>
          <w:pgMar w:top="0" w:right="0" w:bottom="220" w:left="14" w:header="720" w:footer="720" w:gutter="0"/>
          <w:cols w:num="2" w:equalWidth="0">
            <w:col w:w="5960" w:space="0"/>
            <w:col w:w="5931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262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 la suite d’une déclaration de Litige, l’Assureur s’engage à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Vous conseiller et Vous accompagner dans les démarches à entreprendre,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Vous assister dans la rédaction de vos courriers de réclamation,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Vous aider à réunir les pièces et témoignages nécessaires à la constitution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 votre dossier,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intervenir directement auprès du Tiers afi n d’obtenir une solution négociée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et amiable,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Vous faire assister et soutenir par des experts ou des sachants lorsque la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spécifi cité de la matière le nécessite et que cela est utile à la résolution de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votre Litige,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prendre en charge, dans la limite des plafonds contractuels garantis, 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frais et honoraires d’experts et de sachants, voire ceux de votre avocat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lorsque votre adversaire est lui-même défendu dans les mêmes conditions,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Vous proposer une médiation indépendante des parties. Le médiateur sera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désigné sur une liste par une association ou un groupement professionnel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sur demande de l’Assureur et avec votre acceptation. Il prendra contact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avec les parties, les réunira et les mettra en condition de trouver par elles-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mêmes la solution au Litige en cours.</w:t>
      </w:r>
    </w:p>
    <w:p>
      <w:pPr>
        <w:autoSpaceDN w:val="0"/>
        <w:autoSpaceDE w:val="0"/>
        <w:widowControl/>
        <w:spacing w:line="259" w:lineRule="auto" w:before="38" w:after="0"/>
        <w:ind w:left="262" w:right="526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Toutes vos demandes sont traitées dans un délai maximum de trois (3)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jours ouvrés. Bien entendu, en cas d’accord amiable, l’Assureur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accompagne jusqu’à sa mise en œuvre effective.</w:t>
      </w:r>
    </w:p>
    <w:p>
      <w:pPr>
        <w:autoSpaceDN w:val="0"/>
        <w:autoSpaceDE w:val="0"/>
        <w:widowControl/>
        <w:spacing w:line="259" w:lineRule="auto" w:before="10" w:after="0"/>
        <w:ind w:left="262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gestion amiable du Litige est réalisée dans un délai de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six (6) mois à compter de la date de la première intervention des services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 l’Assureur,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ou un (1) an si une expertise contradictoire s’est avérée nécessaire.</w:t>
      </w:r>
    </w:p>
    <w:p>
      <w:pPr>
        <w:autoSpaceDN w:val="0"/>
        <w:autoSpaceDE w:val="0"/>
        <w:widowControl/>
        <w:spacing w:line="257" w:lineRule="auto" w:before="10" w:after="0"/>
        <w:ind w:left="262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 l’issue de ce délai, il Vous est soumis le choix, soit :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de poursuivre la tentative de résolution amiable,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de transmettre le dossier à l’avocat de votre choix pour engager 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démarches judiciaires utiles,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d’abandonner le recours.</w:t>
      </w:r>
    </w:p>
    <w:p>
      <w:pPr>
        <w:autoSpaceDN w:val="0"/>
        <w:autoSpaceDE w:val="0"/>
        <w:widowControl/>
        <w:spacing w:line="257" w:lineRule="auto" w:before="36" w:after="0"/>
        <w:ind w:left="262" w:right="432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 xml:space="preserve">3/4 L’accompagnement dans la phase judiciaire :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Lorsque toute tentative de résolution du Litige sur un terrain amiable 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échoué, l’Assureur s’engage à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■ Vous faire représenter par l’auxiliaire de justice de votre choix.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Conformément à l’article L127-3 du Code des Assurances, lorsque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faites appel à un avocat ou toute autre personne qualifi ée par la législation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la réglementation en vigueur pour Vous défendre, Vous représenter ou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servir vos intérêts, Vous avez la liberté de le choisir.</w:t>
      </w:r>
    </w:p>
    <w:p>
      <w:pPr>
        <w:autoSpaceDN w:val="0"/>
        <w:autoSpaceDE w:val="0"/>
        <w:widowControl/>
        <w:spacing w:line="262" w:lineRule="auto" w:before="0" w:after="0"/>
        <w:ind w:left="262" w:right="526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Si Vous n’en connaissez pas, Vous pouvez Vous rapprocher de l’Ordre des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Avocats du Barreau compétent ou demander par écrit à l’Assureur de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communiquer les coordonnées d’un avocat.</w:t>
      </w:r>
    </w:p>
    <w:p>
      <w:pPr>
        <w:autoSpaceDN w:val="0"/>
        <w:autoSpaceDE w:val="0"/>
        <w:widowControl/>
        <w:spacing w:line="257" w:lineRule="auto" w:before="0" w:after="0"/>
        <w:ind w:left="262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Vous avez la maîtrise de la direction du procès en concertation avec l’avocat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que Vous avez choisi. L’Assureur reste néanmoins à votre disposition ou à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celle de votre avocat pour Vous apporter l’assistance dont Vous auriez besoin.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Lors de la saisine de l’avocat, celui-ci est tenu en application des règles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déontologiques de sa profession, de Vous faire signer une convention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d’honoraires afi n de Vous informer des modalités de détermination de ses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honoraires et de l’évolution prévisible de leur montant.</w:t>
      </w:r>
    </w:p>
    <w:p>
      <w:pPr>
        <w:autoSpaceDN w:val="0"/>
        <w:tabs>
          <w:tab w:pos="376" w:val="left"/>
        </w:tabs>
        <w:autoSpaceDE w:val="0"/>
        <w:widowControl/>
        <w:spacing w:line="257" w:lineRule="auto" w:before="0" w:after="38"/>
        <w:ind w:left="262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■ prendre en charge sur présentation de justifi catifs, dans la limite des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montants contractuels garantis et dans celle des frais réellement exposés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-les frais et honoraires des avocats et experts,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-les frais de procès comprenant notamment les frais d’huissiers,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d’expertise judiciaire, la taxe d’appel...</w:t>
      </w:r>
    </w:p>
    <w:p>
      <w:pPr>
        <w:sectPr>
          <w:type w:val="nextColumn"/>
          <w:pgSz w:w="11906" w:h="16838"/>
          <w:pgMar w:top="0" w:right="0" w:bottom="220" w:left="14" w:header="720" w:footer="720" w:gutter="0"/>
          <w:cols w:num="2" w:equalWidth="0">
            <w:col w:w="5960" w:space="0"/>
            <w:col w:w="593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6.0" w:type="dxa"/>
      </w:tblPr>
      <w:tblGrid>
        <w:gridCol w:w="3964"/>
        <w:gridCol w:w="3964"/>
        <w:gridCol w:w="3964"/>
      </w:tblGrid>
      <w:tr>
        <w:trPr>
          <w:trHeight w:hRule="exact" w:val="186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0" w:after="0"/>
              <w:ind w:left="286" w:right="144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3/1 L’assistance téléphonique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numéro qui Vous est dédié, l’Assureur s’engage à Vous écouter et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Par principe, Vous faites l’avance des frais et honoraires et l’Assureur Vous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6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rembourse sur justifi catifs le montant des factures réglées dans la limite 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des montants contractuels garantis. Si la convention d’honoraires le prévoit 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Vous fournir par téléphone des renseignements juridiques relevant du droit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si Vous en faites la demande, l’Assureur peut procéder directement 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français et se rapportant aux garanties de protection juridique décrites dans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règlement de la facture adressée par l’avocat, et ce dans la limite des 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la présente notice.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montants contractuels garantis.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Des juristes qualifi és sont à votre écoute pour :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Qu’il s’agisse d’un paiement direct ou d’un remboursement, le règlement de 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Répondre à vos interrogations,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sera effectué au plus tard trente (30) jours après réception des 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Vous informer sur vos droits,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justifi catifs, et interviendra Toutes Taxes Comprises.</w:t>
            </w:r>
          </w:p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Vous proposer des solutions concrètes,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Envisager avec Vous, dans le cadre d’un accompagnement personnalisé,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la suite à donner à votre diffi culté.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8.0" w:type="dxa"/>
            </w:tblPr>
            <w:tblGrid>
              <w:gridCol w:w="5680"/>
            </w:tblGrid>
            <w:tr>
              <w:trPr>
                <w:trHeight w:hRule="exact" w:val="174"/>
              </w:trPr>
              <w:tc>
                <w:tcPr>
                  <w:tcW w:type="dxa" w:w="5102"/>
                  <w:tcBorders/>
                  <w:shd w:fill="d0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left"/>
                  </w:pPr>
                  <w:r>
                    <w:rPr>
                      <w:w w:val="102.66666412353516"/>
                      <w:rFonts w:ascii="Arial" w:hAnsi="Arial" w:eastAsia="Arial"/>
                      <w:b/>
                      <w:i w:val="0"/>
                      <w:color w:val="58595B"/>
                      <w:sz w:val="15"/>
                    </w:rPr>
                    <w:t>QUE FAIRE EN CAS DE BESOIN D’ASSISTANCE JURIDIQUE ?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964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286" w:right="144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Contactez l’Assureur au : 04 68 57 42 82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L’accès au service s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e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 f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it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 d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 lundi au vendredi de 09H00 à 12H30 et de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14H à 18H.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4" w:after="0"/>
              <w:ind w:left="286" w:right="144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3/2 Un accueil sur rendez-vous au plus proche de vous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Sur simple demande, il Vous sera possible de rencontrer des juristes dans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9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1</w:t>
            </w:r>
          </w:p>
        </w:tc>
      </w:tr>
      <w:tr>
        <w:trPr>
          <w:trHeight w:hRule="exact" w:val="19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délégation la plus proche parmi les quarante (40) implantations réparties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sur tout le territoire.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offre un maillage inégalé du territoire afi n de Vous permettre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d’être parfaitement accompagné où que Vous Vous trouviez.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Il Vous suffi t de contacter votre interlocuteur afi n de déterminer avec lui une 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8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date et un horaire qui permettront une rencontre dans les meilleurs délais.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72" w:after="0"/>
              <w:ind w:left="286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>3/3 La gestion amiable :</w:t>
            </w:r>
          </w:p>
        </w:tc>
        <w:tc>
          <w:tcPr>
            <w:tcW w:type="dxa" w:w="3964"/>
            <w:vMerge/>
            <w:tcBorders/>
          </w:tcPr>
          <w:p/>
        </w:tc>
        <w:tc>
          <w:tcPr>
            <w:tcW w:type="dxa" w:w="39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0" w:right="0" w:bottom="220" w:left="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3949700</wp:posOffset>
            </wp:positionH>
            <wp:positionV relativeFrom="page">
              <wp:posOffset>1790700</wp:posOffset>
            </wp:positionV>
            <wp:extent cx="3251200" cy="624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24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3"/>
        <w:gridCol w:w="1383"/>
        <w:gridCol w:w="1383"/>
        <w:gridCol w:w="1383"/>
        <w:gridCol w:w="1383"/>
        <w:gridCol w:w="1383"/>
        <w:gridCol w:w="1383"/>
        <w:gridCol w:w="1383"/>
      </w:tblGrid>
      <w:tr>
        <w:trPr>
          <w:trHeight w:hRule="exact" w:val="938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2834"/>
              <w:gridCol w:w="2834"/>
            </w:tblGrid>
            <w:tr>
              <w:trPr>
                <w:trHeight w:hRule="exact" w:val="362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7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de Police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9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Tribunal Correctionnel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893 €</w:t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Commissions diverses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6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d’Instance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8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850 €</w:t>
                  </w:r>
                </w:p>
              </w:tc>
            </w:tr>
            <w:tr>
              <w:trPr>
                <w:trHeight w:hRule="exact" w:val="626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12" w:after="0"/>
                    <w:ind w:left="80" w:right="1296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de Grande Instance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Administratif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Autres juridictions du premier degré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1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1 116 €</w:t>
                  </w:r>
                </w:p>
              </w:tc>
            </w:tr>
            <w:tr>
              <w:trPr>
                <w:trHeight w:hRule="exact" w:val="708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76" w:after="0"/>
                    <w:ind w:left="80" w:right="86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Conseils de Prud’hommes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231F20"/>
                      <w:sz w:val="14"/>
                    </w:rPr>
                    <w:t xml:space="preserve"> :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Référé, Bureau de Conciliation, Départage</w:t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Bureau de Jugement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70" w:after="0"/>
                    <w:ind w:left="432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</w:t>
                  </w:r>
                  <w:r>
                    <w:rPr>
                      <w:w w:val="102.66666412353516"/>
                      <w:rFonts w:ascii="ArialMT" w:hAnsi="ArialMT" w:eastAsia="ArialMT"/>
                      <w:b w:val="0"/>
                      <w:i w:val="0"/>
                      <w:color w:val="58595B"/>
                      <w:sz w:val="15"/>
                    </w:rPr>
                    <w:t>€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837€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Référé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670 €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Incidents d’instance et demandes incidentes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670 €</w:t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Ordonnance sur requête (forfait)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446 €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0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Cour ou juridiction d’Appel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1 817 €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0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Recours devant le premier Président de la Cour d’Appel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2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624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10" w:after="0"/>
                    <w:ind w:left="80" w:right="2448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Cour de Cassation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Conseil d’Etat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Cour d’Assises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0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2 200 €</w:t>
                  </w:r>
                </w:p>
              </w:tc>
            </w:tr>
            <w:tr>
              <w:trPr>
                <w:trHeight w:hRule="exact" w:val="418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" w:after="0"/>
                    <w:ind w:left="80" w:right="144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Juridictions de l’Union Européenne</w:t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Juridictions Etrangères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1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1 116 €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3856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" w:after="0"/>
                    <w:ind w:left="0" w:right="2304" w:firstLine="0"/>
                    <w:jc w:val="center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Juge de l’exécution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Juge de l’exequatur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118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670 €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8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4/3 Les organismes sociaux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Vous êtes victime d’un accident, d’une agression ou êtes malade et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rencontrez des diffi cultés pour faire valoir ou respecter vos droits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avec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votre employeur,</w:t>
            </w:r>
          </w:p>
        </w:tc>
        <w:tc>
          <w:tcPr>
            <w:tcW w:type="dxa" w:w="160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services publics ou privés gestionnaires des régimes de sécurité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sociale, des régimes complémentaires ou des prestations familiales,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une MDPH, la CNSA...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compagnies d’assurances ou les établissements bancaires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gestionnaires de vos contrats de prévoyance ou de vos contrats de prêts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assortis de garanties « indemnités journalières » ou « invalidité »,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2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...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5 : LES EXCLUSIONS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39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L’ASSUREUR N’INTERVIENT JAMAIS POUR LES LITIGES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NE RELEVANT PAS DE VOTRE VIE PRIVEE, OU PLUS GENERALEMENT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NE RELEVANT PAS DES GARANTIES EXPRESSEMENT DECRITES A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L’ARTICLE 4,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TROUVANT LEUR ORIGINE DANS UNE GUERRE CIVILE OU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8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ETRANGERE, UNE EMEUTE, UN MOUVEMENT POPULAIRE, UNE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MANIFESTATION, UNE RIXE, UN ATTENTAT, UN ACTE DE VANDALISME,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 SABOTAGE OU DE TERRORISME,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DONT LES MANIFESTATIONS INITIALES SONT ANTERIEURES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CONNUES DE VOUS A LA PRISE D’EFFET DE L’ADHESION AU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PRESENT CONTRAT GROUPE,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EN RAPPORT AVEC UNE VIOLATION INTENTIONNELLE DES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3"/>
            <w:vMerge/>
            <w:tcBorders/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OBLIGATIONS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LEGALES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INCONTESTABLES,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FAUTE,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UN ACTE FRAUDULEUX OU DOLOSIF QUE VOUS AVEZ COMMIS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VOLONTAIREMENT CONTRE LES BIENS OU LES PERSONNES EN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92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2834"/>
              <w:gridCol w:w="2834"/>
            </w:tblGrid>
            <w:tr>
              <w:trPr>
                <w:trHeight w:hRule="exact" w:val="262"/>
              </w:trPr>
              <w:tc>
                <w:tcPr>
                  <w:tcW w:type="dxa" w:w="5100"/>
                  <w:gridSpan w:val="2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38" w:after="0"/>
                    <w:ind w:left="8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58595B"/>
                      <w:sz w:val="14"/>
                    </w:rPr>
                    <w:t>PLAFONDS, FRANCHISE et SEUIL D’INTERVENTION en TTC</w:t>
                  </w:r>
                </w:p>
              </w:tc>
            </w:tr>
            <w:tr>
              <w:trPr>
                <w:trHeight w:hRule="exact" w:val="948"/>
              </w:trPr>
              <w:tc>
                <w:tcPr>
                  <w:tcW w:type="dxa" w:w="346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50" w:val="left"/>
                    </w:tabs>
                    <w:autoSpaceDE w:val="0"/>
                    <w:widowControl/>
                    <w:spacing w:line="254" w:lineRule="auto" w:before="34" w:after="0"/>
                    <w:ind w:left="80" w:right="288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Plafond maximum de prise en charge par litige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(U.E., Andorre ou Monaco) :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Dont plafond pour :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- Démarches amiables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- Expertise Judiciaire</w:t>
                  </w:r>
                </w:p>
              </w:tc>
              <w:tc>
                <w:tcPr>
                  <w:tcW w:type="dxa" w:w="1632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214" w:after="0"/>
                    <w:ind w:left="432" w:right="53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22 313 €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5 419 €</w:t>
                  </w:r>
                </w:p>
              </w:tc>
            </w:tr>
            <w:tr>
              <w:trPr>
                <w:trHeight w:hRule="exact" w:val="418"/>
              </w:trPr>
              <w:tc>
                <w:tcPr>
                  <w:tcW w:type="dxa" w:w="346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20" w:after="0"/>
                    <w:ind w:left="80" w:right="144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Plafond maximum de prise en charge par Litige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(hors U.E., Andorre ou Monaco) </w:t>
                  </w:r>
                </w:p>
              </w:tc>
              <w:tc>
                <w:tcPr>
                  <w:tcW w:type="dxa" w:w="1632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16" w:after="0"/>
                    <w:ind w:left="0" w:right="53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2 789 €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46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Seuil d’intervention </w:t>
                  </w:r>
                </w:p>
              </w:tc>
              <w:tc>
                <w:tcPr>
                  <w:tcW w:type="dxa" w:w="1632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53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0 €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346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0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Franchise</w:t>
                  </w:r>
                </w:p>
              </w:tc>
              <w:tc>
                <w:tcPr>
                  <w:tcW w:type="dxa" w:w="1632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53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0 €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PLEINE CONSCIENCE DE LEURS CONSEQUENCES DOMMAGEABLES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ET NUISIBLES,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GARANTIS PAR UNE ASSURANCE DOMMAGES OU RESPONSABILITE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CIVILE ET CEUX RELEVANT DU DEFAUT DE SOUSCRIPTION PAR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VOUS D’UNE ASSURANCE OBLIGATOIRE,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SURVENANT LORSQUE VOUS ETES  EN ETAT D’IVRESSE PUBLIQUE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MANIFESTE OU LORSQUE LE TAUX D’ALCOOLEMIE EST EGAL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SUPERIEUR A CELUI LEGALEMENT ADMIS DANS LE PAYS OU A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LIEU LE SINISTRE, OU SOUS L’INFLUENCE DE SUBSTANCES OU DE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PLANTES CLASSEES COMME STUPEFIANTS OU LORSQUE VOUS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REFUSEZ DE VOUS SOUMETTRE A UN DEPISTAGE,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2" w:after="0"/>
              <w:ind w:left="6" w:right="432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Les montants sont cumulables et représentent le maximum des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engagements par intervention ou juridiction.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VOUS OPPOSANT AU SOUSCRIPTEUR.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7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8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L’ASSUREUR NE PREND JAMAIS EN CHARGE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FRAIS ENGAGÉS SANS L’ACCORD PRÉALABLE DE L’ASSUREUR,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44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6" w:right="516" w:firstLine="0"/>
              <w:jc w:val="both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Ces montants comprennent les frais habituels inhérents à la gestion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d’un dossier (frais de copie, de téléphone, de déplacement,  de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postulation, etc…) et constituent la limite de la prise en charge même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en cas de pluralité ou de changement d’avocat.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SAUF URGENCE CARACTERISÉE NÉCESSITANT LA PRISE IMMÉDIATE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D’UNE MESURE CONSERVATOIRE,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TOUTE SOMME DE TOUTE NATURE DUE À TITRE PRINCIPAL, LES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AMENDES, LES CAUTIONS, LES CONSIGNATIONS PÉNALES, LES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6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Les honoraires sont réglés une fois la prestation effectuée.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6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ASTREINTES, LES INTÉRÊTS ET PÉNALITÉS DE RETARD,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14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6" w:right="432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La subrogation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indemnités qui pourraient Vous être allouées au titre des articles 700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FRAIS DE RÉDACTION D’ACTES ET DE CONTRATS,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5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FRAIS DESTINÉS À PROUVER LA RÉALITÉ DE VOTRE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1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du Code de Procédure Civile, 375 et 475-1 du Code de Procédure Pénale,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PRÉJUDICE,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L761-1 du Code de Justice Administrative ou leurs équivalents devant les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FRAIS D’IDENTIFICATION OU DE RECHERCHE DE VOTRE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juridictions étrangères, ainsi que les dépens et autres frais de procédure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ADVERSAIRE,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Vous bénéfi cient par priorité pour les dépenses dûment justifi ées restées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FRAIS EXPOSÉS AU TITRE DE MESURES CONSERVATOIRES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à votre charge, et subsidiairement à l’Assureur dans la limite des sommes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OU ENGAGÉS À VOTRE INITIATIVE,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8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qu’il a engagées.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DÉPENS ET FRAIS DE JUSTICE EXPOSÉS PAR LA PARTIE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6" w:right="432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3/5 Le suivi jusqu’à la parfaite execution des décisions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Parce qu’un Litige ne se termine pas à la délivrance d’une décision de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ADVERSE QUE VOUS DEVEZ SUPPORTER PAR DÉCISION JUDICIAIRE,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SOMMES AU PAIEMENT DESQUELLES VOUS ÊTES CONDAMNÉ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TITRE DES ARTICLES 700 DU CODE DE PROCÉDURE CIVILE,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96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justice, l’Assureur Vous accompagne jusqu’à sa parfaite exécution, soit à 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9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375 ET 475-1 DU CODE DE PROCÉDURE PÉNALE, L761-1 DU CODE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8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l’amiable, soit par la saisine d’un huissier territorialement compétent.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JUSTICE ADMINISTRATIVE, AINSI QUE DE LEURS ÉQUIVALENTS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prend en charge les frais et honoraires de cet huissier dans la 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34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DEVANT LES JURIDICTIONS ÉTRANGÈRES,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limite des plafonds contractuels garantis jusqu’à votre total désintéressement.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SOMMES DONT VOUS ÊTES LÉGALEMENT REDEVABLE AU 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8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L’intervention de l’Assureur cesse en cas d’insolvabilité notoire de votre 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67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TITRE DE DROITS PROPORTIONNELS,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3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débiteur constatée par un procès-verbal de carence dressé par huissier, </w:t>
            </w:r>
          </w:p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HONORAIRES DE RÉSULTAT DE TOUT AUXILIAIRE DE JUSTICE.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4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d’incarcération de votre débiteur, par sa liquidation judiciaire, ou lorsqu’il est 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16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6 : LA DECLARATION DES SINISTRES</w:t>
            </w:r>
          </w:p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50"/>
        </w:trPr>
        <w:tc>
          <w:tcPr>
            <w:tcW w:type="dxa" w:w="5668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sans domicile f xe.</w:t>
            </w:r>
          </w:p>
        </w:tc>
        <w:tc>
          <w:tcPr>
            <w:tcW w:type="dxa" w:w="8298"/>
            <w:gridSpan w:val="6"/>
            <w:vMerge/>
            <w:tcBorders>
              <w:bottom w:sz="6.0" w:val="single" w:color="#57585A"/>
            </w:tcBorders>
          </w:tcPr>
          <w:p/>
        </w:tc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70"/>
        </w:trPr>
        <w:tc>
          <w:tcPr>
            <w:tcW w:type="dxa" w:w="5668"/>
            <w:tcBorders>
              <w:top w:sz="6.0" w:val="single" w:color="#57585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12"/>
            <w:gridSpan w:val="6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Pour déclarer votre sinistre, Vous devez adresser à l’Assureur :</w:t>
            </w:r>
          </w:p>
        </w:tc>
        <w:tc>
          <w:tcPr>
            <w:tcW w:type="dxa" w:w="160"/>
            <w:vMerge w:val="restart"/>
            <w:tcBorders>
              <w:top w:sz="6.0" w:val="single" w:color="#57585A"/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0"/>
        </w:trPr>
        <w:tc>
          <w:tcPr>
            <w:tcW w:type="dxa" w:w="5668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50" w:after="0"/>
              <w:ind w:left="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4 : LES GARANTIES DE L’ASSUREUR</w:t>
            </w:r>
          </w:p>
        </w:tc>
        <w:tc>
          <w:tcPr>
            <w:tcW w:type="dxa" w:w="8298"/>
            <w:gridSpan w:val="6"/>
            <w:vMerge/>
            <w:tcBorders>
              <w:top w:sz="6.0" w:val="single" w:color="#57585A"/>
            </w:tcBorders>
          </w:tcPr>
          <w:p/>
        </w:tc>
        <w:tc>
          <w:tcPr>
            <w:tcW w:type="dxa" w:w="1383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77"/>
        </w:trPr>
        <w:tc>
          <w:tcPr>
            <w:tcW w:type="dxa" w:w="1383"/>
            <w:vMerge/>
            <w:tcBorders>
              <w:bottom w:sz="6.0" w:val="single" w:color="#57585A"/>
            </w:tcBorders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la description de la nature et des circonstances de votre Litige avec la plus </w:t>
            </w:r>
          </w:p>
        </w:tc>
        <w:tc>
          <w:tcPr>
            <w:tcW w:type="dxa" w:w="1383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203"/>
        </w:trPr>
        <w:tc>
          <w:tcPr>
            <w:tcW w:type="dxa" w:w="5668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6" w:right="432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4/1 L’agression et l’atteinte à l’intégrité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Vous êtes victime d’une agression ou d’une atteinte accidentelle à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votre intégrité physique et/ou morale et souhaitez être assisté et faire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valoir vos droits à l’encontre du Tiers responsable de votre préjudice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.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grande précision et sincérité,</w:t>
            </w:r>
          </w:p>
        </w:tc>
        <w:tc>
          <w:tcPr>
            <w:tcW w:type="dxa" w:w="16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éléments établissant la réalité du préjudice que Vous alléguez,</w:t>
            </w:r>
          </w:p>
        </w:tc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4"/>
        </w:trPr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coordonnées de votre adversaire,</w:t>
            </w:r>
          </w:p>
        </w:tc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et toutes les pièces et informations utiles à l’instruction de votre dossier </w:t>
            </w:r>
          </w:p>
        </w:tc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telles qu’avis, lettres, convocations, actes d’huissier, assignations…</w:t>
            </w:r>
          </w:p>
        </w:tc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6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>4/2 Le recours médical et pharmaceutique :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40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" w:after="0"/>
              <w:ind w:left="6" w:right="516" w:firstLine="0"/>
              <w:jc w:val="both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Vous êtes victime d’une erreur médicale, d’un retard ou d’une erreur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de diagnostic, d’une infection nosocomiale ou d’un défaut de conseil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d’un praticien à l’occasion d’une maladie, d’une hospitalisation ou </w:t>
            </w:r>
          </w:p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682" w:type="dxa"/>
            </w:tblPr>
            <w:tblGrid>
              <w:gridCol w:w="5212"/>
            </w:tblGrid>
            <w:tr>
              <w:trPr>
                <w:trHeight w:hRule="exact" w:val="386"/>
              </w:trPr>
              <w:tc>
                <w:tcPr>
                  <w:tcW w:type="dxa" w:w="5102"/>
                  <w:tcBorders/>
                  <w:shd w:fill="d0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8" w:after="0"/>
                    <w:ind w:left="0" w:right="0" w:firstLine="0"/>
                    <w:jc w:val="left"/>
                  </w:pPr>
                  <w:r>
                    <w:rPr>
                      <w:w w:val="102.66666412353516"/>
                      <w:rFonts w:ascii="Arial" w:hAnsi="Arial" w:eastAsia="Arial"/>
                      <w:b/>
                      <w:i w:val="0"/>
                      <w:color w:val="58595B"/>
                      <w:sz w:val="15"/>
                    </w:rPr>
                    <w:t>COMMENT CONTACTER VOTRE ASSUREUR ?</w:t>
                  </w:r>
                </w:p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w w:val="102.66666412353516"/>
                      <w:rFonts w:ascii="ArialMT" w:hAnsi="ArialMT" w:eastAsia="ArialMT"/>
                      <w:b w:val="0"/>
                      <w:i w:val="0"/>
                      <w:color w:val="58595B"/>
                      <w:sz w:val="15"/>
                    </w:rPr>
                    <w:t>Par courrier à : Cfdp Assurances – CS 60011 – 66028 PERPIGNAN CEDEX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8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Par mail à : fma-sante@cfdp.fr</w:t>
            </w:r>
          </w:p>
        </w:tc>
        <w:tc>
          <w:tcPr>
            <w:tcW w:type="dxa" w:w="1383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6" w:right="432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de tous soins ou examens médicaux et souhaitez être assisté et faire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valoir vos droits face à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 établissement de soins public ou privé ;</w:t>
            </w:r>
          </w:p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4" w:after="0"/>
              <w:ind w:left="8" w:right="58" w:firstLine="0"/>
              <w:jc w:val="both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En cas de fausse déclaration intentionnelle de votre part sur la cause,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les circonstances ou encore les conséquences du Litige, Vous pouvez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être déchu de vos droits à garantie, voire encourir des sanctions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pénales.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2</w:t>
            </w:r>
          </w:p>
        </w:tc>
      </w:tr>
      <w:tr>
        <w:trPr>
          <w:trHeight w:hRule="exact" w:val="182"/>
        </w:trPr>
        <w:tc>
          <w:tcPr>
            <w:tcW w:type="dxa" w:w="5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 professionnel de santé ;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l’ONIAM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Vous devez déclarer votre Litige dès que vous en avez connaissance, </w:t>
            </w:r>
          </w:p>
        </w:tc>
        <w:tc>
          <w:tcPr>
            <w:tcW w:type="dxa" w:w="138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6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-…</w:t>
            </w:r>
          </w:p>
        </w:tc>
        <w:tc>
          <w:tcPr>
            <w:tcW w:type="dxa" w:w="8298"/>
            <w:gridSpan w:val="6"/>
            <w:vMerge/>
            <w:tcBorders/>
          </w:tcPr>
          <w:p/>
        </w:tc>
        <w:tc>
          <w:tcPr>
            <w:tcW w:type="dxa" w:w="138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83"/>
            <w:vMerge/>
            <w:tcBorders/>
          </w:tcPr>
          <w:p/>
        </w:tc>
        <w:tc>
          <w:tcPr>
            <w:tcW w:type="dxa" w:w="52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sauf cas de force majeure. Néanmoins, l’Assureur ne Vous opposera pas </w:t>
            </w:r>
          </w:p>
        </w:tc>
        <w:tc>
          <w:tcPr>
            <w:tcW w:type="dxa" w:w="13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62" w:right="282" w:bottom="312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"/>
        <w:ind w:left="0" w:right="0"/>
      </w:pPr>
    </w:p>
    <w:p>
      <w:pPr>
        <w:sectPr>
          <w:pgSz w:w="11906" w:h="16838"/>
          <w:pgMar w:top="262" w:right="282" w:bottom="312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6" w:right="14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déchéance de garantie pour déclaration tardive sauf s’il prouve que le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retard dans la déclaration lui a causé un préjudice.</w:t>
      </w:r>
    </w:p>
    <w:p>
      <w:pPr>
        <w:autoSpaceDN w:val="0"/>
        <w:autoSpaceDE w:val="0"/>
        <w:widowControl/>
        <w:spacing w:line="257" w:lineRule="auto" w:before="8" w:after="0"/>
        <w:ind w:left="6" w:right="26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Dans votre propre intérêt, évitez de prendre une initiative sans concertation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préalable avec l’Assureur : si Vous prenez une mesure, de quelque nature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qu’elle soit, mandatez un avocat ou tout autre auxiliaire de justice, expert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sachant, avant d’en avoir avisé l’Assureur et obtenu son accord écrit, 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frais exposés resteront à votre charge.</w:t>
      </w:r>
    </w:p>
    <w:p>
      <w:pPr>
        <w:autoSpaceDN w:val="0"/>
        <w:autoSpaceDE w:val="0"/>
        <w:widowControl/>
        <w:spacing w:line="257" w:lineRule="auto" w:before="10" w:after="0"/>
        <w:ind w:left="6" w:right="26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Néanmoins, si Vous justifiez d’une situation d’urgence caractérisée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nécessitant la prise immédiate d’une mesure conservatoire, l’Assureur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remboursera, dans la limite des montants contractuels garantis, les frais et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honoraires des intervenants que Vous avez mandatés, sans avoir obtenu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son accord préalable.</w:t>
      </w:r>
    </w:p>
    <w:p>
      <w:pPr>
        <w:autoSpaceDN w:val="0"/>
        <w:autoSpaceDE w:val="0"/>
        <w:widowControl/>
        <w:spacing w:line="290" w:lineRule="auto" w:before="98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58595B"/>
          <w:sz w:val="18"/>
        </w:rPr>
        <w:t>ART. 7 : L’APPLICATION DES GARANTIES</w:t>
      </w:r>
    </w:p>
    <w:p>
      <w:pPr>
        <w:autoSpaceDN w:val="0"/>
        <w:autoSpaceDE w:val="0"/>
        <w:widowControl/>
        <w:spacing w:line="290" w:lineRule="auto" w:before="74" w:after="0"/>
        <w:ind w:left="6" w:right="0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>7/1 L’application dans le temps :</w:t>
      </w:r>
    </w:p>
    <w:p>
      <w:pPr>
        <w:sectPr>
          <w:type w:val="continuous"/>
          <w:pgSz w:w="11906" w:h="16838"/>
          <w:pgMar w:top="262" w:right="282" w:bottom="312" w:left="560" w:header="720" w:footer="720" w:gutter="0"/>
          <w:cols w:num="2" w:equalWidth="0">
            <w:col w:w="5414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-ou par courrier : Cfdp Service Relation Client – Immeuble l’Europe, 62 rue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Bonnel 69003 Lyon Cedex. </w:t>
      </w:r>
    </w:p>
    <w:p>
      <w:pPr>
        <w:autoSpaceDN w:val="0"/>
        <w:autoSpaceDE w:val="0"/>
        <w:widowControl/>
        <w:spacing w:line="262" w:lineRule="auto" w:before="8" w:after="0"/>
        <w:ind w:left="262" w:right="244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 compter de la réception de la réclamation, l’Assureur s’engage à en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accuser réception sous dix (10) jours ouvrables, et, en tout état de cause, à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traiter dans un délai maximum de deux (2) mois.</w:t>
      </w:r>
    </w:p>
    <w:p>
      <w:pPr>
        <w:autoSpaceDN w:val="0"/>
        <w:autoSpaceDE w:val="0"/>
        <w:widowControl/>
        <w:spacing w:line="298" w:lineRule="auto" w:before="10" w:after="14"/>
        <w:ind w:left="262" w:right="14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Si aucune solution n’a pu être trouvée dans le cadre de la réclamation,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pouvez saisir gratuitement notre Médiateur de la consommation dont voici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les coordonnées :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Médiation de l’Assurance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TSA 50110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75441 Paris Cedex 09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http://www.mediation-assurance.org/Saisir+le+mediateur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L’Assureur s’engage par avance à accepter la position qui sera prise par la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Médiation de l’Assurance.</w:t>
      </w:r>
    </w:p>
    <w:p>
      <w:pPr>
        <w:sectPr>
          <w:type w:val="nextColumn"/>
          <w:pgSz w:w="11906" w:h="16838"/>
          <w:pgMar w:top="262" w:right="282" w:bottom="312" w:left="560" w:header="720" w:footer="720" w:gutter="0"/>
          <w:cols w:num="2" w:equalWidth="0">
            <w:col w:w="5414" w:space="0"/>
            <w:col w:w="56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8"/>
        <w:gridCol w:w="3688"/>
        <w:gridCol w:w="3688"/>
      </w:tblGrid>
      <w:tr>
        <w:trPr>
          <w:trHeight w:hRule="exact" w:val="37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6" w:right="144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La durée de la garantie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Sous réserve du paiement de la prime, les garanties du Contrat Groupe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276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8/4 Le désaccord ou l’arbitrage (article L127-4 du Code des </w:t>
            </w: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Assurances)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 cas de désaccord entre Vous et l’Assureur au sujet de mesures à prendre </w:t>
            </w:r>
          </w:p>
        </w:tc>
        <w:tc>
          <w:tcPr>
            <w:tcW w:type="dxa" w:w="160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suivent le sort de l’adhésion du(des) Bénéficiaire(s) au contrat d’assurance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3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complémentaire santé conclu auprès du Souscripteur, auquel elles sont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pour régler un Litige, cette difficulté peut être soumise à l’appréciation d’une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9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annexées.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tierce personne désignée d’un commun accord par les parties ou, à défaut, par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9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Elles prennent effet dès l’adhésion et sont applicables pendant toute la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le Président du Tribunal de Grande Instance statuant en la forme des référés.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1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durée de l’adhésion, sauf pendant les périodes de suspension du contrat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frais exposés pour la mise en œuvre de cette faculté sont à la charge de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0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d’assurance complémentaire santé conclu auprès du Souscripteur.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; toutefois, le Président du Tribunal de Grande Instance, statuant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6" w:right="144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La prescription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prescription est l’extinction d’un droit résultant de l’inaction de son titulaire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 la forme des référés, peut en décider autrement lorsque Vous avez mis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11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en œuvre cette faculté dans des conditions abusives.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7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pendant un délai défini par la Loi. Toutes actions dérivant d’un contrat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 Vous avez engagé à vos frais une procédure contentieuse et obtenez une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d’assurance sont prescrites par deux (2) ans à compter de l’événement qui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solution plus favorable que celle qui Vous avait été proposée par l’Assureur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y donne naissance (article L114-1 du Code des Assurances). Toutefois, ce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par la tierce personne mentionnée à l’alinéa précédent, l’Assureur Vous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délai ne court en cas de réticence, omission, déclaration fausse ou inexacte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indemnise des frais exposés pour l’exercice de cette action, dans la limite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sur le risque couru, que du jour où l’Assureur en a eu connaissance, ou en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des montants contractuels garantis.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4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cas  de Sinistre, que du jour où les intéressés en ont eu connaissance, s’ils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56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8" w:after="0"/>
              <w:ind w:left="0" w:right="0" w:firstLine="0"/>
              <w:jc w:val="center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>8/5 Le conflit d’intérêts (article L127-5 du Code des Assurances) :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prouvent qu’ils l’ont ignoré jusque-là.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 cas de conflit d’intérêts entre Vous et l’Assureur ou de désaccord quant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Quand l’action de l’assuré contre l’Assureur a pour cause le recours d’un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98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règlement du Litige, Vous bénéficiez du libre choix de l’avocat ou de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Tiers, le délai de la prescription ne court que du jour où ce Tiers a exercé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toute autre personne qualifiée par la législation ou la réglementation en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96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une action en justice contre l’assuré ou a été indemnisé par ce dernier.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4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vigueur pour Vous défendre, et de la possibilité de recourir à la procédure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prescription ne court  pas ou est suspendue contre celui qui est dans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 désaccord et d’arbitrage.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l’impossibilité d’agir par suite d’un empêchement résultant de la loi, de la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50" w:after="0"/>
              <w:ind w:left="276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>8/6 Démarchage téléphonique :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11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convention ou de la force majeure. La prescription est interrompue par une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69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des causes ordinaires d’interruption de la prescription et par la désignation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8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Conformément à la loi 2014-344 du 17 mars 2014, si Vous ne souhaitez pas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5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d’experts à la suite d’un Sinistre.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68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faire l’objet de prospection commerciale par voie téléphonique de la part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L’interruption de la prescription de l’action peut, en outre, résulter de l’envoi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d’un professionnel avec lequel Vous n’avez pas de relation contractuelle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d’une lettre recommandée avec accusé de réception adressée par l’Assureur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préexistante, Vous pouvez Vous inscrire gratuitement sur la liste d’opposition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à l’assuré en ce qui concerne l’action en paiement de la prime et par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démarchage téléphonique sur le site internet www.bloctel.gouv.fr ou  par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l’assuré à l’Assureur en ce qui concerne le règlement de l’indemnité (article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courrier auprès de l’organisme OPPOSETEL, à l’adresse suivante : Société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L114-2 du Code des Assurances). Les causes ordinaires d’interruption de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Opposetel -Service Bloctel 6, rue Nicolas Siret - 10 000 Troyes.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prescription sont la demande en justice, l’acte d’exécution forcée, la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4" w:after="0"/>
              <w:ind w:left="276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>8/7 La protection de vos données :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reconnaissance du droit par le débiteur.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07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 nouveau délai de deux (2) ans court à compter de l’acte interruptif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Aux termes du Règlement Général sur la Protection des Données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3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prescription ; il peut être suspendu ou interrompu dans les mêmes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Personnelles (RGPD) et de la loi Informatique et Libertés modifiée, FMA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conditions que le premier.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Assurances et CFDP Assurances doivent Vous donner plus de contrôle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6" w:right="144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7/2 L’application dans l’espace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garanties du Contrat Groupe s’exercent conformément aux modalités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de transparence sur l’utilisation de vos données personnelles en Vous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expliquant quelles données sont collectées, dans quelle finalité, mais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également comment ils les protègent et quels sont vos droits à leur égard.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prévues à l’article 3 dans tous les pays de l’Union Européenne ainsi qu’en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276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Collecte et finalités d’utilisation de vos données personnelles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7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Principauté d’Andorre et Principauté de Monaco : l’Assureur s’appuiera le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2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cas échéant sur des correspondants habilités par la législation locale.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données collectées par FMA Assurances dans le cadre de la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1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Dans les autres pays, l’intervention de l’Assureur se limite au remboursement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souscription, de la gestion du contrat d’assurance sont liées à vos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sur justificatifs des frais et honoraires de procédure à hauteur du plafond de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informations d’identification et de contact (nom, prénom, adresse postale,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0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prise en charge spécifique prévu à l’article relatif aux montants contractuels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numéro de client, dates d’effet et de fin d’adhésion).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prise en charge pour les pays autres que l’Union Européenne et les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 traitement de ces données personnelles a pour principale finalité la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Principautés d’Andorre et de Monaco.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passation, la gestion (y compris commerciale) et l’exécution du contrat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0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8 : LA PROTECTION DE VOS INTERETS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d’assurance. Les données collectées sont également susceptibles, en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12"/>
        </w:trPr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  <w:tc>
          <w:tcPr>
            <w:tcW w:type="dxa" w:w="5480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 ou partie, d’être utilisées par les responsables de traitement dans le </w:t>
            </w:r>
          </w:p>
        </w:tc>
        <w:tc>
          <w:tcPr>
            <w:tcW w:type="dxa" w:w="3688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540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4" w:after="0"/>
              <w:ind w:left="0" w:right="144" w:firstLine="0"/>
              <w:jc w:val="center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8/1 Le secret professionnel (article L127-7 du Code des Assurances) :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personnes qui ont à connaître des informations que Vous communiquez </w:t>
            </w:r>
          </w:p>
        </w:tc>
        <w:tc>
          <w:tcPr>
            <w:tcW w:type="dxa" w:w="5480"/>
            <w:tcBorders>
              <w:top w:sz="6.0" w:val="single" w:color="#57585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48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3</w:t>
            </w:r>
          </w:p>
        </w:tc>
      </w:tr>
      <w:tr>
        <w:trPr>
          <w:trHeight w:hRule="exact" w:val="186"/>
        </w:trPr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cadre de contentieux éventuel (judiciaire ou arbitral), pour la lutte contre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9"/>
        </w:trPr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 blanchiment et le financement du terrorisme (LCBFT), pour le traitement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9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pour les besoins de votre cause, dans le cadre du Contrat Groupe, sont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des réclamations clients, plus largement afin de permettre aux responsables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1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tenues au secret professionnel.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traitement de se conformer à une réglementation applicable ou encore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1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6" w:right="144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8/2 L’obligation à désistement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Toute personne, chargée d’une prestation juridique, qui a un intérêt direct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afin d’améliorer, le cas échéant, le(s) produit(s) d’assurance, d’évaluer votre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situation au regard de vos besoins d’assurance, d’évaluer la qualité des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produits ou services fournis (enquête qualité et de satisfaction).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ou indirect à son objet, doit se désister.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0" w:right="144" w:firstLine="0"/>
              <w:jc w:val="center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8/3 L’examen de vos réclamations - la médiation de la consommation: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Une réclamation est une déclaration actant le mécontentement d’un client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données collectées directement par CFDP Assurances sont toutes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données strictement nécessaires à l’exécution du contrat et la gestion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des sinistres protection juridique telles que, notamment, vos données de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1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envers un professionnel : une demande de service ou de prestation,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68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situation familiale, de formation et d’emploi, vos données de santé (avec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18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d’information, de clarification ou d’avis n’est pas une réclamation.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votre accord pour la gestion de vos sinistres lorsque cela est nécessaire)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Toute réclamation concernant le Contrat Groupe, sa distribution ou le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vos données relatives aux infractions, aux condamnations pénales et aux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traitement d’un Litige, peut être formulée par priorité auprès de votre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16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mesures de sûreté connexes (avec votre accord pour la gestion de vos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interlocuteur habituel, et si sa réponse ne Vous satisfait pas, auprès du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04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sinistres lorsque cela est nécessaire).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Service Relation Client de l’Assureur :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 responsable de traitement dans le cadre de la souscription, la gestion du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en remplissant le formulaire de réclamation sur le site internet Cfdp http://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contrat d’assurance et de la relation avec le client est FMA Assurances 8/14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12"/>
        </w:trPr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www.cfdp.fr/decouvrir-cfdp/aide-infos-contact/deposer-une-reclamation/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88"/>
        </w:trPr>
        <w:tc>
          <w:tcPr>
            <w:tcW w:type="dxa" w:w="3688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Avenue de l’Arche 92419 Courbevoie cedex. </w:t>
            </w:r>
          </w:p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21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6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par email à relationclient@cfdp.fr </w:t>
            </w:r>
          </w:p>
        </w:tc>
        <w:tc>
          <w:tcPr>
            <w:tcW w:type="dxa" w:w="3688"/>
            <w:vMerge/>
            <w:tcBorders/>
          </w:tcPr>
          <w:p/>
        </w:tc>
        <w:tc>
          <w:tcPr>
            <w:tcW w:type="dxa" w:w="3688"/>
            <w:vMerge/>
            <w:tcBorders>
              <w:top w:sz="6.0" w:val="single" w:color="#57585A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62" w:right="282" w:bottom="312" w:left="5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responsable de traitement dans le cadre de l’exécution du contrat de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protection juridique et la gestion des dossiers sinistres protection juridique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est CFDP Assurances SA, 62 rue de Bonnel - Immeuble l’Europe - 69003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Lyon.</w:t>
      </w:r>
    </w:p>
    <w:p>
      <w:pPr>
        <w:autoSpaceDN w:val="0"/>
        <w:autoSpaceDE w:val="0"/>
        <w:widowControl/>
        <w:spacing w:line="259" w:lineRule="auto" w:before="3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base juridique du traitement de vos données est fondée soit sur la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passation, la gestion et l’exécution de votre contrat d’assurance, soit sur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respect des obligations légales et règlementaires de FMA Assurances et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CFDP Assurances.</w:t>
      </w:r>
    </w:p>
    <w:p>
      <w:pPr>
        <w:autoSpaceDN w:val="0"/>
        <w:autoSpaceDE w:val="0"/>
        <w:widowControl/>
        <w:spacing w:line="257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Pour les finalités indiquées précédemment, tout ou partie de ces données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pourront être utilisées par différents services de FMA Assurances et CFDP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Assurances et pourront le cas échéant être transmises à leurs partenaires,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mandataires, réassureurs, organismes professionnels, sous-traitants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missionnés ainsi qu’aux organismes d’assurance des personnes impliquées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et aux organismes et autorités publics.</w:t>
      </w:r>
    </w:p>
    <w:p>
      <w:pPr>
        <w:autoSpaceDN w:val="0"/>
        <w:autoSpaceDE w:val="0"/>
        <w:widowControl/>
        <w:spacing w:line="290" w:lineRule="auto" w:before="38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Localisation de vos données personnelles</w:t>
      </w:r>
    </w:p>
    <w:p>
      <w:pPr>
        <w:autoSpaceDN w:val="0"/>
        <w:autoSpaceDE w:val="0"/>
        <w:widowControl/>
        <w:spacing w:line="257" w:lineRule="auto" w:before="30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Les données personnelles collectées sont hébergées dans l’Union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Européenne. Si un transfert hors de l’Union européenne des données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personnelles collectées et traitées devait être réalisé, des garanties seraient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prises pour l’encadrer juridiquement et assurer un bon niveau de protection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 ces données.</w:t>
      </w:r>
    </w:p>
    <w:p>
      <w:pPr>
        <w:autoSpaceDN w:val="0"/>
        <w:autoSpaceDE w:val="0"/>
        <w:widowControl/>
        <w:spacing w:line="290" w:lineRule="auto" w:before="36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Durée de conservation de vos données personnelles</w:t>
      </w:r>
    </w:p>
    <w:p>
      <w:pPr>
        <w:autoSpaceDN w:val="0"/>
        <w:autoSpaceDE w:val="0"/>
        <w:widowControl/>
        <w:spacing w:line="259" w:lineRule="auto" w:before="30" w:after="0"/>
        <w:ind w:left="0" w:right="590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Ces données sont conservées durant une période maximale correspondant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au temps nécessaire aux différentes opérations ci-dessus listées ou pour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durée spécifiquement prévue par la CNIL (normes pour le secteur de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l’assurance) ou encore par la loi (prescriptions légales).</w:t>
      </w:r>
    </w:p>
    <w:p>
      <w:pPr>
        <w:autoSpaceDN w:val="0"/>
        <w:autoSpaceDE w:val="0"/>
        <w:widowControl/>
        <w:spacing w:line="264" w:lineRule="auto" w:before="38" w:after="0"/>
        <w:ind w:left="0" w:right="590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Vos données personnelles ne seront pas conservées plus longtemps que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nécessaire pour satisfaire ces finalités.</w:t>
      </w:r>
    </w:p>
    <w:p>
      <w:pPr>
        <w:autoSpaceDN w:val="0"/>
        <w:autoSpaceDE w:val="0"/>
        <w:widowControl/>
        <w:spacing w:line="290" w:lineRule="auto" w:before="38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Vos droits à la protection de vos données</w:t>
      </w:r>
    </w:p>
    <w:p>
      <w:pPr>
        <w:autoSpaceDN w:val="0"/>
        <w:autoSpaceDE w:val="0"/>
        <w:widowControl/>
        <w:spacing w:line="254" w:lineRule="auto" w:before="30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Conformément à la loi sur la protection des données personnelles, Vous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disposez d’un droit d’accès, de modification, de rectification, d’opposition et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suppression des données Vous concernant en Vous adressant à FMA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Assurances (pour la souscription et la gestion du contrat d’assurance) ou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CFDP Assurances (pour l’exécution du contrat de protection juridique et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gestion des sinistres protection juridique). Vous disposez également du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droit à la limitation du traitement et du droit de demander le transfert de vos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données (droit à la portabilité).</w:t>
      </w:r>
    </w:p>
    <w:p>
      <w:pPr>
        <w:autoSpaceDN w:val="0"/>
        <w:autoSpaceDE w:val="0"/>
        <w:widowControl/>
        <w:spacing w:line="259" w:lineRule="auto" w:before="3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Pour exercer l’un quelconque de vos droits, merci de préciser vos nom,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prénom et email et de joindre une copie recto-verso d’un justificatif d’identité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en cours de validité (carte nationale d’identité, passeport).</w:t>
      </w:r>
    </w:p>
    <w:p>
      <w:pPr>
        <w:autoSpaceDN w:val="0"/>
        <w:autoSpaceDE w:val="0"/>
        <w:widowControl/>
        <w:spacing w:line="259" w:lineRule="auto" w:before="3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responsable de traitement se réserve le droit de ne pas accéder à votre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demande si le traitement des données est nécessaire à l’exécution du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contrat, au respect d’une obligation légale ou à la constatation, l’exercice ou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défense de droits en justice.</w:t>
      </w:r>
    </w:p>
    <w:p>
      <w:pPr>
        <w:autoSpaceDN w:val="0"/>
        <w:autoSpaceDE w:val="0"/>
        <w:widowControl/>
        <w:spacing w:line="257" w:lineRule="auto" w:before="38" w:after="0"/>
        <w:ind w:left="0" w:right="590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Votre demande sera traitée dans les meilleurs délais. En cas de désaccord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persistant en lien avec la gestion de vos données personnelles, Vous avez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possibilité de saisir la CNIL à l’adresse suivante : Commission Nationale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Informatique et Libertés, 3 place de Fontenoy 75007 Paris, https://www.cnil.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fr/fr/vous-souhaitez-contacter-la-cnil , Tel : 01 53 73 22 22.</w:t>
      </w:r>
    </w:p>
    <w:p>
      <w:pPr>
        <w:autoSpaceDN w:val="0"/>
        <w:autoSpaceDE w:val="0"/>
        <w:widowControl/>
        <w:spacing w:line="288" w:lineRule="auto" w:before="38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Sécurité</w:t>
      </w:r>
    </w:p>
    <w:p>
      <w:pPr>
        <w:autoSpaceDN w:val="0"/>
        <w:autoSpaceDE w:val="0"/>
        <w:widowControl/>
        <w:spacing w:line="257" w:lineRule="auto" w:before="30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FMA Assurances et CFDP Assurances accordent la plus haute importance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à la sécurité et à l’intégrité des données personnelles de leurs assurés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et prospects et s’engagent à traiter vos données personnelles en ayant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recours à des mesures de sécurité appropriées sur le plan technique et au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niveau de l’organisation.</w:t>
      </w:r>
    </w:p>
    <w:p>
      <w:pPr>
        <w:autoSpaceDN w:val="0"/>
        <w:autoSpaceDE w:val="0"/>
        <w:widowControl/>
        <w:spacing w:line="290" w:lineRule="auto" w:before="94" w:after="0"/>
        <w:ind w:left="0" w:right="0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>8/8 L’autorité de contrôle :</w:t>
      </w:r>
    </w:p>
    <w:p>
      <w:pPr>
        <w:autoSpaceDN w:val="0"/>
        <w:autoSpaceDE w:val="0"/>
        <w:widowControl/>
        <w:spacing w:line="262" w:lineRule="auto" w:before="2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L’autorité de contrôle de l’Assureur est l’ACPR (Autorité de Contrôle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Prudentiel et de Résolution), 4 place de Budapest CS 92459 75436 Paris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cedex 09 (www.acpr.banque-france.fr).</w:t>
      </w:r>
    </w:p>
    <w:p>
      <w:pPr>
        <w:autoSpaceDN w:val="0"/>
        <w:autoSpaceDE w:val="0"/>
        <w:widowControl/>
        <w:spacing w:line="283" w:lineRule="auto" w:before="285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58595B"/>
          <w:sz w:val="10"/>
        </w:rPr>
        <w:t>FMA Assurances - SAS au capital de 787 204 € - Courtier en assurance - Siège social : Immeuble Colisée Gardens, 8-14 avenue de l’Arche, 92400 Courbevoie - RCS Nanterre 429882236 - ORIAS : 12068209</w:t>
      </w:r>
    </w:p>
    <w:p>
      <w:pPr>
        <w:autoSpaceDN w:val="0"/>
        <w:autoSpaceDE w:val="0"/>
        <w:widowControl/>
        <w:spacing w:line="276" w:lineRule="auto" w:before="17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58595B"/>
          <w:sz w:val="10"/>
        </w:rPr>
        <w:t>Garanties souscrites auprès de CFDP Assurances - S.A. au capital de 1 692 240 € / RCS 958 506 156B/ Entreprise régie par le Code des Assurances  - Siège social Immeuble l’Europe- 62 rue de Bonnel – 69003 Lyon.</w:t>
      </w:r>
    </w:p>
    <w:p>
      <w:pPr>
        <w:autoSpaceDN w:val="0"/>
        <w:autoSpaceDE w:val="0"/>
        <w:widowControl/>
        <w:spacing w:line="278" w:lineRule="auto" w:before="422" w:after="0"/>
        <w:ind w:left="0" w:right="20" w:firstLine="0"/>
        <w:jc w:val="right"/>
      </w:pPr>
      <w:r>
        <w:rPr>
          <w:rFonts w:ascii="ArialMT" w:hAnsi="ArialMT" w:eastAsia="ArialMT"/>
          <w:b w:val="0"/>
          <w:i w:val="0"/>
          <w:color w:val="58595B"/>
          <w:sz w:val="14"/>
        </w:rPr>
        <w:t>4</w:t>
      </w:r>
    </w:p>
    <w:p>
      <w:pPr>
        <w:sectPr>
          <w:pgSz w:w="11906" w:h="16838"/>
          <w:pgMar w:top="262" w:right="282" w:bottom="312" w:left="56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6"/>
      </w:tblGrid>
      <w:tr>
        <w:trPr>
          <w:trHeight w:hRule="exact" w:val="834"/>
        </w:trPr>
        <w:tc>
          <w:tcPr>
            <w:tcW w:type="dxa" w:w="11906"/>
            <w:tcBorders/>
            <w:shd w:fill="c8ca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56" w:after="0"/>
              <w:ind w:left="340" w:right="4896" w:firstLine="4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FFFFFF"/>
                <w:sz w:val="34"/>
              </w:rPr>
              <w:t>NOTICE D’INFORMATION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36D21"/>
                <w:sz w:val="24"/>
              </w:rPr>
              <w:t>■</w:t>
            </w:r>
            <w:r>
              <w:rPr>
                <w:rFonts w:ascii="Arial" w:hAnsi="Arial" w:eastAsia="Arial"/>
                <w:b/>
                <w:i w:val="0"/>
                <w:color w:val="F36D21"/>
                <w:sz w:val="24"/>
              </w:rPr>
              <w:t xml:space="preserve">Protection juridique Santé Sénior </w:t>
            </w:r>
            <w:r>
              <w:rPr>
                <w:rFonts w:ascii="ArialMT" w:hAnsi="ArialMT" w:eastAsia="ArialMT"/>
                <w:b w:val="0"/>
                <w:i w:val="0"/>
                <w:color w:val="F36D21"/>
                <w:sz w:val="24"/>
              </w:rPr>
              <w:t>06FMAQUIET6-10/2018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8877300</wp:posOffset>
            </wp:positionV>
            <wp:extent cx="3251200" cy="520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2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2" w:right="0" w:bottom="30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566" w:right="0" w:firstLine="0"/>
        <w:jc w:val="left"/>
      </w:pPr>
      <w:r>
        <w:rPr>
          <w:u w:val="single" w:color="57585a"/>
          <w:rFonts w:ascii="Arial" w:hAnsi="Arial" w:eastAsia="Arial"/>
          <w:b/>
          <w:i w:val="0"/>
          <w:color w:val="58595B"/>
          <w:sz w:val="18"/>
        </w:rPr>
        <w:t>ART. 1 : L’OBJET DE LA PRESENTE NOTICE D’INFORMATIONS</w:t>
      </w:r>
    </w:p>
    <w:p>
      <w:pPr>
        <w:autoSpaceDN w:val="0"/>
        <w:autoSpaceDE w:val="0"/>
        <w:widowControl/>
        <w:spacing w:line="257" w:lineRule="auto" w:before="20" w:after="0"/>
        <w:ind w:left="566" w:right="258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présent document constitue la notice d’informations contractuelle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prévue par l’article L141-4 du Code des Assurances reprenant 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dispositions du contrat groupe « PROTECTION JURIDIQUE FMA SANTÉ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SÉNIOR» (dénommé ci-après le Contrat Groupe) souscrit auprès de CFDP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Assurances par FMA ASSURANCES, au profi t de ses clients.</w:t>
      </w:r>
    </w:p>
    <w:p>
      <w:pPr>
        <w:autoSpaceDN w:val="0"/>
        <w:autoSpaceDE w:val="0"/>
        <w:widowControl/>
        <w:spacing w:line="257" w:lineRule="auto" w:before="38" w:after="0"/>
        <w:ind w:left="566" w:right="258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Contrat Groupe a pour objet « la prise en charge des frais de procédure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[…] de fournir des services découlant de la couverture d’assurance, en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cas de différend ou de litige opposant l’assuré à un tiers, en vue notamment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défendre ou représenter en demande l’assuré dans une procédure civile,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pénale, administrative ou autre ou contre une réclamation dont il est l’objet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d’obtenir réparation à l’amiable du dommage subi » (article L127-1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Code des Assurances).</w:t>
      </w:r>
    </w:p>
    <w:p>
      <w:pPr>
        <w:autoSpaceDN w:val="0"/>
        <w:autoSpaceDE w:val="0"/>
        <w:widowControl/>
        <w:spacing w:line="288" w:lineRule="auto" w:before="94" w:after="0"/>
        <w:ind w:left="566" w:right="0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>DEFINITIONS :</w:t>
      </w:r>
    </w:p>
    <w:p>
      <w:pPr>
        <w:autoSpaceDN w:val="0"/>
        <w:autoSpaceDE w:val="0"/>
        <w:widowControl/>
        <w:spacing w:line="257" w:lineRule="auto" w:before="28" w:after="0"/>
        <w:ind w:left="566" w:right="258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L’ASSUREUR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CFDP ASSURANCES – Entreprise d’assurances régie par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Code des Assurances, Société Anonyme au capital de 1.692.240 €, ayant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son siège social immeuble l’Europe – 62 rue de Bonnel – 69003 LYON,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immatriculée au Registre du Commerce et des Sociétés de LYON sous le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numéro 958 506 156.</w:t>
      </w:r>
    </w:p>
    <w:p>
      <w:pPr>
        <w:autoSpaceDN w:val="0"/>
        <w:autoSpaceDE w:val="0"/>
        <w:widowControl/>
        <w:spacing w:line="257" w:lineRule="auto" w:before="38" w:after="0"/>
        <w:ind w:left="566" w:right="144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LE SOUSCRIPTEUR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FMA ASSURANCES – Cabinet de courtage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d’assurances, Société par Action Simplifi ée au capital de  841.324 €, ayant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son siège social Immeuble Colisée Gardens - 8-14 Avenue de l’Arche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- 92419 Courbevoie Cedex, immatriculée au Registre du Commerce et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des Sociétés de NANTERRE sous le numéro 429 882 236 et auprès de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l’Organisme pour le Registre des Intermédiaires en Assurances (ORIAS)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sous le matricule 12 068 209.</w:t>
      </w:r>
    </w:p>
    <w:p>
      <w:pPr>
        <w:autoSpaceDN w:val="0"/>
        <w:autoSpaceDE w:val="0"/>
        <w:widowControl/>
        <w:spacing w:line="257" w:lineRule="auto" w:before="38" w:after="0"/>
        <w:ind w:left="566" w:right="258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VOUS OU LE(S) BENEFICIAIRE(S)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L’adhérent, particulier personne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physique, ayant conclu un contrat d’assurance complémentaire santé auprès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du Souscripteur, ainsi que toutes les autres personnes bénéfi ciaires désignées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au bulletin individuel d’adhésion dudit contrat d’assurance complémentaire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santé.</w:t>
      </w:r>
    </w:p>
    <w:p>
      <w:pPr>
        <w:autoSpaceDN w:val="0"/>
        <w:autoSpaceDE w:val="0"/>
        <w:widowControl/>
        <w:spacing w:line="288" w:lineRule="auto" w:before="38" w:after="0"/>
        <w:ind w:left="566" w:right="0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E TIERS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Toute personne étrangère au Contrat Groupe.</w:t>
      </w:r>
    </w:p>
    <w:p>
      <w:pPr>
        <w:autoSpaceDN w:val="0"/>
        <w:autoSpaceDE w:val="0"/>
        <w:widowControl/>
        <w:spacing w:line="259" w:lineRule="auto" w:before="30" w:after="0"/>
        <w:ind w:left="566" w:right="258" w:firstLine="0"/>
        <w:jc w:val="both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LE LITIGE OU DIFFEREND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 Une situation confl ictuelle causée par un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évènement préjudiciable ou un acte répréhensible vous conduisant à faire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valoir un droit contesté, à résister à une prétention ou à vous défendre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devant une juridiction. 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Pour être couvert par le Contrat Groupe, le Litige 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ou le Différend doit être survenu et déclaré pendant la durée de votre 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adhésion audit Contrat.</w:t>
      </w:r>
    </w:p>
    <w:p>
      <w:pPr>
        <w:autoSpaceDN w:val="0"/>
        <w:autoSpaceDE w:val="0"/>
        <w:widowControl/>
        <w:spacing w:line="271" w:lineRule="auto" w:before="30" w:after="0"/>
        <w:ind w:left="566" w:right="144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DELAI DE CARENCE :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Période au terme de laquelle la garantie du Contrat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Groupe prend effet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.</w:t>
      </w:r>
    </w:p>
    <w:p>
      <w:pPr>
        <w:autoSpaceDN w:val="0"/>
        <w:autoSpaceDE w:val="0"/>
        <w:widowControl/>
        <w:spacing w:line="271" w:lineRule="auto" w:before="30" w:after="0"/>
        <w:ind w:left="566" w:right="288" w:firstLine="0"/>
        <w:jc w:val="left"/>
      </w:pP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Pour mieux identifi er les termes à défi nition contractuelle, ils sero</w:t>
      </w: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nt </w:t>
      </w:r>
      <w:r>
        <w:rPr>
          <w:shd w:val="clear" w:color="auto" w:fill="d0d2d4"/>
          <w:w w:val="102.66666412353516"/>
          <w:rFonts w:ascii="Arial" w:hAnsi="Arial" w:eastAsia="Arial"/>
          <w:b/>
          <w:i w:val="0"/>
          <w:color w:val="58595B"/>
          <w:sz w:val="15"/>
        </w:rPr>
        <w:t>employés avec une majuscule dans la présente notice.</w:t>
      </w:r>
    </w:p>
    <w:p>
      <w:pPr>
        <w:autoSpaceDN w:val="0"/>
        <w:autoSpaceDE w:val="0"/>
        <w:widowControl/>
        <w:spacing w:line="288" w:lineRule="auto" w:before="90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58595B"/>
          <w:sz w:val="18"/>
        </w:rPr>
        <w:t>ART. 2 : L’ADHESION AU CONTRAT GROUPE</w:t>
      </w:r>
    </w:p>
    <w:p>
      <w:pPr>
        <w:autoSpaceDN w:val="0"/>
        <w:autoSpaceDE w:val="0"/>
        <w:widowControl/>
        <w:spacing w:line="262" w:lineRule="auto" w:before="20" w:after="0"/>
        <w:ind w:left="566" w:right="258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L’adhésion au Contrat Groupe est obligatoire pour tout client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Souscripteur, particulier personne physique, souscrivant auprès de lui un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contrat d’assurance complémentaire santé.</w:t>
      </w:r>
    </w:p>
    <w:p>
      <w:pPr>
        <w:autoSpaceDN w:val="0"/>
        <w:autoSpaceDE w:val="0"/>
        <w:widowControl/>
        <w:spacing w:line="259" w:lineRule="auto" w:before="38" w:after="0"/>
        <w:ind w:left="566" w:right="258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L’adhésion au Contrat Groupe prend effet à la date de prise d’effet du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contrat d’assurance complémentaire santé et prend fi n en cas de résiliation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celui-ci ou en cas de résiliation du Contrat Groupe, le Souscripteur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s’engageant alors à informer l’adhérent de la fi n des garanties.</w:t>
      </w:r>
    </w:p>
    <w:p>
      <w:pPr>
        <w:autoSpaceDN w:val="0"/>
        <w:autoSpaceDE w:val="0"/>
        <w:widowControl/>
        <w:spacing w:line="288" w:lineRule="auto" w:before="98" w:after="0"/>
        <w:ind w:left="566" w:right="0" w:firstLine="0"/>
        <w:jc w:val="left"/>
      </w:pPr>
      <w:r>
        <w:rPr>
          <w:rFonts w:ascii="Arial" w:hAnsi="Arial" w:eastAsia="Arial"/>
          <w:b/>
          <w:i w:val="0"/>
          <w:color w:val="58595B"/>
          <w:sz w:val="18"/>
        </w:rPr>
        <w:t>ART. 3 : LES PRESTATIONS DE L’ASSUREUR</w:t>
      </w:r>
    </w:p>
    <w:p>
      <w:pPr>
        <w:autoSpaceDN w:val="0"/>
        <w:autoSpaceDE w:val="0"/>
        <w:widowControl/>
        <w:spacing w:line="257" w:lineRule="auto" w:before="76" w:after="0"/>
        <w:ind w:left="566" w:right="144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 xml:space="preserve">3/1 L’assistance téléphonique :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Au numéro qui Vous est dédié, l’Assureur s’engage à Vous écouter et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Vous fournir par téléphone des renseignements juridiques relevant du droit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français et se rapportant aux garanties de protection juridique décrites dans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présente notice.</w:t>
      </w:r>
    </w:p>
    <w:p>
      <w:pPr>
        <w:autoSpaceDN w:val="0"/>
        <w:autoSpaceDE w:val="0"/>
        <w:widowControl/>
        <w:spacing w:line="257" w:lineRule="auto" w:before="38" w:after="0"/>
        <w:ind w:left="566" w:right="288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Des juristes qualifi és sont à votre écoute pour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répondre à vos interrogations,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Vous informer sur vos droits,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Vous proposer des solutions concrètes,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envisager avec Vous, dans le cadre d’un accompagnement personnalisé,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suite à donner à votre diffi culté.</w:t>
      </w:r>
    </w:p>
    <w:p>
      <w:pPr>
        <w:autoSpaceDN w:val="0"/>
        <w:autoSpaceDE w:val="0"/>
        <w:widowControl/>
        <w:spacing w:line="290" w:lineRule="auto" w:before="38" w:after="0"/>
        <w:ind w:left="566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QUE FAIRE EN CAS DE BESOIN D’ASSISTANCE JURIDIQUE ?</w:t>
      </w:r>
    </w:p>
    <w:p>
      <w:pPr>
        <w:autoSpaceDN w:val="0"/>
        <w:autoSpaceDE w:val="0"/>
        <w:widowControl/>
        <w:spacing w:line="262" w:lineRule="auto" w:before="28" w:after="0"/>
        <w:ind w:left="566" w:right="144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 xml:space="preserve">Contactez l’Assureur au : 04 68 57 42 82 (N° de téléphone non surtaxé)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L’accès au service se fait du lundi au vendredi de 09H00 à 12H30 et de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14H à 18H.</w:t>
      </w:r>
    </w:p>
    <w:p>
      <w:pPr>
        <w:autoSpaceDN w:val="0"/>
        <w:autoSpaceDE w:val="0"/>
        <w:widowControl/>
        <w:spacing w:line="259" w:lineRule="auto" w:before="94" w:after="0"/>
        <w:ind w:left="566" w:right="144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 xml:space="preserve">3/2 Un accueil sur rendez-vous au plus proche de vous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Sur simple demande, il Vous sera possible de rencontrer des juristes dans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délégation la plus proche parmi les quarante (40) implantations réparties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sur tout le territoire.</w:t>
      </w:r>
    </w:p>
    <w:p>
      <w:pPr>
        <w:autoSpaceDN w:val="0"/>
        <w:autoSpaceDE w:val="0"/>
        <w:widowControl/>
        <w:spacing w:line="266" w:lineRule="auto" w:before="10" w:after="0"/>
        <w:ind w:left="566" w:right="14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L’Assureur offre un maillage inégalé du territoire afi n de Vous permettre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d’être parfaitement accompagné où que Vous Vous trouviez.</w:t>
      </w:r>
    </w:p>
    <w:p>
      <w:pPr>
        <w:sectPr>
          <w:type w:val="continuous"/>
          <w:pgSz w:w="11906" w:h="16838"/>
          <w:pgMar w:top="2" w:right="0" w:bottom="304" w:left="0" w:header="720" w:footer="720" w:gutter="0"/>
          <w:cols w:num="2" w:equalWidth="0">
            <w:col w:w="5970" w:space="0"/>
            <w:col w:w="5935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260" w:right="0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date et un horaire qui permettront une rencontre dans les meilleurs délais.</w:t>
      </w:r>
    </w:p>
    <w:p>
      <w:pPr>
        <w:autoSpaceDN w:val="0"/>
        <w:autoSpaceDE w:val="0"/>
        <w:widowControl/>
        <w:spacing w:line="254" w:lineRule="auto" w:before="36" w:after="0"/>
        <w:ind w:left="260" w:right="432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 xml:space="preserve">3/3 La gestion amiable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 la suite d’une déclaration de Litige, l’Assureur s’engage à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Vous conseiller et Vous accompagner dans les démarches à entreprendre,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Vous assister dans la rédaction de vos courriers de réclamation,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Vous aider à réunir les pièces et témoignages nécessaires à la constitution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 votre dossier,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intervenir directement auprès du Tiers afi n d’obtenir une solution négociée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et amiable,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Vous faire assister et soutenir par des experts ou des sachants lorsque la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spécifi cité de la matière le nécessite et que cela est utile à la résolution de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votre Litige,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prendre en charge, dans la limite des plafonds contractuels garantis, 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frais et honoraires d’experts et de sachants, voire ceux de votre avocat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lorsque votre adversaire est lui-même défendu dans les mêmes conditions,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Vous proposer une médiation indépendante des parties. Le médiateur sera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désigné sur une liste par une association ou un groupement professionnel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sur demande de l’Assureur et avec votre acceptation. Il prendra contact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avec les parties, les réunira et les mettra en condition de trouver par elles-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mêmes la solution au Litige en cours.</w:t>
      </w:r>
    </w:p>
    <w:p>
      <w:pPr>
        <w:autoSpaceDN w:val="0"/>
        <w:autoSpaceDE w:val="0"/>
        <w:widowControl/>
        <w:spacing w:line="262" w:lineRule="auto" w:before="0" w:after="0"/>
        <w:ind w:left="260" w:right="574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Toutes vos demandes sont traitées dans un délai maximum de trois (3)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jours ouvrés. Bien entendu, en cas d’accord amiable, l’Assureur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accompagne jusqu’à sa mise en œuvre effective.</w:t>
      </w:r>
    </w:p>
    <w:p>
      <w:pPr>
        <w:autoSpaceDN w:val="0"/>
        <w:autoSpaceDE w:val="0"/>
        <w:widowControl/>
        <w:spacing w:line="259" w:lineRule="auto" w:before="10" w:after="0"/>
        <w:ind w:left="260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gestion amiable du Litige est réalisée dans un délai de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six (6) mois à compter de la date de la première intervention des services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 l’Assureur,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ou un (1) an si une expertise contradictoire s’est avérée nécessaire.</w:t>
      </w:r>
    </w:p>
    <w:p>
      <w:pPr>
        <w:autoSpaceDN w:val="0"/>
        <w:autoSpaceDE w:val="0"/>
        <w:widowControl/>
        <w:spacing w:line="257" w:lineRule="auto" w:before="10" w:after="0"/>
        <w:ind w:left="260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A l’issue de ce délai, il Vous est soumis le choix, soit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de poursuivre la tentative de résolution amiable,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de transmettre le dossier à l’avocat de votre choix pour engager 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démarches judiciaires utiles,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d’abandonner le recours.</w:t>
      </w:r>
    </w:p>
    <w:p>
      <w:pPr>
        <w:autoSpaceDN w:val="0"/>
        <w:autoSpaceDE w:val="0"/>
        <w:widowControl/>
        <w:spacing w:line="257" w:lineRule="auto" w:before="0" w:after="0"/>
        <w:ind w:left="260" w:right="432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 xml:space="preserve">3/4 L’accompagnement dans la phase judiciaire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Lorsque toute tentative de résolution du Litige sur un terrain amiable a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échoué, l’Assureur s’engage à :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■Vous faire représenter par l’auxiliaire de justice de votre choix.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Conformément à l’article L127-3 du Code des Assurances, lorsque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faites appel à un avocat ou toute autre personne qualifi ée par la législation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la réglementation en vigueur pour Vous défendre, Vous représenter ou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servir vos intérêts, Vous avez la liberté de le choisir.</w:t>
      </w:r>
    </w:p>
    <w:p>
      <w:pPr>
        <w:autoSpaceDN w:val="0"/>
        <w:autoSpaceDE w:val="0"/>
        <w:widowControl/>
        <w:spacing w:line="262" w:lineRule="auto" w:before="0" w:after="0"/>
        <w:ind w:left="260" w:right="574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Si Vous n’en connaissez pas, Vous pouvez Vous rapprocher de l’Ordre des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Avocats du Barreau compétent ou demander par écrit à l’Assureur de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communiquer les coordonnées d’un avocat.</w:t>
      </w:r>
    </w:p>
    <w:p>
      <w:pPr>
        <w:autoSpaceDN w:val="0"/>
        <w:autoSpaceDE w:val="0"/>
        <w:widowControl/>
        <w:spacing w:line="257" w:lineRule="auto" w:before="0" w:after="0"/>
        <w:ind w:left="260" w:right="574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Vous avez la maîtrise de la direction du procès en concertation avec l’avocat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que Vous avez choisi. L’Assureur reste néanmoins à votre disposition ou à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celle de votre avocat pour Vous apporter l’assistance dont Vous auriez besoin.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Lors de la saisine de l’avocat, celui-ci est tenu en application des règles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déontologiques de sa profession, de Vous faire signer une convention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d’honoraires afi n de Vous informer des modalités de détermination de ses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honoraires et de l’évolution prévisible de leur montant.</w:t>
      </w:r>
    </w:p>
    <w:p>
      <w:pPr>
        <w:autoSpaceDN w:val="0"/>
        <w:tabs>
          <w:tab w:pos="316" w:val="left"/>
        </w:tabs>
        <w:autoSpaceDE w:val="0"/>
        <w:widowControl/>
        <w:spacing w:line="257" w:lineRule="auto" w:before="0" w:after="0"/>
        <w:ind w:left="260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■prendre en charge sur présentation de justifi catifs, dans la limite des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montants contractuels garantis et dans celle des frais réellement exposés :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- les frais et honoraires des avocats et experts,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- les frais de procès comprenant notamment les frais d’huissiers, d’expertise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judiciaire, la taxe d’appel...</w:t>
      </w:r>
    </w:p>
    <w:p>
      <w:pPr>
        <w:autoSpaceDN w:val="0"/>
        <w:autoSpaceDE w:val="0"/>
        <w:widowControl/>
        <w:spacing w:line="257" w:lineRule="auto" w:before="0" w:after="0"/>
        <w:ind w:left="260" w:right="574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Par principe, Vous faites l’avance des frais et honoraires et l’Assureur Vous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rembourse sur justifi catifs le montant des factures réglées dans la limite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des montants contractuels garantis. Si la convention d’honoraires le prévoit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ou si Vous en faites la demande, l’Assureur peut procéder directement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au règlement de la facture adressée par l’avocat, et ce dans la limite des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montants contractuels garantis.</w:t>
      </w:r>
    </w:p>
    <w:p>
      <w:pPr>
        <w:autoSpaceDN w:val="0"/>
        <w:autoSpaceDE w:val="0"/>
        <w:widowControl/>
        <w:spacing w:line="262" w:lineRule="auto" w:before="0" w:after="88"/>
        <w:ind w:left="260" w:right="432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Qu’il s’agisse d’un paiement direct ou d’un remboursement, le règlement de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l’Assureur sera effectué au plus tard trente (30) jours après réception des </w:t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justifi catifs, et interviendra Toutes Taxes Comprises.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2.00000000000045" w:type="dxa"/>
      </w:tblPr>
      <w:tblGrid>
        <w:gridCol w:w="5953"/>
        <w:gridCol w:w="5953"/>
      </w:tblGrid>
      <w:tr>
        <w:trPr>
          <w:trHeight w:hRule="exact" w:val="406"/>
        </w:trPr>
        <w:tc>
          <w:tcPr>
            <w:tcW w:type="dxa" w:w="3856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" w:after="0"/>
              <w:ind w:left="7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4"/>
              </w:rPr>
              <w:t xml:space="preserve">BAREME APPLICABLE AUX HONORAIRES D’AVOCAT </w:t>
            </w:r>
            <w:r>
              <w:rPr>
                <w:rFonts w:ascii="Arial" w:hAnsi="Arial" w:eastAsia="Arial"/>
                <w:b/>
                <w:i w:val="0"/>
                <w:color w:val="58595B"/>
                <w:sz w:val="14"/>
              </w:rPr>
              <w:t xml:space="preserve">&amp; D’EXPERT </w:t>
            </w:r>
          </w:p>
        </w:tc>
        <w:tc>
          <w:tcPr>
            <w:tcW w:type="dxa" w:w="1248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98" w:after="0"/>
              <w:ind w:left="2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4"/>
              </w:rPr>
              <w:t>En € TTC</w:t>
            </w:r>
          </w:p>
        </w:tc>
      </w:tr>
      <w:tr>
        <w:trPr>
          <w:trHeight w:hRule="exact" w:val="244"/>
        </w:trPr>
        <w:tc>
          <w:tcPr>
            <w:tcW w:type="dxa" w:w="3856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78" w:right="0" w:firstLine="0"/>
              <w:jc w:val="left"/>
            </w:pP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Consultation d’Experts</w:t>
            </w:r>
          </w:p>
        </w:tc>
        <w:tc>
          <w:tcPr>
            <w:tcW w:type="dxa" w:w="1248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0" w:after="0"/>
              <w:ind w:left="0" w:right="3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391 €</w:t>
            </w:r>
          </w:p>
        </w:tc>
      </w:tr>
      <w:tr>
        <w:trPr>
          <w:trHeight w:hRule="exact" w:val="736"/>
        </w:trPr>
        <w:tc>
          <w:tcPr>
            <w:tcW w:type="dxa" w:w="3856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96" w:after="0"/>
              <w:ind w:left="248" w:right="0" w:hanging="170"/>
              <w:jc w:val="left"/>
            </w:pP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D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émarches amiables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- Intervention amiable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- Protocole ou transaction menée à terme et ayant abouti</w:t>
            </w:r>
          </w:p>
        </w:tc>
        <w:tc>
          <w:tcPr>
            <w:tcW w:type="dxa" w:w="1248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76" w:after="0"/>
              <w:ind w:left="432" w:right="3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112 €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335 €</w:t>
            </w:r>
          </w:p>
        </w:tc>
      </w:tr>
      <w:tr>
        <w:trPr>
          <w:trHeight w:hRule="exact" w:val="812"/>
        </w:trPr>
        <w:tc>
          <w:tcPr>
            <w:tcW w:type="dxa" w:w="3856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78" w:right="720" w:firstLine="0"/>
              <w:jc w:val="left"/>
            </w:pP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Assistance préalable à toute procédure pénale</w:t>
            </w: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Assistance à une instruction</w:t>
            </w:r>
            <w:r>
              <w:br/>
            </w: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Assistance à une expertise judiciaire </w:t>
            </w:r>
            <w:r>
              <w:br/>
            </w: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Comparution devant un conciliateur de justice</w:t>
            </w:r>
          </w:p>
        </w:tc>
        <w:tc>
          <w:tcPr>
            <w:tcW w:type="dxa" w:w="1248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4" w:after="0"/>
              <w:ind w:left="0" w:right="3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400 €</w:t>
            </w:r>
          </w:p>
        </w:tc>
      </w:tr>
      <w:tr>
        <w:trPr>
          <w:trHeight w:hRule="exact" w:val="242"/>
        </w:trPr>
        <w:tc>
          <w:tcPr>
            <w:tcW w:type="dxa" w:w="3856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78" w:right="0" w:firstLine="0"/>
              <w:jc w:val="left"/>
            </w:pP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Expertise amiable</w:t>
            </w:r>
          </w:p>
        </w:tc>
        <w:tc>
          <w:tcPr>
            <w:tcW w:type="dxa" w:w="1248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1 116 €</w:t>
            </w:r>
          </w:p>
        </w:tc>
      </w:tr>
      <w:tr>
        <w:trPr>
          <w:trHeight w:hRule="exact" w:val="224"/>
        </w:trPr>
        <w:tc>
          <w:tcPr>
            <w:tcW w:type="dxa" w:w="3856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" w:after="0"/>
              <w:ind w:left="78" w:right="0" w:firstLine="0"/>
              <w:jc w:val="left"/>
            </w:pPr>
            <w:r>
              <w:rPr>
                <w:w w:val="98.7500011920929"/>
                <w:rFonts w:ascii="ArialMT" w:hAnsi="ArialMT" w:eastAsia="ArialMT"/>
                <w:b w:val="0"/>
                <w:i w:val="0"/>
                <w:color w:val="58595B"/>
                <w:sz w:val="16"/>
              </w:rPr>
              <w:t>■</w:t>
            </w: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 xml:space="preserve"> Démarche au Parquet (forfait)</w:t>
            </w:r>
          </w:p>
        </w:tc>
        <w:tc>
          <w:tcPr>
            <w:tcW w:type="dxa" w:w="1248"/>
            <w:tcBorders>
              <w:start w:sz="2.0" w:val="single" w:color="#57585A"/>
              <w:top w:sz="2.0" w:val="single" w:color="#57585A"/>
              <w:end w:sz="2.0" w:val="single" w:color="#57585A"/>
              <w:bottom w:sz="2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0" w:after="0"/>
              <w:ind w:left="0" w:right="3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129 €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8"/>
        <w:ind w:left="0" w:right="0"/>
      </w:pPr>
    </w:p>
    <w:p>
      <w:pPr>
        <w:sectPr>
          <w:type w:val="nextColumn"/>
          <w:pgSz w:w="11906" w:h="16838"/>
          <w:pgMar w:top="2" w:right="0" w:bottom="304" w:left="0" w:header="720" w:footer="720" w:gutter="0"/>
          <w:cols w:num="2" w:equalWidth="0">
            <w:col w:w="5970" w:space="0"/>
            <w:col w:w="5935" w:space="0"/>
          </w:cols>
          <w:docGrid w:linePitch="360"/>
        </w:sectPr>
      </w:pPr>
    </w:p>
    <w:p>
      <w:pPr>
        <w:autoSpaceDN w:val="0"/>
        <w:tabs>
          <w:tab w:pos="11526" w:val="left"/>
        </w:tabs>
        <w:autoSpaceDE w:val="0"/>
        <w:widowControl/>
        <w:spacing w:line="278" w:lineRule="auto" w:before="0" w:after="0"/>
        <w:ind w:left="566" w:right="0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Il Vous suffi t de contacter votre interlocuteur afi n de déterminer avec lui une </w:t>
      </w:r>
      <w:r>
        <w:tab/>
      </w:r>
      <w:r>
        <w:rPr>
          <w:rFonts w:ascii="ArialMT" w:hAnsi="ArialMT" w:eastAsia="ArialMT"/>
          <w:b w:val="0"/>
          <w:i w:val="0"/>
          <w:color w:val="58595B"/>
          <w:sz w:val="14"/>
        </w:rPr>
        <w:t>5</w:t>
      </w:r>
    </w:p>
    <w:p>
      <w:pPr>
        <w:sectPr>
          <w:type w:val="continuous"/>
          <w:pgSz w:w="11906" w:h="16838"/>
          <w:pgMar w:top="2" w:right="0" w:bottom="30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5"/>
        <w:gridCol w:w="1385"/>
        <w:gridCol w:w="1385"/>
        <w:gridCol w:w="1385"/>
        <w:gridCol w:w="1385"/>
        <w:gridCol w:w="1385"/>
        <w:gridCol w:w="1385"/>
        <w:gridCol w:w="1385"/>
      </w:tblGrid>
      <w:tr>
        <w:trPr>
          <w:trHeight w:hRule="exact" w:val="94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028" w:type="dxa"/>
            </w:tblPr>
            <w:tblGrid>
              <w:gridCol w:w="2848"/>
              <w:gridCol w:w="2848"/>
            </w:tblGrid>
            <w:tr>
              <w:trPr>
                <w:trHeight w:hRule="exact" w:val="47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0" w:after="0"/>
                    <w:ind w:left="76" w:right="1152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Médiation conventionnelle ou judiciaire</w:t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Arbitrage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46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68" w:after="0"/>
                    <w:ind w:left="7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■ Assistance à la médiation de la consommation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68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391 €</w:t>
                  </w:r>
                </w:p>
              </w:tc>
            </w:tr>
            <w:tr>
              <w:trPr>
                <w:trHeight w:hRule="exact" w:val="31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4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de Police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66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Tribunal Correctionnel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893 €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0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Commissions diverses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2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40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d’Instance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2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850 €</w:t>
                  </w:r>
                </w:p>
              </w:tc>
            </w:tr>
            <w:tr>
              <w:trPr>
                <w:trHeight w:hRule="exact" w:val="848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76" w:right="864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de Grande Instance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Administratif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Tribunal des Affaires de la Sécurité Sociale</w:t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Autres juridictions du premier degré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2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1 116 €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Référé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670 €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Incidents d’instance et demandes incidentes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670 €</w:t>
                  </w:r>
                </w:p>
              </w:tc>
            </w:tr>
            <w:tr>
              <w:trPr>
                <w:trHeight w:hRule="exact" w:val="242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Ordonnance sur requête (forfait)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446 €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0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Cour ou juridiction d’Appel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1 817 €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76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Recours devant le premier Président de la Cour d’Appel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</w:p>
              </w:tc>
            </w:tr>
            <w:tr>
              <w:trPr>
                <w:trHeight w:hRule="exact" w:val="624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10" w:after="0"/>
                    <w:ind w:left="76" w:right="2448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Cour de Cassation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Conseil d’Etat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Cour d’Assises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20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2 100 €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" w:after="0"/>
                    <w:ind w:left="76" w:right="144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Juridictions de l’Union Européenne</w:t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Juridictions Etrangères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1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1 116 €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385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2" w:after="0"/>
                    <w:ind w:left="0" w:right="2304" w:firstLine="0"/>
                    <w:jc w:val="center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Juge de l’exécution</w:t>
                  </w:r>
                  <w:r>
                    <w:br/>
                  </w: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Juge de l’exequatur</w:t>
                  </w:r>
                </w:p>
              </w:tc>
              <w:tc>
                <w:tcPr>
                  <w:tcW w:type="dxa" w:w="1248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1" w:lineRule="auto" w:before="116" w:after="0"/>
                    <w:ind w:left="0" w:right="36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670 €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de sa santé (vieillesse, accident, maladie...) ou de ses facultés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mentales, Vous devez organiser ou avez organisé la dépendance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de votre conjoint, d’un ascendant ou d’un descendant demeurant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habituellement avec Vous et rencontrez des diffi cultés avec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une maison de retraite ou un établissement médicalisé,</w:t>
            </w:r>
          </w:p>
        </w:tc>
        <w:tc>
          <w:tcPr>
            <w:tcW w:type="dxa" w:w="160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une assistante médicale, une aide-ménagère, une aide à domicile,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4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services de proximité (portage de repas, téléassistance...),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associations spécialisées ou les collectivités (CCAS,...),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organismes chargés des allocations spécifi ques (APA,...),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...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108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4/4 LE DROIT DE VISITE DES GRANDS PARENTS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Vous êtes grands-parents et Vous rencontrez des diffi cultés pour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exercer le droit de visite ou d’hébergement, l’Assureur Vous assiste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pour exercer votre recours.</w:t>
            </w:r>
          </w:p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Modalités spécifi ques d’application de la garantie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Cette garantie s’exerce exclusivement au profi t de l’adhérent, particulier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personne physique, ayant conclu un contrat d’assurance complémentaire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santé auprès du Souscripteur, de son conjoint, concubin ou cosignataire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d’un PACS.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938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54" w:firstLine="0"/>
              <w:jc w:val="both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L’Assureur limite son engagement à la prise en charge exclusive des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honoraires d’avocat dans la limite de deux mille quatre cents euros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(2 400 €) pour l’ensemble d’une procédure.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Délai de Carence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intervient si et seulement si le recours est introduit au moins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vingt-quatre (24) mois après la prise d’effet de l’adhésion au Contrat Groupe.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5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Exclusions spécifi ques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L’Assureur ne prend jamais les litiges entre grands-parents ou les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procédures multiples relatives au(x) même(s) petit(s)-enfant(s), ni les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6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432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frais des huissiers chargés de signifi er les actes ou jugements. </w:t>
            </w: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5 : LES EXCLUSIONS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14" w:type="dxa"/>
            </w:tblPr>
            <w:tblGrid>
              <w:gridCol w:w="2848"/>
              <w:gridCol w:w="2848"/>
            </w:tblGrid>
            <w:tr>
              <w:trPr>
                <w:trHeight w:hRule="exact" w:val="260"/>
              </w:trPr>
              <w:tc>
                <w:tcPr>
                  <w:tcW w:type="dxa" w:w="5102"/>
                  <w:gridSpan w:val="2"/>
                  <w:tcBorders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38" w:after="0"/>
                    <w:ind w:left="8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58595B"/>
                      <w:sz w:val="14"/>
                    </w:rPr>
                    <w:t>PLAFONDS, FRANCHISE et SEUIL D’INTERVENTION en TTC</w:t>
                  </w:r>
                </w:p>
              </w:tc>
            </w:tr>
            <w:tr>
              <w:trPr>
                <w:trHeight w:hRule="exact" w:val="948"/>
              </w:trPr>
              <w:tc>
                <w:tcPr>
                  <w:tcW w:type="dxa" w:w="3858"/>
                  <w:tcBorders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56" w:val="left"/>
                    </w:tabs>
                    <w:autoSpaceDE w:val="0"/>
                    <w:widowControl/>
                    <w:spacing w:line="254" w:lineRule="auto" w:before="36" w:after="0"/>
                    <w:ind w:left="84" w:right="288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 xml:space="preserve">■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Plafond maximum de prise en charge par litige (U.E.,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Andorre ou Monaco) :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Dont plafond pour :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- Démarches amiables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- Expertise Judiciaire</w:t>
                  </w:r>
                </w:p>
              </w:tc>
              <w:tc>
                <w:tcPr>
                  <w:tcW w:type="dxa" w:w="124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216" w:after="0"/>
                    <w:ind w:left="144" w:right="53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22 313 €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558 €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5 419 €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3858"/>
                  <w:tcBorders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22" w:after="0"/>
                    <w:ind w:left="84" w:right="288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Plafond maximum de prise en charge par Litige (hors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U.E., Andorre ou Monaco) </w:t>
                  </w:r>
                </w:p>
              </w:tc>
              <w:tc>
                <w:tcPr>
                  <w:tcW w:type="dxa" w:w="124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18" w:after="0"/>
                    <w:ind w:left="24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2 789 €</w:t>
                  </w:r>
                </w:p>
              </w:tc>
            </w:tr>
            <w:tr>
              <w:trPr>
                <w:trHeight w:hRule="exact" w:val="244"/>
              </w:trPr>
              <w:tc>
                <w:tcPr>
                  <w:tcW w:type="dxa" w:w="3858"/>
                  <w:tcBorders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4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Seuil d’intervention </w:t>
                  </w:r>
                </w:p>
              </w:tc>
              <w:tc>
                <w:tcPr>
                  <w:tcW w:type="dxa" w:w="124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0 €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3858"/>
                  <w:tcBorders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18" w:after="0"/>
                    <w:ind w:left="84" w:right="0" w:firstLine="0"/>
                    <w:jc w:val="left"/>
                  </w:pPr>
                  <w:r>
                    <w:rPr>
                      <w:w w:val="98.7500011920929"/>
                      <w:rFonts w:ascii="ArialMT" w:hAnsi="ArialMT" w:eastAsia="ArialMT"/>
                      <w:b w:val="0"/>
                      <w:i w:val="0"/>
                      <w:color w:val="58595B"/>
                      <w:sz w:val="16"/>
                    </w:rPr>
                    <w:t>■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 xml:space="preserve"> Franchise</w:t>
                  </w:r>
                </w:p>
              </w:tc>
              <w:tc>
                <w:tcPr>
                  <w:tcW w:type="dxa" w:w="1244"/>
                  <w:tcBorders>
                    <w:start w:sz="2.0" w:val="single" w:color="#57585A"/>
                    <w:top w:sz="2.0" w:val="single" w:color="#57585A"/>
                    <w:end w:sz="2.0" w:val="single" w:color="#57585A"/>
                    <w:bottom w:sz="2.0" w:val="single" w:color="#57585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14"/>
                    </w:rPr>
                    <w:t>0 €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40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L’ASSUREUR N’INTERVIENT JAMAIS POUR LES LITIGES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NE RELEVANT PAS DE VOTRE VIE PRIVEE, OU PLUS GENERALEMENT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NE RELEVANT PAS DES GARANTIES EXPRESSEMENT DECRITES A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8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L’ARTICLE 4,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TROUVANT LEUR ORIGINE DANS UNE GUERRE CIVILE OU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ETRANGERE, UNE EMEUTE, UN MOUVEMENT POPULAIRE, UNE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MANIFESTATION, UNE RIXE, UN ATTENTAT, UN ACTE DE VANDALISME,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SABOTAGE OU DE TERRORISME,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DONT LES MANIFESTATIONS INITIALES SONT ANTERIEURES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CONNUES DE VOUS A LA PRISE D’EFFET DE L’ADHESION AU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4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PRESENT CONTRAT GROUPE,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" w:after="0"/>
              <w:ind w:left="8" w:right="432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Les montants sont cumulables et représentent le maximum des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engagements par intervention ou juridiction.</w:t>
            </w:r>
          </w:p>
          <w:p>
            <w:pPr>
              <w:autoSpaceDN w:val="0"/>
              <w:autoSpaceDE w:val="0"/>
              <w:widowControl/>
              <w:spacing w:line="262" w:lineRule="auto" w:before="0" w:after="0"/>
              <w:ind w:left="8" w:right="542" w:firstLine="0"/>
              <w:jc w:val="both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Ces montants comprennent les frais habituels inhérents à la gestion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d’un dossier (frais de copie, de téléphone, de déplacement,  de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postulation, etc…) et constituent la limite de la prise en charge même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en cas de pluralité ou de changement d’avocat.</w:t>
            </w:r>
          </w:p>
          <w:p>
            <w:pPr>
              <w:autoSpaceDN w:val="0"/>
              <w:autoSpaceDE w:val="0"/>
              <w:widowControl/>
              <w:spacing w:line="290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Les honoraires sont réglés une fois la prestation effectuée.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8" w:right="432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La subrogation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indemnités qui pourraient Vous être allouées au titre des articles 700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EN RAPPORT AVEC UNE VIOLATION INTENTIONNELLE DES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1385"/>
            <w:vMerge/>
            <w:tcBorders/>
          </w:tcPr>
          <w:p/>
        </w:tc>
        <w:tc>
          <w:tcPr>
            <w:tcW w:type="dxa" w:w="1140"/>
            <w:tcBorders/>
            <w:shd w:fill="d0d2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OBLIGATIONS </w:t>
            </w:r>
          </w:p>
        </w:tc>
        <w:tc>
          <w:tcPr>
            <w:tcW w:type="dxa" w:w="860"/>
            <w:tcBorders/>
            <w:shd w:fill="d0d2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LEGALES </w:t>
            </w:r>
          </w:p>
        </w:tc>
        <w:tc>
          <w:tcPr>
            <w:tcW w:type="dxa" w:w="400"/>
            <w:tcBorders/>
            <w:shd w:fill="d0d2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</w:t>
            </w:r>
          </w:p>
        </w:tc>
        <w:tc>
          <w:tcPr>
            <w:tcW w:type="dxa" w:w="1600"/>
            <w:tcBorders/>
            <w:shd w:fill="d0d2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INCONTESTABLES, </w:t>
            </w:r>
          </w:p>
        </w:tc>
        <w:tc>
          <w:tcPr>
            <w:tcW w:type="dxa" w:w="480"/>
            <w:tcBorders/>
            <w:shd w:fill="d0d2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FAUTE,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 ACTE FRAUDULEUX OU DOLOSIF QUE VOUS AVEZ COMMIS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VOLONTAIREMENT CONTRE LES BIENS OU LES PERSONNES EN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PLEINE CONSCIENCE DE LEURS CONSEQUENCES DOMMAGEABLES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ET NUISIBLES,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GARANTIS PAR UNE ASSURANCE DOMMAGES OU RESPONSABILITE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CIVILE ET CEUX RELEVANT DU DEFAUT DE SOUSCRIPTION PAR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1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VOUS D’UNE ASSURANCE OBLIGATOIRE,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6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du Code de Procédure Civile, 375 et 475-1 du Code de Procédure Pénale,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SURVENANT LORSQUE VOUS ETES  EN ETAT D’IVRESSE PUBLIQUE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L761-1 du Code de Justice Administrative ou leurs équivalents devant les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MANIFESTE OU LORSQUE LE TAUX D’ALCOOLEMIE EST EGAL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juridictions étrangères, ainsi que les dépens et autres frais de procédure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1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SUPERIEUR A CELUI LEGALEMENT ADMIS DANS LE PAYS OU A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4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Vous bénéfi cient par priorité pour les dépenses dûment justifi ées restées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2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LIEU LE SINISTRE, OU SOUS L’INFLUENCE DE SUBSTANCES OU DE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à votre charge, et subsidiairement à l’Assureur dans la limite des sommes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PLANTES CLASSEES COMME STUPEFIANTS OU LORSQUE VOUS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qu’il a engagées.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REFUSEZ DE VOUS SOUMETTRE A UN DEPISTAGE,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74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8" w:right="432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3/5 Le suivi jusqu’à la parfaite execution des décisions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Parce qu’un Litige ne se termine pas à la délivrance d’une décision de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RELATIFS AUX CONSTRUCTIONS ET TRAVAUX SOUMIS A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L’OBLIGATION D’ASSURANCE DOMMAGES-OUVRAGE,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0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justice, l’Assureur Vous accompagne jusqu’à sa parfaite exécution, soit à </w:t>
            </w:r>
          </w:p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VOUS OPPOSANT AU SOUSCRIPTEUR.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l’amiable, soit par la saisine d’un huissier territorialement compétent.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4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" w:after="0"/>
              <w:ind w:left="0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L’ASSUREUR NE PREND JAMAIS EN CHARGE 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FRAIS ENGAGÉS SANS L’ACCORD PRÉALABLE DE L’ASSUREUR,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00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prend en charge les frais et honoraires de cet huissier dans la 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limite des plafonds contractuels garantis jusqu’à votre total désintéressement.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6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SAUF URGENCE CARACTERISÉE NÉCESSITANT LA PRISE IMMÉDIATE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7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L’intervention de l’Assureur cesse en cas d’insolvabilité notoire de votre 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D’UNE MESURE CONSERVATOIRE,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1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débiteur constatée par un procès-verbal de carence dressé par huissier, 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TOUTE SOMME DE TOUTE NATURE DUE À TITRE PRINCIPAL, LES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2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d’incarcération de votre débiteur, par sa liquidation judiciaire, ou lorsqu’il est 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AMENDES, LES CAUTIONS, LES CONSIGNATIONS PÉNALES, LES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sans domicile fi xe.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ASTREINTES, LES INTÉRÊTS ET PÉNALITÉS DE RETARD,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696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4 : LES GARANTIES DE L’ASSUREUR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FRAIS DE RÉDACTION D’ACTES ET DE CONTRATS,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  <w:tc>
          <w:tcPr>
            <w:tcW w:type="dxa" w:w="5200"/>
            <w:gridSpan w:val="6"/>
            <w:vMerge w:val="restart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FRAIS DESTINÉS À PROUVER LA RÉALITÉ DE VOTRE </w:t>
            </w:r>
          </w:p>
        </w:tc>
        <w:tc>
          <w:tcPr>
            <w:tcW w:type="dxa" w:w="1385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2"/>
        </w:trPr>
        <w:tc>
          <w:tcPr>
            <w:tcW w:type="dxa" w:w="5696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0" w:after="0"/>
              <w:ind w:left="8" w:right="432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4/1 L’AGRESSION ET L’ATTEINTE A L’INTEGRITE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Vous êtes victime d’une agression ou d’une atteinte accidentelle à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votre intégrité physique et/ou morale et souhaitez être assisté et faire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valoir vos droits à l’encontre du Tiers responsable de votre préjudice.</w:t>
            </w:r>
          </w:p>
        </w:tc>
        <w:tc>
          <w:tcPr>
            <w:tcW w:type="dxa" w:w="8310"/>
            <w:gridSpan w:val="6"/>
            <w:vMerge/>
            <w:tcBorders/>
          </w:tcPr>
          <w:p/>
        </w:tc>
        <w:tc>
          <w:tcPr>
            <w:tcW w:type="dxa" w:w="16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7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6</w:t>
            </w:r>
          </w:p>
        </w:tc>
      </w:tr>
      <w:tr>
        <w:trPr>
          <w:trHeight w:hRule="exact" w:val="180"/>
        </w:trPr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PRÉJUDICE,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FRAIS D’IDENTIFICATION OU DE RECHERCHE DE VOTRE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ADVERSAIRE,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FRAIS EXPOSÉS AU TITRE DE MESURES CONSERVATOIRES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8" w:right="432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4/2 LE RECOURS MEDICAL ET PHARMACEUTIQUE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Vous êtes victime d’une erreur médicale, d’un retard ou d’une erreur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de diagnostic, d’une infection nosocomiale ou d’un défaut de conseil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d’un praticien à l’occasion d’une maladie, d’une hospitalisation ou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de tous soins ou examens médicaux et souhaitez être assisté et faire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valoir vos droits face à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: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 établissement de soins public ou privé ;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OU ENGAGÉS À VOTRE INITIATIVE,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DÉPENS ET FRAIS DE JUSTICE EXPOSÉS PAR LA PARTIE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ADVERSE QUE VOUS DEVEZ SUPPORTER PAR DÉCISION JUDICIAIRE,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4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SOMMES AU PAIEMENT DESQUELLES VOUS ÊTES CONDAMNÉ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TITRE DES ARTICLES 700 DU CODE DE PROCÉDURE CIVILE, 375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475-1 DU CODE DE PROCÉDURE PÉNALE, L761-1 DU CODE DE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207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JUSTICE ADMINISTRATIVE, AINSI QUE DE LEURS ÉQUIVALENTS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3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un professionnel de santé ;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DEVANT LES JURIDICTIONS ÉTRANGÈRES,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l’ONIAM ...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SOMMES DONT VOUS ÊTES LÉGALEMENT REDEVABLE AU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70"/>
        </w:trPr>
        <w:tc>
          <w:tcPr>
            <w:tcW w:type="dxa" w:w="56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8" w:after="0"/>
              <w:ind w:left="8" w:right="432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4/3 LE HANDICAP ET LA DEPENDANCE : </w:t>
            </w:r>
            <w:r>
              <w:br/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Suite à une perte d’autonomie, que ce soit du fait d’une altération </w:t>
            </w:r>
          </w:p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TITRE DE DROITS PROPORTIONNELS,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280"/>
        </w:trPr>
        <w:tc>
          <w:tcPr>
            <w:tcW w:type="dxa" w:w="1385"/>
            <w:vMerge/>
            <w:tcBorders/>
          </w:tcPr>
          <w:p/>
        </w:tc>
        <w:tc>
          <w:tcPr>
            <w:tcW w:type="dxa" w:w="5200"/>
            <w:gridSpan w:val="6"/>
            <w:tcBorders/>
            <w:shd w:fill="d0d2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" w:after="0"/>
              <w:ind w:left="0" w:right="0" w:firstLine="0"/>
              <w:jc w:val="center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LES HONORAIRES DE RÉSULTAT DE TOUT AUXILIAIRE DE JUSTICE. </w:t>
            </w:r>
          </w:p>
        </w:tc>
        <w:tc>
          <w:tcPr>
            <w:tcW w:type="dxa" w:w="1385"/>
            <w:vMerge/>
            <w:tcBorders>
              <w:top w:sz="6.0" w:val="single" w:color="#57585A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70" w:right="282" w:bottom="278" w:left="5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9"/>
        <w:gridCol w:w="3689"/>
        <w:gridCol w:w="3689"/>
      </w:tblGrid>
      <w:tr>
        <w:trPr>
          <w:trHeight w:hRule="exact" w:val="246"/>
        </w:trPr>
        <w:tc>
          <w:tcPr>
            <w:tcW w:type="dxa" w:w="5402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6 : LA DÉCLARATION DES SINISTRES</w:t>
            </w:r>
          </w:p>
        </w:tc>
        <w:tc>
          <w:tcPr>
            <w:tcW w:type="dxa" w:w="5480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tenues au secret professionnel.</w:t>
            </w:r>
          </w:p>
        </w:tc>
        <w:tc>
          <w:tcPr>
            <w:tcW w:type="dxa" w:w="160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5402"/>
            <w:tcBorders>
              <w:top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Pour déclarer votre sinistre, Vous devez adresser à l’Assureur :</w:t>
            </w:r>
          </w:p>
        </w:tc>
        <w:tc>
          <w:tcPr>
            <w:tcW w:type="dxa" w:w="548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62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8/2 L’obligation à désistement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Toute personne, chargée d’une prestation juridique, qui a un intérêt direct </w:t>
            </w:r>
          </w:p>
        </w:tc>
        <w:tc>
          <w:tcPr>
            <w:tcW w:type="dxa" w:w="16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6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la description de la nature et des circonstances de votre Litige avec la plus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grande précision et sincérité,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ou indirect à son objet, doit se désister.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éléments établissant la réalité du préjudice que Vous alléguez,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144" w:right="0" w:firstLine="0"/>
              <w:jc w:val="center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8/3 L’examen de vos réclamations - la médiation de la consommation: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Une réclamation est une déclaration actant le mécontentement d’un client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8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les coordonnées de votre adversaire,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42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et toutes les pièces et informations utiles à l’instruction de votre dossier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envers un professionnel : une demande de service ou de prestation,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6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telles qu’avis, lettres, convocations, actes d’huissier, assignations…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d’information, de clarification ou d’avis n’est pas une réclamation.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.000000000000043" w:type="dxa"/>
            </w:tblPr>
            <w:tblGrid>
              <w:gridCol w:w="5402"/>
            </w:tblGrid>
            <w:tr>
              <w:trPr>
                <w:trHeight w:hRule="exact" w:val="384"/>
              </w:trPr>
              <w:tc>
                <w:tcPr>
                  <w:tcW w:type="dxa" w:w="5116"/>
                  <w:tcBorders/>
                  <w:shd w:fill="d5d6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18" w:after="0"/>
                    <w:ind w:left="0" w:right="0" w:firstLine="0"/>
                    <w:jc w:val="left"/>
                  </w:pPr>
                  <w:r>
                    <w:rPr>
                      <w:w w:val="102.66666412353516"/>
                      <w:rFonts w:ascii="Arial" w:hAnsi="Arial" w:eastAsia="Arial"/>
                      <w:b/>
                      <w:i w:val="0"/>
                      <w:color w:val="58595B"/>
                      <w:sz w:val="15"/>
                    </w:rPr>
                    <w:t>COMMENT CONTACTER VOTRE ASSUREUR ?</w:t>
                  </w:r>
                </w:p>
                <w:p>
                  <w:pPr>
                    <w:autoSpaceDN w:val="0"/>
                    <w:autoSpaceDE w:val="0"/>
                    <w:widowControl/>
                    <w:spacing w:line="278" w:lineRule="auto" w:before="0" w:after="0"/>
                    <w:ind w:left="0" w:right="0" w:firstLine="0"/>
                    <w:jc w:val="center"/>
                  </w:pPr>
                  <w:r>
                    <w:rPr>
                      <w:w w:val="102.66666412353516"/>
                      <w:rFonts w:ascii="ArialMT" w:hAnsi="ArialMT" w:eastAsia="ArialMT"/>
                      <w:b w:val="0"/>
                      <w:i w:val="0"/>
                      <w:color w:val="58595B"/>
                      <w:sz w:val="15"/>
                    </w:rPr>
                    <w:t>Par courrier à : Cfdp Assurances – CS 60011 – 66028 PERPIGNAN CEDEX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20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Toute réclamation concernant le Contrat Groupe, sa distribution ou le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traitement d’un Litige, peut être formulée par priorité auprès de votre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7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Par mail à : fma-sante@cfdp.fr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7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interlocuteur habituel, et si sa réponse ne Vous satisfait pas, auprès du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8" w:right="248" w:firstLine="0"/>
              <w:jc w:val="both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En cas de fausse déclaration intentionnelle de votre part sur la cause,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les circonstances ou encore les conséquences du Litige, Vous pouvez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être déchu de vos droits à garantie, voire encourir des sanctions </w:t>
            </w: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>pénales.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Vous devez déclarer votre Litige dès que vous en avez connaissance,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Service Relation Client de l’Assureur : </w:t>
            </w:r>
          </w:p>
        </w:tc>
        <w:tc>
          <w:tcPr>
            <w:tcW w:type="dxa" w:w="160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- en remplissant le formulaire de réclamation sur le site internet Cfdp http://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02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www.cfdp.fr/decouvrir-cfdp/aide-infos-contact/deposer-une-reclamation/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0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 par email à relationclient@cfdp.fr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1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-ou par courrier : Cfdp Service Relation Client – Immeuble l’Europe, 62 rue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sauf cas de force majeure. Néanmoins, l’Assureur ne Vous opposera pas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 Bonnel 69003 Lyon Cedex.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déchéance de garantie pour déclaration tardive sauf s’il prouve que le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 compter de la réception de la réclamation, l’Assureur s’engage à en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3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retard dans la déclaration lui a causé un préjudice.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accuser réception sous dix (10) jours ouvrables, et, en tout état de cause, à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Dans votre propre intérêt, évitez de prendre une initiative sans concertation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traiter dans un délai maximum de deux (2) mois.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préalable avec l’Assureur : si Vous prenez une mesure, de quelque nature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7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6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 aucune solution n’a pu être trouvée dans le cadre de la réclamation, Vous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64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qu’elle soit, mandatez un avocat ou tout autre auxiliaire de justice, expert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89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sachant, avant d’en avoir avisé l’Assureur et obtenu son accord écrit, les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pouvez saisir gratuitement notre Médiateur de la consommation dont voici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1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frais exposés resteront à votre charge.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les coordonnées :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48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La Médiation de l’Assurance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32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Néanmoins, si Vous justifiez d’une situation d’urgence caractérisée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TSA 50110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3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nécessitant la prise immédiate d’une mesure conservatoire, l’Assureur Vous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75441 Paris Cedex 09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remboursera, dans la limite des montants contractuels garantis, les frais et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http://www.mediation-assurance.org/Saisir+le+mediateur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honoraires des intervenants que Vous avez mandatés, sans avoir obtenu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s’engage par avance à accepter la position qui sera prise par la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3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son accord préalable.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8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Médiation de l’Assurance.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5402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2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7 : L’APPLICATION DES GARANTIES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170"/>
        </w:trPr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  <w:tc>
          <w:tcPr>
            <w:tcW w:type="dxa" w:w="5480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262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8/4 Le désaccord ou l’arbitrage (article L127-4 du Code des </w:t>
            </w:r>
          </w:p>
        </w:tc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</w:tr>
      <w:tr>
        <w:trPr>
          <w:trHeight w:hRule="exact" w:val="250"/>
        </w:trPr>
        <w:tc>
          <w:tcPr>
            <w:tcW w:type="dxa" w:w="5402"/>
            <w:tcBorders>
              <w:top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4" w:after="0"/>
              <w:ind w:left="8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>7/1 L’application dans le temps</w:t>
            </w:r>
          </w:p>
        </w:tc>
        <w:tc>
          <w:tcPr>
            <w:tcW w:type="dxa" w:w="548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62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Assurances)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 cas de désaccord entre Vous et l’Assureur au sujet de mesures à prendre </w:t>
            </w:r>
          </w:p>
        </w:tc>
        <w:tc>
          <w:tcPr>
            <w:tcW w:type="dxa" w:w="160"/>
            <w:vMerge w:val="restart"/>
            <w:tcBorders>
              <w:top w:sz="6.0" w:val="single" w:color="#57585A"/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" w:after="0"/>
              <w:ind w:left="8" w:right="144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La durée de la garantie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Sous réserve du paiement de la prime, les garanties du Contrat Groupe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9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pour régler un Litige, cette difficulté peut être soumise à l’appréciation d’une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6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tierce personne désignée d’un commun accord par les parties ou, à défaut, par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suivent le sort de l’adhésion du(des) Bénéficiaire(s) au contrat d’assurance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le Président du Tribunal de Grande Instance statuant en la forme des référés.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4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complémentaire santé conclu auprès du Souscripteur, auquel elles sont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5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frais exposés pour la mise en œuvre de cette faculté sont à la charge de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4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annexées.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5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l’Assureur ; toutefois, le Président du Tribunal de Grande Instance, statuant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Elles prennent effet dès l’adhésion et sont applicables pendant toute la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7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 la forme des référés, peut en décider autrement lorsque Vous avez mis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durée de l’adhésion, sauf pendant les périodes de suspension du contrat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6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en œuvre cette faculté dans des conditions abusives.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d’assurance complémentaire santé conclu auprès du Souscripteur.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 Vous avez engagé à vos frais une procédure contentieuse et obtenez une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3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4" w:after="0"/>
              <w:ind w:left="8" w:right="144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La prescription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prescription est l’extinction d’un droit résultant de l’inaction de son titulaire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solution plus favorable que celle qui Vous avait été proposée par l’Assureur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9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ou par la tierce personne mentionnée à l’alinéa précédent, l’Assureur Vous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8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pendant un délai défini par la Loi. Toutes actions dérivant d’un contrat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indemnise des frais exposés pour l’exercice de cette action, dans la limite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9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d’assurance sont prescrites par deux (2) ans à compter de l’événement qui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8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des montants contractuels garantis.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y donne naissance (article L114-1 du Code des Assurances). Toutefois, ce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7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262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8/5 Le conflit d’intérêts (article L127-5 du Code des Assurances) :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En cas de conflit d’intérêts entre Vous et l’Assureur ou de désaccord quant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délai ne court en cas de réticence, omission, déclaration fausse ou inexacte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66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sur le risque couru, que du jour où l’Assureur en a eu connaissance, ou en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9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cas  de Sinistre, que du jour où les intéressés en ont eu connaissance, s’ils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règlement du Litige, Vous bénéficiez du libre choix de l’avocat ou de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65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prouvent qu’ils l’ont ignoré jusque-là.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toute autre personne qualifiée par la législation ou la réglementation en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5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vigueur pour Vous défendre, et de la possibilité de recourir à la procédure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Quand l’action de l’assuré contre l’Assureur a pour cause le recours d’un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7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de désaccord et d’arbitrage.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6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Tiers, le délai de la prescription ne court que du jour où ce Tiers a exercé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20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une action en justice contre l’assuré ou a été indemnisé par ce dernier.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62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8/6 Démarchage téléphonique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Conformément à la loi 2014-344 du 17 mars 2014, si Vous ne souhaitez pas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prescription ne court  pas ou est suspendue contre celui qui est dans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8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l’impossibilité d’agir par suite d’un empêchement résultant de la loi, de la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faire l’objet de prospection commerciale par voie téléphonique de la part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9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convention ou de la force majeure. La prescription est interrompue par une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d’un professionnel avec lequel Vous n’avez pas de relation contractuelle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3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des causes ordinaires d’interruption de la prescription et par la désignation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préexistante, Vous pouvez Vous inscrire gratuitement sur la liste d’opposition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8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d’experts à la suite d’un Sinistre.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 démarchage téléphonique sur le site internet www.bloctel.gouv.fr ou  par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8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L’interruption de la prescription de l’action peut, en outre, résulter de l’envoi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courrier auprès de l’organisme OPPOSETEL, à l’adresse suivante : Société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93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d’une lettre recommandée avec accusé de réception adressée par l’Assureur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Opposetel -Service Bloctel 6, rue Nicolas Siret - 10 000 Troyes.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91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à l’assuré en ce qui concerne l’action en paiement de la prime et par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" w:after="0"/>
              <w:ind w:left="262" w:right="0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8/7 La protection de vos données :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Aux termes du Règlement Général sur la Protection des Données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l’assuré à l’Assureur en ce qui concerne le règlement de l’indemnité (article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98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L114-2 du Code des Assurances). Les causes ordinaires d’interruption de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98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Personnelles (RGPD) et de la loi Informatique et Libertés modifiée, FMA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8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la prescription sont la demande en justice, l’acte d’exécution forcée, la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Assurances et CFDP Assurances doivent Vous donner plus de contrôle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8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reconnaissance du droit par le débiteur.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0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et de transparence sur l’utilisation de vos données personnelles en Vous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92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Un nouveau délai de deux (2) ans court à compter de l’acte interruptif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0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expliquant quelles données sont collectées, dans quelle finalité, mais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82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prescription ; il peut être suspendu ou interrompu dans les mêmes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02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également comment ils les protègent et quels sont vos droits à leur égard.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conditions que le premier.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3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8" w:right="144" w:firstLine="0"/>
              <w:jc w:val="left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7/2 L’application dans l’espace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garanties du Contrat Groupe s’exercent conformément aux modalités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" w:hAnsi="Arial" w:eastAsia="Arial"/>
                <w:b/>
                <w:i w:val="0"/>
                <w:color w:val="58595B"/>
                <w:sz w:val="15"/>
              </w:rPr>
              <w:t xml:space="preserve">Collecte et finalités d’utilisation de vos données personnelles </w:t>
            </w:r>
            <w:r>
              <w:br/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données collectées par FMA Assurances dans le cadre de la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prévues à l’article 3 dans tous les pays de l’Union Européenne ainsi qu’en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souscription, de la gestion du contrat d’assurance sont liées à vos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95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Principauté d’Andorre et Principauté de Monaco : l’Assureur s’appuiera le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informations d’identification et de contact (nom, prénom, adresse postale,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5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cas échéant sur des correspondants habilités par la législation locale.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numéro de client, dates d’effet et de fin d’adhésion).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Dans les autres pays, l’intervention de l’Assureur se limite au remboursement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6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 traitement de ces données personnelles a pour principale finalité la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60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sur justificatifs des frais et honoraires de procédure à hauteur du plafond de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36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passation, la gestion (y compris commerciale) et l’exécution du contrat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44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prise en charge spécifique prévu à l’article relatif aux montants contractuels 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60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d’assurance. Les données collectées sont également susceptibles, en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60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prise en charge pour les pays autres que l’Union Européenne et les 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tout ou partie, d’être utilisées par les responsables de traitement dans le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56"/>
        </w:trPr>
        <w:tc>
          <w:tcPr>
            <w:tcW w:type="dxa" w:w="54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>Principautés d’Andorre et de Monaco.</w:t>
            </w:r>
          </w:p>
        </w:tc>
        <w:tc>
          <w:tcPr>
            <w:tcW w:type="dxa" w:w="3689"/>
            <w:vMerge/>
            <w:tcBorders/>
          </w:tcPr>
          <w:p/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4"/>
        </w:trPr>
        <w:tc>
          <w:tcPr>
            <w:tcW w:type="dxa" w:w="3689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cadre de contentieux éventuel (judiciaire ou arbitral), pour la lutte contre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80"/>
        </w:trPr>
        <w:tc>
          <w:tcPr>
            <w:tcW w:type="dxa" w:w="5402"/>
            <w:vMerge w:val="restart"/>
            <w:tcBorders>
              <w:bottom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5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58595B"/>
                <w:sz w:val="18"/>
              </w:rPr>
              <w:t>ART. 8 : LA PROTECTION DE VOS INTERETS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 blanchiment et le financement du terrorisme (LCBFT), pour le traitement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128"/>
        </w:trPr>
        <w:tc>
          <w:tcPr>
            <w:tcW w:type="dxa" w:w="3689"/>
            <w:vMerge/>
            <w:tcBorders>
              <w:bottom w:sz="6.0" w:val="single" w:color="#57585A"/>
            </w:tcBorders>
          </w:tcPr>
          <w:p/>
        </w:tc>
        <w:tc>
          <w:tcPr>
            <w:tcW w:type="dxa" w:w="5480"/>
            <w:tcBorders>
              <w:bottom w:sz="6.0" w:val="single" w:color="#57585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des réclamations clients, plus largement afn de permettre aux responsables </w:t>
            </w:r>
          </w:p>
        </w:tc>
        <w:tc>
          <w:tcPr>
            <w:tcW w:type="dxa" w:w="3689"/>
            <w:vMerge/>
            <w:tcBorders>
              <w:top w:sz="6.0" w:val="single" w:color="#57585A"/>
              <w:bottom w:sz="6.0" w:val="single" w:color="#57585A"/>
            </w:tcBorders>
          </w:tcPr>
          <w:p/>
        </w:tc>
      </w:tr>
      <w:tr>
        <w:trPr>
          <w:trHeight w:hRule="exact" w:val="52"/>
        </w:trPr>
        <w:tc>
          <w:tcPr>
            <w:tcW w:type="dxa" w:w="5402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0" w:right="144" w:firstLine="0"/>
              <w:jc w:val="center"/>
            </w:pPr>
            <w:r>
              <w:rPr>
                <w:w w:val="98.7500011920929"/>
                <w:rFonts w:ascii="Arial" w:hAnsi="Arial" w:eastAsia="Arial"/>
                <w:b/>
                <w:i w:val="0"/>
                <w:color w:val="231F20"/>
                <w:sz w:val="16"/>
              </w:rPr>
              <w:t xml:space="preserve">8/1 Le secret professionnel (article L127-7 du Code des Assurances) : </w:t>
            </w: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Les personnes qui ont à connaître des informations que Vous communiquez </w:t>
            </w:r>
          </w:p>
        </w:tc>
        <w:tc>
          <w:tcPr>
            <w:tcW w:type="dxa" w:w="5480"/>
            <w:tcBorders>
              <w:top w:sz="6.0" w:val="single" w:color="#57585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6.0" w:val="single" w:color="#57585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5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58595B"/>
                <w:sz w:val="14"/>
              </w:rPr>
              <w:t>7</w:t>
            </w:r>
          </w:p>
        </w:tc>
      </w:tr>
      <w:tr>
        <w:trPr>
          <w:trHeight w:hRule="exact" w:val="194"/>
        </w:trPr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de traitement de se conformer à une réglementation applicable ou encore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202"/>
        </w:trPr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afin d’améliorer, le cas échéant, le(s) produit(s) d’assurance, d’évaluer votre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  <w:tr>
        <w:trPr>
          <w:trHeight w:hRule="exact" w:val="192"/>
        </w:trPr>
        <w:tc>
          <w:tcPr>
            <w:tcW w:type="dxa" w:w="5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8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pour les besoins de votre cause, dans le cadre du Contrat Groupe, sont 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2" w:right="0" w:firstLine="0"/>
              <w:jc w:val="left"/>
            </w:pPr>
            <w:r>
              <w:rPr>
                <w:w w:val="102.66666412353516"/>
                <w:rFonts w:ascii="ArialMT" w:hAnsi="ArialMT" w:eastAsia="ArialMT"/>
                <w:b w:val="0"/>
                <w:i w:val="0"/>
                <w:color w:val="58595B"/>
                <w:sz w:val="15"/>
              </w:rPr>
              <w:t xml:space="preserve">situation au regard de vos besoins d’assurance, d’évaluer la qualité des </w:t>
            </w:r>
          </w:p>
        </w:tc>
        <w:tc>
          <w:tcPr>
            <w:tcW w:type="dxa" w:w="3689"/>
            <w:vMerge/>
            <w:tcBorders>
              <w:top w:sz="6.0" w:val="single" w:color="#57585A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54" w:right="282" w:bottom="304" w:left="5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produits ou services fournis (enquête qualité et de satisfaction).</w:t>
      </w:r>
    </w:p>
    <w:p>
      <w:pPr>
        <w:autoSpaceDN w:val="0"/>
        <w:autoSpaceDE w:val="0"/>
        <w:widowControl/>
        <w:spacing w:line="254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Les données collectées directement par CFDP Assurances sont toutes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données strictement nécessaires à l’exécution du contrat et la gestion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des sinistres protection juridique telles que, notamment, vos données de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situation familiale, de formation et d’emploi, vos données de santé (avec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votre accord pour la gestion de vos sinistres lorsque cela est nécessaire)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vos données relatives aux infractions, aux condamnations pénales et aux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mesures de sûreté connexes (avec votre accord pour la gestion de vos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sinistres lorsque cela est nécessaire). </w:t>
      </w:r>
    </w:p>
    <w:p>
      <w:pPr>
        <w:autoSpaceDN w:val="0"/>
        <w:autoSpaceDE w:val="0"/>
        <w:widowControl/>
        <w:spacing w:line="259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responsable de traitement dans le cadre de la souscription, la gestion du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contrat d’assurance et de la relation avec le client est FMA Assurances 8/14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Avenue de l’Arche 92419 Courbevoie cedex. </w:t>
      </w:r>
    </w:p>
    <w:p>
      <w:pPr>
        <w:autoSpaceDN w:val="0"/>
        <w:autoSpaceDE w:val="0"/>
        <w:widowControl/>
        <w:spacing w:line="257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responsable de traitement dans le cadre de l’exécution du contrat de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protection juridique et la gestion des dossiers sinistres protection juridique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est CFDP Assurances SA, 62 rue de Bonnel - Immeuble l’Europe - 69003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Lyon.</w:t>
      </w:r>
    </w:p>
    <w:p>
      <w:pPr>
        <w:autoSpaceDN w:val="0"/>
        <w:autoSpaceDE w:val="0"/>
        <w:widowControl/>
        <w:spacing w:line="257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base juridique du traitement de vos données est fondée soit sur la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passation, la gestion et l’exécution de votre contrat d’assurance, soit sur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respect des obligations légales et règlementaires de FMA Assurances et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CFDP Assurances.</w:t>
      </w:r>
    </w:p>
    <w:p>
      <w:pPr>
        <w:autoSpaceDN w:val="0"/>
        <w:autoSpaceDE w:val="0"/>
        <w:widowControl/>
        <w:spacing w:line="254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Pour les finalités indiquées précédemment, tout ou partie de ces données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pourront être utilisées par différents services de FMA Assurances et CFDP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Assurances et pourront le cas échéant être transmises à leurs partenaires,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mandataires, réassureurs, organismes professionnels, sous-traitants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missionnés ainsi qu’aux organismes d’assurance des personnes impliquées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et aux organismes et autorités publics.</w:t>
      </w:r>
    </w:p>
    <w:p>
      <w:pPr>
        <w:autoSpaceDN w:val="0"/>
        <w:autoSpaceDE w:val="0"/>
        <w:widowControl/>
        <w:spacing w:line="290" w:lineRule="auto" w:before="36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Localisation de vos données personnelles</w:t>
      </w:r>
    </w:p>
    <w:p>
      <w:pPr>
        <w:autoSpaceDN w:val="0"/>
        <w:autoSpaceDE w:val="0"/>
        <w:widowControl/>
        <w:spacing w:line="257" w:lineRule="auto" w:before="2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Les données personnelles collectées sont hébergées dans l’Union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Européenne. Si un transfert hors de l’Union européenne des données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personnelles collectées et traitées devait être réalisé, des garanties seraient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prises pour l’encadrer juridiquement et assurer un bon niveau de protection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de ces données.</w:t>
      </w:r>
    </w:p>
    <w:p>
      <w:pPr>
        <w:autoSpaceDN w:val="0"/>
        <w:autoSpaceDE w:val="0"/>
        <w:widowControl/>
        <w:spacing w:line="290" w:lineRule="auto" w:before="36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Durée de conservation de vos données personnelles</w:t>
      </w:r>
    </w:p>
    <w:p>
      <w:pPr>
        <w:autoSpaceDN w:val="0"/>
        <w:autoSpaceDE w:val="0"/>
        <w:widowControl/>
        <w:spacing w:line="257" w:lineRule="auto" w:before="28" w:after="0"/>
        <w:ind w:left="0" w:right="590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Ces données sont conservées durant une période maximale correspondant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au temps nécessaire aux différentes opérations ci-dessus listées ou pour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durée spécifiquement prévue par la CNIL (normes pour le secteur de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l’assurance) ou encore par la loi (prescriptions légales).</w:t>
      </w:r>
    </w:p>
    <w:p>
      <w:pPr>
        <w:autoSpaceDN w:val="0"/>
        <w:autoSpaceDE w:val="0"/>
        <w:widowControl/>
        <w:spacing w:line="264" w:lineRule="auto" w:before="36" w:after="0"/>
        <w:ind w:left="0" w:right="590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Vos données personnelles ne seront pas conservées plus longtemps que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nécessaire pour satisfaire ces finalités.</w:t>
      </w:r>
    </w:p>
    <w:p>
      <w:pPr>
        <w:autoSpaceDN w:val="0"/>
        <w:autoSpaceDE w:val="0"/>
        <w:widowControl/>
        <w:spacing w:line="290" w:lineRule="auto" w:before="36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Vos droits à la protection de vos données</w:t>
      </w:r>
    </w:p>
    <w:p>
      <w:pPr>
        <w:autoSpaceDN w:val="0"/>
        <w:autoSpaceDE w:val="0"/>
        <w:widowControl/>
        <w:spacing w:line="254" w:lineRule="auto" w:before="2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Conformément à la loi sur la protection des données personnelles, Vous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disposez d’un droit d’accès, de modification, de rectification, d’opposition et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 suppression des données Vous concernant en Vous adressant à FMA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Assurances (pour la souscription et la gestion du contrat d’assurance) ou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CFDP Assurances (pour l’exécution du contrat de protection juridique et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gestion des sinistres protection juridique). Vous disposez également du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droit à la limitation du traitement et du droit de demander le transfert de vos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données (droit à la portabilité).</w:t>
      </w:r>
    </w:p>
    <w:p>
      <w:pPr>
        <w:autoSpaceDN w:val="0"/>
        <w:autoSpaceDE w:val="0"/>
        <w:widowControl/>
        <w:spacing w:line="259" w:lineRule="auto" w:before="3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Pour exercer l’un quelconque de vos droits, merci de préciser vos nom,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prénom et email et de joindre une copie recto-verso d’un justificatif d’identité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en cours de validité (carte nationale d’identité, passeport).</w:t>
      </w:r>
    </w:p>
    <w:p>
      <w:pPr>
        <w:autoSpaceDN w:val="0"/>
        <w:autoSpaceDE w:val="0"/>
        <w:widowControl/>
        <w:spacing w:line="257" w:lineRule="auto" w:before="36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Le responsable de traitement se réserve le droit de ne pas accéder à votre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demande si le traitement des données est nécessaire à l’exécution du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contrat, au respect d’une obligation légale ou à la constatation, l’exercice ou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la défense de droits en justice.</w:t>
      </w:r>
    </w:p>
    <w:p>
      <w:pPr>
        <w:autoSpaceDN w:val="0"/>
        <w:autoSpaceDE w:val="0"/>
        <w:widowControl/>
        <w:spacing w:line="257" w:lineRule="auto" w:before="36" w:after="0"/>
        <w:ind w:left="0" w:right="5904" w:firstLine="0"/>
        <w:jc w:val="left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Votre demande sera traitée dans les meilleurs délais. En cas de désaccord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persistant en lien avec la gestion de vos données personnelles, Vous avez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la possibilité de saisir la CNIL à l’adresse suivante : Commission Nationale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Informatique et Libertés, 3 place de Fontenoy 75007 Paris, https://www.cnil.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fr/fr/vous-souhaitez-contacter-la-cnil , Tel : 01 53 73 22 22.</w:t>
      </w:r>
    </w:p>
    <w:p>
      <w:pPr>
        <w:autoSpaceDN w:val="0"/>
        <w:autoSpaceDE w:val="0"/>
        <w:widowControl/>
        <w:spacing w:line="290" w:lineRule="auto" w:before="36" w:after="0"/>
        <w:ind w:left="0" w:right="0" w:firstLine="0"/>
        <w:jc w:val="left"/>
      </w:pPr>
      <w:r>
        <w:rPr>
          <w:w w:val="102.66666412353516"/>
          <w:rFonts w:ascii="Arial" w:hAnsi="Arial" w:eastAsia="Arial"/>
          <w:b/>
          <w:i w:val="0"/>
          <w:color w:val="58595B"/>
          <w:sz w:val="15"/>
        </w:rPr>
        <w:t>Sécurité</w:t>
      </w:r>
    </w:p>
    <w:p>
      <w:pPr>
        <w:autoSpaceDN w:val="0"/>
        <w:autoSpaceDE w:val="0"/>
        <w:widowControl/>
        <w:spacing w:line="257" w:lineRule="auto" w:before="2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FMA Assurances et CFDP Assurances accordent la plus haute importance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à la sécurité et à l’intégrité des données personnelles de leurs assurés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et prospects et s’engagent à traiter vos données personnelles en ayant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recours à des mesures de sécurité appropriées sur le plan technique et au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>niveau de l’organisation.</w:t>
      </w:r>
    </w:p>
    <w:p>
      <w:pPr>
        <w:autoSpaceDN w:val="0"/>
        <w:autoSpaceDE w:val="0"/>
        <w:widowControl/>
        <w:spacing w:line="290" w:lineRule="auto" w:before="36" w:after="0"/>
        <w:ind w:left="0" w:right="0" w:firstLine="0"/>
        <w:jc w:val="left"/>
      </w:pPr>
      <w:r>
        <w:rPr>
          <w:w w:val="98.7500011920929"/>
          <w:rFonts w:ascii="Arial" w:hAnsi="Arial" w:eastAsia="Arial"/>
          <w:b/>
          <w:i w:val="0"/>
          <w:color w:val="231F20"/>
          <w:sz w:val="16"/>
        </w:rPr>
        <w:t>8/8 L’autorité de contrôle :</w:t>
      </w:r>
    </w:p>
    <w:p>
      <w:pPr>
        <w:autoSpaceDN w:val="0"/>
        <w:autoSpaceDE w:val="0"/>
        <w:widowControl/>
        <w:spacing w:line="262" w:lineRule="auto" w:before="28" w:after="0"/>
        <w:ind w:left="0" w:right="5912" w:firstLine="0"/>
        <w:jc w:val="both"/>
      </w:pP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L’autorité de contrôle de l’Assureur est l’ACPR (Autorité de Contrôle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Prudentiel et de Résolution), 4 place de Budapest CS 92459 75436 Paris </w:t>
      </w:r>
      <w:r>
        <w:br/>
      </w:r>
      <w:r>
        <w:rPr>
          <w:w w:val="102.66666412353516"/>
          <w:rFonts w:ascii="ArialMT" w:hAnsi="ArialMT" w:eastAsia="ArialMT"/>
          <w:b w:val="0"/>
          <w:i w:val="0"/>
          <w:color w:val="58595B"/>
          <w:sz w:val="15"/>
        </w:rPr>
        <w:t xml:space="preserve">cedex 09 (www.acpr.banque-france.fr).. </w:t>
      </w:r>
    </w:p>
    <w:p>
      <w:pPr>
        <w:autoSpaceDN w:val="0"/>
        <w:autoSpaceDE w:val="0"/>
        <w:widowControl/>
        <w:spacing w:line="283" w:lineRule="auto" w:before="59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58595B"/>
          <w:sz w:val="10"/>
        </w:rPr>
        <w:t>FMA Assurances - SAS au capital de 787 204 € - Courtier en assurance - Siège social : Immeuble Colisée Gardens, 8-14 avenue de l’Arche, 92400 Courbevoie - RCS Nanterre 429882236 - ORIAS : 12068209</w:t>
      </w:r>
    </w:p>
    <w:p>
      <w:pPr>
        <w:autoSpaceDN w:val="0"/>
        <w:autoSpaceDE w:val="0"/>
        <w:widowControl/>
        <w:spacing w:line="276" w:lineRule="auto" w:before="17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58595B"/>
          <w:sz w:val="10"/>
        </w:rPr>
        <w:t>Garanties souscrites auprès de CFDP Assurances - S.A. au capital de 1 692 240 € / RCS 958 506 156B/ Entreprise régie par le Code des Assurances  - Siège social Immeuble l’Europe- 62 rue de Bonnel – 69003 Lyon.</w:t>
      </w:r>
    </w:p>
    <w:p>
      <w:pPr>
        <w:autoSpaceDN w:val="0"/>
        <w:autoSpaceDE w:val="0"/>
        <w:widowControl/>
        <w:spacing w:line="278" w:lineRule="auto" w:before="422" w:after="0"/>
        <w:ind w:left="0" w:right="20" w:firstLine="0"/>
        <w:jc w:val="right"/>
      </w:pPr>
      <w:r>
        <w:rPr>
          <w:rFonts w:ascii="ArialMT" w:hAnsi="ArialMT" w:eastAsia="ArialMT"/>
          <w:b w:val="0"/>
          <w:i w:val="0"/>
          <w:color w:val="58595B"/>
          <w:sz w:val="14"/>
        </w:rPr>
        <w:t>8</w:t>
      </w:r>
    </w:p>
    <w:sectPr w:rsidR="00FC693F" w:rsidRPr="0006063C" w:rsidSect="00034616">
      <w:pgSz w:w="11906" w:h="16838"/>
      <w:pgMar w:top="262" w:right="282" w:bottom="312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