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</wp:posOffset>
            </wp:positionH>
            <wp:positionV relativeFrom="page">
              <wp:posOffset>6275070</wp:posOffset>
            </wp:positionV>
            <wp:extent cx="467359" cy="89944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59" cy="8994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212090</wp:posOffset>
            </wp:positionH>
            <wp:positionV relativeFrom="page">
              <wp:posOffset>6653530</wp:posOffset>
            </wp:positionV>
            <wp:extent cx="467359" cy="916745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59" cy="9167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6838950</wp:posOffset>
            </wp:positionH>
            <wp:positionV relativeFrom="page">
              <wp:posOffset>6264910</wp:posOffset>
            </wp:positionV>
            <wp:extent cx="485140" cy="37264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37264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2151380</wp:posOffset>
            </wp:positionH>
            <wp:positionV relativeFrom="page">
              <wp:posOffset>901700</wp:posOffset>
            </wp:positionV>
            <wp:extent cx="3256279" cy="86242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6279" cy="8624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</wp:posOffset>
            </wp:positionH>
            <wp:positionV relativeFrom="page">
              <wp:posOffset>355600</wp:posOffset>
            </wp:positionV>
            <wp:extent cx="6896100" cy="1676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676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3456" w:right="3312" w:firstLine="0"/>
        <w:jc w:val="center"/>
      </w:pPr>
      <w:r>
        <w:rPr>
          <w:rFonts w:ascii="Poppins SemiBold" w:hAnsi="Poppins SemiBold" w:eastAsia="Poppins SemiBold"/>
          <w:b/>
          <w:i w:val="0"/>
          <w:color w:val="FFFFFF"/>
          <w:sz w:val="56"/>
        </w:rPr>
        <w:t>G    L</w:t>
      </w:r>
      <w:r>
        <w:rPr>
          <w:rFonts w:ascii="Poppins SemiBold" w:hAnsi="Poppins SemiBold" w:eastAsia="Poppins SemiBold"/>
          <w:b/>
          <w:i w:val="0"/>
          <w:color w:val="FFFFFF"/>
          <w:sz w:val="56"/>
        </w:rPr>
        <w:t>DEN SA</w:t>
      </w:r>
      <w:r>
        <w:rPr>
          <w:rFonts w:ascii="Poppins SemiBold" w:hAnsi="Poppins SemiBold" w:eastAsia="Poppins SemiBold"/>
          <w:b/>
          <w:i w:val="0"/>
          <w:color w:val="FFFFFF"/>
          <w:sz w:val="56"/>
        </w:rPr>
        <w:t>NT</w:t>
      </w:r>
      <w:r>
        <w:rPr>
          <w:rFonts w:ascii="Poppins SemiBold" w:hAnsi="Poppins SemiBold" w:eastAsia="Poppins SemiBold"/>
          <w:b/>
          <w:i w:val="0"/>
          <w:color w:val="FFFFFF"/>
          <w:sz w:val="56"/>
        </w:rPr>
        <w:t xml:space="preserve">É </w:t>
      </w:r>
      <w:r>
        <w:br/>
      </w:r>
      <w:r>
        <w:rPr>
          <w:rFonts w:ascii="Calibri" w:hAnsi="Calibri" w:eastAsia="Calibri"/>
          <w:b w:val="0"/>
          <w:i w:val="0"/>
          <w:color w:val="FFFFFF"/>
          <w:sz w:val="40"/>
        </w:rPr>
        <w:t xml:space="preserve">KIASSURE </w:t>
      </w:r>
    </w:p>
    <w:p>
      <w:pPr>
        <w:autoSpaceDN w:val="0"/>
        <w:autoSpaceDE w:val="0"/>
        <w:widowControl/>
        <w:spacing w:line="245" w:lineRule="auto" w:before="656" w:after="0"/>
        <w:ind w:left="458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5"/>
        </w:rPr>
        <w:t xml:space="preserve">Les montants des remboursements s’entendent après déduction du remboursement du régime obligatoire lorsqu’il intervient et dans la limite </w:t>
      </w:r>
      <w:r>
        <w:rPr>
          <w:rFonts w:ascii="Poppins" w:hAnsi="Poppins" w:eastAsia="Poppins"/>
          <w:b w:val="0"/>
          <w:i w:val="0"/>
          <w:color w:val="000000"/>
          <w:sz w:val="15"/>
        </w:rPr>
        <w:t xml:space="preserve">du niveau de remboursement indiqué dans le tableau de garantie, en fonction de la formule choisie et indiquée au Certificat d’adhésion. </w:t>
      </w:r>
    </w:p>
    <w:p>
      <w:pPr>
        <w:autoSpaceDN w:val="0"/>
        <w:tabs>
          <w:tab w:pos="458" w:val="left"/>
        </w:tabs>
        <w:autoSpaceDE w:val="0"/>
        <w:widowControl/>
        <w:spacing w:line="245" w:lineRule="auto" w:before="0" w:after="26"/>
        <w:ind w:left="304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 xml:space="preserve">5 Formules complètes + 2 Options 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of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fra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nt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s d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es r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éd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uct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i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ons d</w:t>
      </w:r>
      <w:r>
        <w:rPr>
          <w:rFonts w:ascii="Poppins" w:hAnsi="Poppins" w:eastAsia="Poppins"/>
          <w:b w:val="0"/>
          <w:i w:val="0"/>
          <w:color w:val="000000"/>
          <w:sz w:val="15"/>
          <w:u w:val="single"/>
        </w:rPr>
        <w:t>e tarif</w:t>
      </w:r>
      <w:r>
        <w:rPr>
          <w:rFonts w:ascii="Poppins" w:hAnsi="Poppins" w:eastAsia="Poppins"/>
          <w:b w:val="0"/>
          <w:i w:val="0"/>
          <w:color w:val="000000"/>
          <w:sz w:val="15"/>
        </w:rPr>
        <w:t xml:space="preserve"> </w:t>
      </w:r>
      <w:r>
        <w:br/>
      </w:r>
      <w:r>
        <w:rPr>
          <w:rFonts w:ascii="Symbol" w:hAnsi="Symbol" w:eastAsia="Symbol"/>
          <w:b w:val="0"/>
          <w:i w:val="0"/>
          <w:color w:val="BBC500"/>
          <w:sz w:val="15"/>
        </w:rPr>
        <w:t>•</w:t>
      </w:r>
      <w:r>
        <w:rPr>
          <w:rFonts w:ascii="Poppins" w:hAnsi="Poppins" w:eastAsia="Poppins"/>
          <w:b w:val="0"/>
          <w:i w:val="0"/>
          <w:color w:val="000000"/>
          <w:sz w:val="15"/>
        </w:rPr>
        <w:t xml:space="preserve">Option A : Tarif -5% - Suppression de la Chambre particulière et des médicaments prescrits et non pris en charge </w:t>
      </w:r>
      <w:r>
        <w:br/>
      </w:r>
      <w:r>
        <w:rPr>
          <w:rFonts w:ascii="Symbol" w:hAnsi="Symbol" w:eastAsia="Symbol"/>
          <w:b w:val="0"/>
          <w:i w:val="0"/>
          <w:color w:val="004F83"/>
          <w:sz w:val="15"/>
        </w:rPr>
        <w:t>•</w:t>
      </w:r>
      <w:r>
        <w:rPr>
          <w:rFonts w:ascii="Poppins" w:hAnsi="Poppins" w:eastAsia="Poppins"/>
          <w:b w:val="0"/>
          <w:i w:val="0"/>
          <w:color w:val="000000"/>
          <w:sz w:val="15"/>
        </w:rPr>
        <w:t xml:space="preserve">Option B : Tarif -12% - Suppression de la Chambre particulière, des médicaments prescrits et non pris en charge et des postes : Optique, Dentaire </w:t>
      </w:r>
      <w:r>
        <w:rPr>
          <w:rFonts w:ascii="Poppins" w:hAnsi="Poppins" w:eastAsia="Poppins"/>
          <w:b w:val="0"/>
          <w:i w:val="0"/>
          <w:color w:val="000000"/>
          <w:sz w:val="15"/>
        </w:rPr>
        <w:t>et Prothèses auditives, remboursés exclusivement en 100% santé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.999999999999986" w:type="dxa"/>
      </w:tblPr>
      <w:tblGrid>
        <w:gridCol w:w="1421"/>
        <w:gridCol w:w="1421"/>
        <w:gridCol w:w="1421"/>
        <w:gridCol w:w="1421"/>
        <w:gridCol w:w="1421"/>
        <w:gridCol w:w="1421"/>
        <w:gridCol w:w="1421"/>
        <w:gridCol w:w="1421"/>
      </w:tblGrid>
      <w:tr>
        <w:trPr>
          <w:trHeight w:hRule="exact" w:val="242"/>
        </w:trPr>
        <w:tc>
          <w:tcPr>
            <w:tcW w:type="dxa" w:w="846"/>
            <w:tcBorders>
              <w:bottom w:sz="8.0" w:val="single" w:color="#05336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2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/>
        </w:tc>
        <w:tc>
          <w:tcPr>
            <w:tcW w:type="dxa" w:w="222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2" w:after="0"/>
              <w:ind w:left="0" w:right="10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96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94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96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1016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46"/>
            <w:tcBorders>
              <w:bottom w:sz="8.0" w:val="single" w:color="#053362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2"/>
        </w:trPr>
        <w:tc>
          <w:tcPr>
            <w:tcW w:type="dxa" w:w="846"/>
            <w:tcBorders>
              <w:top w:sz="8.0" w:val="single" w:color="#05336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2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3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8"/>
              </w:rPr>
              <w:t xml:space="preserve">MEDECINES DE VILLE </w:t>
            </w:r>
          </w:p>
        </w:tc>
        <w:tc>
          <w:tcPr>
            <w:tcW w:type="dxa" w:w="222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122" w:firstLine="0"/>
              <w:jc w:val="right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1 </w:t>
            </w:r>
          </w:p>
        </w:tc>
        <w:tc>
          <w:tcPr>
            <w:tcW w:type="dxa" w:w="96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2 </w:t>
            </w:r>
          </w:p>
        </w:tc>
        <w:tc>
          <w:tcPr>
            <w:tcW w:type="dxa" w:w="94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3 </w:t>
            </w:r>
          </w:p>
        </w:tc>
        <w:tc>
          <w:tcPr>
            <w:tcW w:type="dxa" w:w="96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4 </w:t>
            </w:r>
          </w:p>
        </w:tc>
        <w:tc>
          <w:tcPr>
            <w:tcW w:type="dxa" w:w="1016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5 </w:t>
            </w:r>
          </w:p>
        </w:tc>
        <w:tc>
          <w:tcPr>
            <w:tcW w:type="dxa" w:w="846"/>
            <w:tcBorders>
              <w:top w:sz="8.0" w:val="single" w:color="#053362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74" w:after="0"/>
        <w:ind w:left="1030" w:right="6192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Honoraires médicaux - OPTAM ou OPTAM CO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Consultation Généraliste, Spécialiste, Actes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1895"/>
        <w:gridCol w:w="1895"/>
        <w:gridCol w:w="1895"/>
        <w:gridCol w:w="1895"/>
        <w:gridCol w:w="1895"/>
        <w:gridCol w:w="1895"/>
      </w:tblGrid>
      <w:tr>
        <w:trPr>
          <w:trHeight w:hRule="exact" w:val="27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52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techniques médicaux, Radiologue, imagerie et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125%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150%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25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175%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030" w:right="720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échographie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>(pris en charge par le régime de base)</w:t>
      </w:r>
    </w:p>
    <w:p>
      <w:pPr>
        <w:autoSpaceDN w:val="0"/>
        <w:autoSpaceDE w:val="0"/>
        <w:widowControl/>
        <w:spacing w:line="245" w:lineRule="auto" w:before="104" w:after="0"/>
        <w:ind w:left="1030" w:right="5616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Honoraires médicaux - Hors OPTAM ou OPTAM CO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Consultation Généraliste, Spécialiste, Actes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1895"/>
        <w:gridCol w:w="1895"/>
        <w:gridCol w:w="1895"/>
        <w:gridCol w:w="1895"/>
        <w:gridCol w:w="1895"/>
        <w:gridCol w:w="1895"/>
      </w:tblGrid>
      <w:tr>
        <w:trPr>
          <w:trHeight w:hRule="exact" w:val="28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" w:after="0"/>
              <w:ind w:left="52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techniques médicaux, Radiologue, Imagerie et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105%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130%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2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155% 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030" w:right="720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Échographie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6"/>
        </w:rPr>
        <w:t>(pris en charge par le régime de base)</w:t>
      </w:r>
    </w:p>
    <w:p>
      <w:pPr>
        <w:autoSpaceDN w:val="0"/>
        <w:autoSpaceDE w:val="0"/>
        <w:widowControl/>
        <w:spacing w:line="190" w:lineRule="auto" w:before="104" w:after="0"/>
        <w:ind w:left="103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>Honoraires paramédicaux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1895"/>
        <w:gridCol w:w="1895"/>
        <w:gridCol w:w="1895"/>
        <w:gridCol w:w="1895"/>
        <w:gridCol w:w="1895"/>
        <w:gridCol w:w="1895"/>
      </w:tblGrid>
      <w:tr>
        <w:trPr>
          <w:trHeight w:hRule="exact" w:val="278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Infirmiers, masseurs-kinésithérapeutes etc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2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</w:tr>
    </w:tbl>
    <w:p>
      <w:pPr>
        <w:autoSpaceDN w:val="0"/>
        <w:autoSpaceDE w:val="0"/>
        <w:widowControl/>
        <w:spacing w:line="190" w:lineRule="auto" w:before="8" w:after="52"/>
        <w:ind w:left="103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(pris en charge par le régime de base)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1421"/>
        <w:gridCol w:w="1421"/>
        <w:gridCol w:w="1421"/>
        <w:gridCol w:w="1421"/>
        <w:gridCol w:w="1421"/>
        <w:gridCol w:w="1421"/>
        <w:gridCol w:w="1421"/>
        <w:gridCol w:w="1421"/>
      </w:tblGrid>
      <w:tr>
        <w:trPr>
          <w:trHeight w:hRule="exact" w:val="310"/>
        </w:trPr>
        <w:tc>
          <w:tcPr>
            <w:tcW w:type="dxa" w:w="9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2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>Analyses et examens en laboratoire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2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8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1421"/>
            <w:vMerge/>
            <w:tcBorders/>
          </w:tcPr>
          <w:p/>
        </w:tc>
        <w:tc>
          <w:tcPr>
            <w:tcW w:type="dxa" w:w="4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(pris en charge par le régime de base)</w:t>
            </w:r>
          </w:p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421"/>
            <w:vMerge/>
            <w:tcBorders/>
          </w:tcPr>
          <w:p/>
        </w:tc>
        <w:tc>
          <w:tcPr>
            <w:tcW w:type="dxa" w:w="4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>Médicaments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4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421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421"/>
            <w:vMerge/>
            <w:tcBorders/>
          </w:tcPr>
          <w:p/>
        </w:tc>
        <w:tc>
          <w:tcPr>
            <w:tcW w:type="dxa" w:w="4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(pris en charge par le régime de base)</w:t>
            </w:r>
          </w:p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9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902"/>
            </w:tblGrid>
            <w:tr>
              <w:trPr>
                <w:trHeight w:hRule="exact" w:val="478"/>
              </w:trPr>
              <w:tc>
                <w:tcPr>
                  <w:tcW w:type="dxa" w:w="710"/>
                  <w:tcBorders>
                    <w:top w:sz="8.0" w:val="single" w:color="#BAC500"/>
                    <w:end w:sz="8.0" w:val="single" w:color="#BAC500"/>
                    <w:bottom w:sz="8.0" w:val="single" w:color="#BAC5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48" w:after="0"/>
                    <w:ind w:left="0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4"/>
                    </w:rPr>
                    <w:t xml:space="preserve">Option 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58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2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Médicaments prescrits et non pris en </w:t>
            </w:r>
          </w:p>
        </w:tc>
        <w:tc>
          <w:tcPr>
            <w:tcW w:type="dxa" w:w="1200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62" w:after="0"/>
              <w:ind w:left="0" w:right="39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960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30 € </w:t>
            </w:r>
          </w:p>
        </w:tc>
        <w:tc>
          <w:tcPr>
            <w:tcW w:type="dxa" w:w="960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30 € </w:t>
            </w:r>
          </w:p>
        </w:tc>
        <w:tc>
          <w:tcPr>
            <w:tcW w:type="dxa" w:w="960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40 € </w:t>
            </w:r>
          </w:p>
        </w:tc>
        <w:tc>
          <w:tcPr>
            <w:tcW w:type="dxa" w:w="924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40 € </w:t>
            </w:r>
          </w:p>
        </w:tc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8" w:after="0"/>
              <w:ind w:left="0" w:right="134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Exclus </w:t>
            </w:r>
          </w:p>
        </w:tc>
      </w:tr>
      <w:tr>
        <w:trPr>
          <w:trHeight w:hRule="exact" w:val="260"/>
        </w:trPr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4" w:after="0"/>
              <w:ind w:left="17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avec les </w:t>
            </w:r>
          </w:p>
        </w:tc>
      </w:tr>
      <w:tr>
        <w:trPr>
          <w:trHeight w:hRule="exact" w:val="200"/>
        </w:trPr>
        <w:tc>
          <w:tcPr>
            <w:tcW w:type="dxa" w:w="9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3.99999999999999" w:type="dxa"/>
            </w:tblPr>
            <w:tblGrid>
              <w:gridCol w:w="902"/>
            </w:tblGrid>
            <w:tr>
              <w:trPr>
                <w:trHeight w:hRule="exact" w:val="468"/>
              </w:trPr>
              <w:tc>
                <w:tcPr>
                  <w:tcW w:type="dxa" w:w="716"/>
                  <w:tcBorders>
                    <w:top w:sz="8.0" w:val="single" w:color="#004F83"/>
                    <w:end w:sz="8.0" w:val="single" w:color="#004F83"/>
                    <w:bottom w:sz="8.0" w:val="single" w:color="#004F83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34" w:after="0"/>
                    <w:ind w:left="0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04F83"/>
                      <w:sz w:val="14"/>
                    </w:rPr>
                    <w:t xml:space="preserve">Option 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58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4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charge (1)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(par année d’adhésion) </w:t>
            </w:r>
          </w:p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20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options </w:t>
            </w:r>
          </w:p>
        </w:tc>
      </w:tr>
      <w:tr>
        <w:trPr>
          <w:trHeight w:hRule="exact" w:val="366"/>
        </w:trPr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36" w:after="0"/>
              <w:ind w:left="0" w:right="170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A &amp; B </w:t>
            </w:r>
          </w:p>
        </w:tc>
      </w:tr>
      <w:tr>
        <w:trPr>
          <w:trHeight w:hRule="exact" w:val="334"/>
        </w:trPr>
        <w:tc>
          <w:tcPr>
            <w:tcW w:type="dxa" w:w="9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>Prothèses et appareillages - DVO (2)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8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1421"/>
            <w:vMerge/>
            <w:tcBorders/>
          </w:tcPr>
          <w:p/>
        </w:tc>
        <w:tc>
          <w:tcPr>
            <w:tcW w:type="dxa" w:w="4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(pris en charge par le régime de base)</w:t>
            </w:r>
          </w:p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  <w:tc>
          <w:tcPr>
            <w:tcW w:type="dxa" w:w="1421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421"/>
            <w:vMerge/>
            <w:tcBorders/>
          </w:tcPr>
          <w:p/>
        </w:tc>
        <w:tc>
          <w:tcPr>
            <w:tcW w:type="dxa" w:w="44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6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Petit appareillage (3)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6"/>
              </w:rPr>
              <w:t>(par année d’adhésion)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39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20 €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40 €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60 € </w:t>
            </w:r>
          </w:p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80 € </w:t>
            </w:r>
          </w:p>
        </w:tc>
        <w:tc>
          <w:tcPr>
            <w:tcW w:type="dxa" w:w="142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72.0" w:type="dxa"/>
      </w:tblPr>
      <w:tblGrid>
        <w:gridCol w:w="11372"/>
      </w:tblGrid>
      <w:tr>
        <w:trPr>
          <w:trHeight w:hRule="exact" w:val="368"/>
        </w:trPr>
        <w:tc>
          <w:tcPr>
            <w:tcW w:type="dxa" w:w="9462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8"/>
              </w:rPr>
              <w:t xml:space="preserve">CURE THERMALE </w:t>
            </w:r>
          </w:p>
        </w:tc>
      </w:tr>
    </w:tbl>
    <w:p>
      <w:pPr>
        <w:autoSpaceDN w:val="0"/>
        <w:autoSpaceDE w:val="0"/>
        <w:widowControl/>
        <w:spacing w:line="190" w:lineRule="auto" w:before="74" w:after="2"/>
        <w:ind w:left="103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>Cure thermale - OPTAM ou OPTAM 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1895"/>
        <w:gridCol w:w="1895"/>
        <w:gridCol w:w="1895"/>
        <w:gridCol w:w="1895"/>
        <w:gridCol w:w="1895"/>
        <w:gridCol w:w="1895"/>
      </w:tblGrid>
      <w:tr>
        <w:trPr>
          <w:trHeight w:hRule="exact" w:val="27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52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Honoraires et Frais d'établissement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125%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150%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25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175% </w:t>
            </w:r>
          </w:p>
        </w:tc>
      </w:tr>
    </w:tbl>
    <w:p>
      <w:pPr>
        <w:autoSpaceDN w:val="0"/>
        <w:autoSpaceDE w:val="0"/>
        <w:widowControl/>
        <w:spacing w:line="190" w:lineRule="auto" w:before="8" w:after="0"/>
        <w:ind w:left="103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(pris en charge par le régime de base)</w:t>
      </w:r>
    </w:p>
    <w:p>
      <w:pPr>
        <w:autoSpaceDN w:val="0"/>
        <w:autoSpaceDE w:val="0"/>
        <w:widowControl/>
        <w:spacing w:line="192" w:lineRule="auto" w:before="102" w:after="0"/>
        <w:ind w:left="103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>Cure thermale - Hors OPTAM ou OPTAM 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1895"/>
        <w:gridCol w:w="1895"/>
        <w:gridCol w:w="1895"/>
        <w:gridCol w:w="1895"/>
        <w:gridCol w:w="1895"/>
        <w:gridCol w:w="1895"/>
      </w:tblGrid>
      <w:tr>
        <w:trPr>
          <w:trHeight w:hRule="exact" w:val="27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52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Honoraires et Frais d'établissement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105%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130%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25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155% </w:t>
            </w:r>
          </w:p>
        </w:tc>
      </w:tr>
    </w:tbl>
    <w:p>
      <w:pPr>
        <w:autoSpaceDN w:val="0"/>
        <w:autoSpaceDE w:val="0"/>
        <w:widowControl/>
        <w:spacing w:line="190" w:lineRule="auto" w:before="8" w:after="28"/>
        <w:ind w:left="103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(pris en charge par le régime de base)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2.0" w:type="dxa"/>
      </w:tblPr>
      <w:tblGrid>
        <w:gridCol w:w="11372"/>
      </w:tblGrid>
      <w:tr>
        <w:trPr>
          <w:trHeight w:hRule="exact" w:val="370"/>
        </w:trPr>
        <w:tc>
          <w:tcPr>
            <w:tcW w:type="dxa" w:w="9462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74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8"/>
              </w:rPr>
              <w:t xml:space="preserve">MEDECINES DOUCES (4) </w:t>
            </w:r>
          </w:p>
        </w:tc>
      </w:tr>
    </w:tbl>
    <w:p>
      <w:pPr>
        <w:autoSpaceDN w:val="0"/>
        <w:autoSpaceDE w:val="0"/>
        <w:widowControl/>
        <w:spacing w:line="190" w:lineRule="auto" w:before="72" w:after="0"/>
        <w:ind w:left="103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Ostéopathe, Pédicure, Podologue, Étiopathe, </w:t>
      </w:r>
    </w:p>
    <w:p>
      <w:pPr>
        <w:autoSpaceDN w:val="0"/>
        <w:autoSpaceDE w:val="0"/>
        <w:widowControl/>
        <w:spacing w:line="190" w:lineRule="auto" w:before="38" w:after="18"/>
        <w:ind w:left="103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Homéopathe, Acupuncteur, Chiropracteur,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10.0" w:type="dxa"/>
      </w:tblPr>
      <w:tblGrid>
        <w:gridCol w:w="1895"/>
        <w:gridCol w:w="1895"/>
        <w:gridCol w:w="1895"/>
        <w:gridCol w:w="1895"/>
        <w:gridCol w:w="1895"/>
        <w:gridCol w:w="1895"/>
      </w:tblGrid>
      <w:tr>
        <w:trPr>
          <w:trHeight w:hRule="exact" w:val="29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" w:after="0"/>
              <w:ind w:left="52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Mésothérapeute, Réflexologue, Diététicien,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40 €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60 €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80 €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100 €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22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120 € </w:t>
            </w:r>
          </w:p>
        </w:tc>
      </w:tr>
    </w:tbl>
    <w:p>
      <w:pPr>
        <w:autoSpaceDN w:val="0"/>
        <w:autoSpaceDE w:val="0"/>
        <w:widowControl/>
        <w:spacing w:line="190" w:lineRule="auto" w:before="18" w:after="0"/>
        <w:ind w:left="103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>Nutritionniste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(par année d’adhésion, dans </w:t>
      </w:r>
    </w:p>
    <w:p>
      <w:pPr>
        <w:autoSpaceDN w:val="0"/>
        <w:autoSpaceDE w:val="0"/>
        <w:widowControl/>
        <w:spacing w:line="190" w:lineRule="auto" w:before="40" w:after="60"/>
        <w:ind w:left="103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>la limite de 30€/consultation)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58.0" w:type="dxa"/>
      </w:tblPr>
      <w:tblGrid>
        <w:gridCol w:w="1895"/>
        <w:gridCol w:w="1895"/>
        <w:gridCol w:w="1895"/>
        <w:gridCol w:w="1895"/>
        <w:gridCol w:w="1895"/>
        <w:gridCol w:w="1895"/>
      </w:tblGrid>
      <w:tr>
        <w:trPr>
          <w:trHeight w:hRule="exact" w:val="370"/>
        </w:trPr>
        <w:tc>
          <w:tcPr>
            <w:tcW w:type="dxa" w:w="4690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>Acte de prévention (5)</w:t>
            </w:r>
          </w:p>
        </w:tc>
        <w:tc>
          <w:tcPr>
            <w:tcW w:type="dxa" w:w="958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8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8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4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8"/>
            <w:tcBorders>
              <w:bottom w:sz="12.0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</w:tr>
    </w:tbl>
    <w:p>
      <w:pPr>
        <w:autoSpaceDN w:val="0"/>
        <w:autoSpaceDE w:val="0"/>
        <w:widowControl/>
        <w:spacing w:line="190" w:lineRule="auto" w:before="58" w:after="0"/>
        <w:ind w:left="0" w:right="246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1 | 4 </w:t>
      </w:r>
    </w:p>
    <w:p>
      <w:pPr>
        <w:autoSpaceDN w:val="0"/>
        <w:autoSpaceDE w:val="0"/>
        <w:widowControl/>
        <w:spacing w:line="190" w:lineRule="auto" w:before="26" w:after="0"/>
        <w:ind w:left="0" w:right="252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GOLDENSTG -02/2024 </w:t>
      </w:r>
    </w:p>
    <w:p>
      <w:pPr>
        <w:sectPr>
          <w:pgSz w:w="11906" w:h="16838"/>
          <w:pgMar w:top="740" w:right="284" w:bottom="76" w:left="2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220979</wp:posOffset>
            </wp:positionH>
            <wp:positionV relativeFrom="page">
              <wp:posOffset>7132320</wp:posOffset>
            </wp:positionV>
            <wp:extent cx="457200" cy="84603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8460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6836409</wp:posOffset>
            </wp:positionH>
            <wp:positionV relativeFrom="page">
              <wp:posOffset>7122159</wp:posOffset>
            </wp:positionV>
            <wp:extent cx="483870" cy="93595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935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</wp:posOffset>
            </wp:positionH>
            <wp:positionV relativeFrom="page">
              <wp:posOffset>2440940</wp:posOffset>
            </wp:positionV>
            <wp:extent cx="467359" cy="858242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59" cy="8582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</wp:posOffset>
            </wp:positionH>
            <wp:positionV relativeFrom="page">
              <wp:posOffset>2834640</wp:posOffset>
            </wp:positionV>
            <wp:extent cx="467359" cy="858242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359" cy="8582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6836409</wp:posOffset>
            </wp:positionH>
            <wp:positionV relativeFrom="page">
              <wp:posOffset>2433320</wp:posOffset>
            </wp:positionV>
            <wp:extent cx="476250" cy="348802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48802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7"/>
      </w:tblGrid>
      <w:tr>
        <w:trPr>
          <w:trHeight w:hRule="exact" w:val="236"/>
        </w:trPr>
        <w:tc>
          <w:tcPr>
            <w:tcW w:type="dxa" w:w="848"/>
            <w:tcBorders>
              <w:bottom w:sz="8.0" w:val="single" w:color="#05336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68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6" w:after="0"/>
              <w:ind w:left="0" w:right="10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90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106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90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998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46"/>
            <w:tcBorders>
              <w:bottom w:sz="8.0" w:val="single" w:color="#053362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848"/>
            <w:tcBorders>
              <w:top w:sz="8.0" w:val="single" w:color="#05336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68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35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8"/>
              </w:rPr>
              <w:t xml:space="preserve">HOSPITALISATION (6) </w:t>
            </w:r>
          </w:p>
        </w:tc>
        <w:tc>
          <w:tcPr>
            <w:tcW w:type="dxa" w:w="116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122" w:firstLine="0"/>
              <w:jc w:val="right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1 </w:t>
            </w:r>
          </w:p>
        </w:tc>
        <w:tc>
          <w:tcPr>
            <w:tcW w:type="dxa" w:w="90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2 </w:t>
            </w:r>
          </w:p>
        </w:tc>
        <w:tc>
          <w:tcPr>
            <w:tcW w:type="dxa" w:w="106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3 </w:t>
            </w:r>
          </w:p>
        </w:tc>
        <w:tc>
          <w:tcPr>
            <w:tcW w:type="dxa" w:w="90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4 </w:t>
            </w:r>
          </w:p>
        </w:tc>
        <w:tc>
          <w:tcPr>
            <w:tcW w:type="dxa" w:w="998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5 </w:t>
            </w:r>
          </w:p>
        </w:tc>
        <w:tc>
          <w:tcPr>
            <w:tcW w:type="dxa" w:w="846"/>
            <w:tcBorders>
              <w:top w:sz="8.0" w:val="single" w:color="#053362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2"/>
        </w:trPr>
        <w:tc>
          <w:tcPr>
            <w:tcW w:type="dxa" w:w="8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>Honoraires - OPTAM ou OPTAM CO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27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100%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125%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150%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175%</w:t>
            </w:r>
          </w:p>
        </w:tc>
        <w:tc>
          <w:tcPr>
            <w:tcW w:type="dxa" w:w="9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200%</w:t>
            </w:r>
          </w:p>
        </w:tc>
        <w:tc>
          <w:tcPr>
            <w:tcW w:type="dxa" w:w="8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1417"/>
            <w:vMerge/>
            <w:tcBorders/>
          </w:tcPr>
          <w:p/>
        </w:tc>
        <w:tc>
          <w:tcPr>
            <w:tcW w:type="dxa" w:w="4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Chirurgie, Anesthésie, Maternité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417"/>
            <w:vMerge/>
            <w:tcBorders/>
          </w:tcPr>
          <w:p/>
        </w:tc>
        <w:tc>
          <w:tcPr>
            <w:tcW w:type="dxa" w:w="4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>Honoraires - Hors OPTAM ou OPTAM CO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6" w:after="0"/>
              <w:ind w:left="0" w:right="27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100%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100%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105%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130%</w:t>
            </w:r>
          </w:p>
        </w:tc>
        <w:tc>
          <w:tcPr>
            <w:tcW w:type="dxa" w:w="9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155%</w:t>
            </w:r>
          </w:p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417"/>
            <w:vMerge/>
            <w:tcBorders/>
          </w:tcPr>
          <w:p/>
        </w:tc>
        <w:tc>
          <w:tcPr>
            <w:tcW w:type="dxa" w:w="4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Chirurgie, Anesthésie, Maternité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1417"/>
            <w:vMerge/>
            <w:tcBorders/>
          </w:tcPr>
          <w:p/>
        </w:tc>
        <w:tc>
          <w:tcPr>
            <w:tcW w:type="dxa" w:w="4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2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Frais de séjour en secteur conventionné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28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28" w:after="0"/>
              <w:ind w:left="0" w:right="17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Frais réels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2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2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09"/>
        </w:trPr>
        <w:tc>
          <w:tcPr>
            <w:tcW w:type="dxa" w:w="1417"/>
            <w:vMerge/>
            <w:tcBorders/>
          </w:tcPr>
          <w:p/>
        </w:tc>
        <w:tc>
          <w:tcPr>
            <w:tcW w:type="dxa" w:w="4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0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Frais de séjour en secteur non conventionné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436"/>
        </w:trPr>
        <w:tc>
          <w:tcPr>
            <w:tcW w:type="dxa" w:w="1417"/>
            <w:vMerge/>
            <w:tcBorders/>
          </w:tcPr>
          <w:p/>
        </w:tc>
        <w:tc>
          <w:tcPr>
            <w:tcW w:type="dxa" w:w="4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6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Forfait journalier hospitalier (7)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92" w:after="0"/>
              <w:ind w:left="0" w:right="23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92" w:after="0"/>
              <w:ind w:left="0" w:right="17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Frais réels 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417"/>
            <w:vMerge/>
            <w:tcBorders/>
          </w:tcPr>
          <w:p/>
        </w:tc>
        <w:tc>
          <w:tcPr>
            <w:tcW w:type="dxa" w:w="45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6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FPU (Forfait Patient Urgence)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8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06" w:type="dxa"/>
            </w:tblPr>
            <w:tblGrid>
              <w:gridCol w:w="848"/>
            </w:tblGrid>
            <w:tr>
              <w:trPr>
                <w:trHeight w:hRule="exact" w:val="500"/>
              </w:trPr>
              <w:tc>
                <w:tcPr>
                  <w:tcW w:type="dxa" w:w="704"/>
                  <w:tcBorders>
                    <w:top w:sz="8.0" w:val="single" w:color="#BAC500"/>
                    <w:end w:sz="8.0" w:val="single" w:color="#BAC500"/>
                    <w:bottom w:sz="8.0" w:val="single" w:color="#BAC5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50" w:after="0"/>
                    <w:ind w:left="0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4"/>
                    </w:rPr>
                    <w:t xml:space="preserve">Option A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68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0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>Chambre particulière (8) – Hors ambulatoire</w:t>
            </w:r>
          </w:p>
        </w:tc>
        <w:tc>
          <w:tcPr>
            <w:tcW w:type="dxa" w:w="1160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4" w:after="0"/>
              <w:ind w:left="0" w:right="39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900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4" w:after="0"/>
              <w:ind w:left="0" w:right="19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40€ </w:t>
            </w:r>
          </w:p>
        </w:tc>
        <w:tc>
          <w:tcPr>
            <w:tcW w:type="dxa" w:w="1060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50€ </w:t>
            </w:r>
          </w:p>
        </w:tc>
        <w:tc>
          <w:tcPr>
            <w:tcW w:type="dxa" w:w="900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60€ </w:t>
            </w:r>
          </w:p>
        </w:tc>
        <w:tc>
          <w:tcPr>
            <w:tcW w:type="dxa" w:w="998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70€ </w:t>
            </w:r>
          </w:p>
        </w:tc>
        <w:tc>
          <w:tcPr>
            <w:tcW w:type="dxa" w:w="8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22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Exclus </w:t>
            </w:r>
          </w:p>
        </w:tc>
      </w:tr>
      <w:tr>
        <w:trPr>
          <w:trHeight w:hRule="exact" w:val="140"/>
        </w:trPr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8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avec les </w:t>
            </w:r>
          </w:p>
        </w:tc>
      </w:tr>
      <w:tr>
        <w:trPr>
          <w:trHeight w:hRule="exact" w:val="80"/>
        </w:trPr>
        <w:tc>
          <w:tcPr>
            <w:tcW w:type="dxa" w:w="1417"/>
            <w:vMerge/>
            <w:tcBorders/>
          </w:tcPr>
          <w:p/>
        </w:tc>
        <w:tc>
          <w:tcPr>
            <w:tcW w:type="dxa" w:w="4568"/>
            <w:vMerge w:val="restart"/>
            <w:tcBorders/>
            <w:shd w:fill="bac5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2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(par jour, dans la limite de 30 jours par année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8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8.00000000000006" w:type="dxa"/>
            </w:tblPr>
            <w:tblGrid>
              <w:gridCol w:w="848"/>
            </w:tblGrid>
            <w:tr>
              <w:trPr>
                <w:trHeight w:hRule="exact" w:val="502"/>
              </w:trPr>
              <w:tc>
                <w:tcPr>
                  <w:tcW w:type="dxa" w:w="704"/>
                  <w:tcBorders>
                    <w:top w:sz="8.0" w:val="single" w:color="#004F83"/>
                    <w:end w:sz="8.0" w:val="single" w:color="#004F83"/>
                    <w:bottom w:sz="8.0" w:val="single" w:color="#004F83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52" w:after="0"/>
                    <w:ind w:left="0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04F83"/>
                      <w:sz w:val="14"/>
                    </w:rPr>
                    <w:t xml:space="preserve">Option 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8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options </w:t>
            </w:r>
          </w:p>
        </w:tc>
      </w:tr>
      <w:tr>
        <w:trPr>
          <w:trHeight w:hRule="exact" w:val="404"/>
        </w:trPr>
        <w:tc>
          <w:tcPr>
            <w:tcW w:type="dxa" w:w="1417"/>
            <w:vMerge/>
            <w:tcBorders/>
          </w:tcPr>
          <w:p/>
        </w:tc>
        <w:tc>
          <w:tcPr>
            <w:tcW w:type="dxa" w:w="4568"/>
            <w:tcBorders/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2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d’adhésion)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8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54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A &amp; B </w:t>
            </w:r>
          </w:p>
        </w:tc>
      </w:tr>
    </w:tbl>
    <w:p>
      <w:pPr>
        <w:autoSpaceDN w:val="0"/>
        <w:autoSpaceDE w:val="0"/>
        <w:widowControl/>
        <w:spacing w:line="190" w:lineRule="auto" w:before="76" w:after="10"/>
        <w:ind w:left="1006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Lit d’accompagnement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6.0" w:type="dxa"/>
      </w:tblPr>
      <w:tblGrid>
        <w:gridCol w:w="1890"/>
        <w:gridCol w:w="1890"/>
        <w:gridCol w:w="1890"/>
        <w:gridCol w:w="1890"/>
        <w:gridCol w:w="1890"/>
        <w:gridCol w:w="1890"/>
      </w:tblGrid>
      <w:tr>
        <w:trPr>
          <w:trHeight w:hRule="exact" w:val="270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(par jour, dans la limite de 15 jours par année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33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26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10 €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10 €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15 €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27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15 € </w:t>
            </w:r>
          </w:p>
        </w:tc>
      </w:tr>
    </w:tbl>
    <w:p>
      <w:pPr>
        <w:autoSpaceDN w:val="0"/>
        <w:autoSpaceDE w:val="0"/>
        <w:widowControl/>
        <w:spacing w:line="190" w:lineRule="auto" w:before="8" w:after="0"/>
        <w:ind w:left="1006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d’adhésion) </w:t>
      </w:r>
    </w:p>
    <w:p>
      <w:pPr>
        <w:autoSpaceDN w:val="0"/>
        <w:autoSpaceDE w:val="0"/>
        <w:widowControl/>
        <w:spacing w:line="190" w:lineRule="auto" w:before="104" w:after="10"/>
        <w:ind w:left="1006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>Confort hospitalier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6.0" w:type="dxa"/>
      </w:tblPr>
      <w:tblGrid>
        <w:gridCol w:w="1890"/>
        <w:gridCol w:w="1890"/>
        <w:gridCol w:w="1890"/>
        <w:gridCol w:w="1890"/>
        <w:gridCol w:w="1890"/>
        <w:gridCol w:w="1890"/>
      </w:tblGrid>
      <w:tr>
        <w:trPr>
          <w:trHeight w:hRule="exact" w:val="26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52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Téléphone, internet, télévision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2" w:after="0"/>
              <w:ind w:left="0" w:right="35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5 €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5 €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5 € 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2" w:after="0"/>
              <w:ind w:left="30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5 € </w:t>
            </w:r>
          </w:p>
        </w:tc>
      </w:tr>
      <w:tr>
        <w:trPr>
          <w:trHeight w:hRule="exact" w:val="278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(par jour, dans la limite de 15 jours par année </w:t>
            </w:r>
          </w:p>
        </w:tc>
        <w:tc>
          <w:tcPr>
            <w:tcW w:type="dxa" w:w="1890"/>
            <w:vMerge/>
            <w:tcBorders/>
          </w:tcPr>
          <w:p/>
        </w:tc>
        <w:tc>
          <w:tcPr>
            <w:tcW w:type="dxa" w:w="1890"/>
            <w:vMerge/>
            <w:tcBorders/>
          </w:tcPr>
          <w:p/>
        </w:tc>
        <w:tc>
          <w:tcPr>
            <w:tcW w:type="dxa" w:w="1890"/>
            <w:vMerge/>
            <w:tcBorders/>
          </w:tcPr>
          <w:p/>
        </w:tc>
        <w:tc>
          <w:tcPr>
            <w:tcW w:type="dxa" w:w="1890"/>
            <w:vMerge/>
            <w:tcBorders/>
          </w:tcPr>
          <w:p/>
        </w:tc>
        <w:tc>
          <w:tcPr>
            <w:tcW w:type="dxa" w:w="189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0" w:lineRule="auto" w:before="8" w:after="54"/>
        <w:ind w:left="1006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d’adhésion)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34.0" w:type="dxa"/>
      </w:tblPr>
      <w:tblGrid>
        <w:gridCol w:w="1890"/>
        <w:gridCol w:w="1890"/>
        <w:gridCol w:w="1890"/>
        <w:gridCol w:w="1890"/>
        <w:gridCol w:w="1890"/>
        <w:gridCol w:w="1890"/>
      </w:tblGrid>
      <w:tr>
        <w:trPr>
          <w:trHeight w:hRule="exact" w:val="348"/>
        </w:trPr>
        <w:tc>
          <w:tcPr>
            <w:tcW w:type="dxa" w:w="46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Transport 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</w:tr>
      <w:tr>
        <w:trPr>
          <w:trHeight w:hRule="exact" w:val="378"/>
        </w:trPr>
        <w:tc>
          <w:tcPr>
            <w:tcW w:type="dxa" w:w="4690"/>
            <w:tcBorders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Hospitalisation à domicile </w:t>
            </w:r>
          </w:p>
        </w:tc>
        <w:tc>
          <w:tcPr>
            <w:tcW w:type="dxa" w:w="958"/>
            <w:tcBorders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8"/>
            <w:tcBorders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8"/>
            <w:tcBorders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4"/>
            <w:tcBorders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  <w:tc>
          <w:tcPr>
            <w:tcW w:type="dxa" w:w="958"/>
            <w:tcBorders>
              <w:bottom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100%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50.0" w:type="dxa"/>
      </w:tblPr>
      <w:tblGrid>
        <w:gridCol w:w="3779"/>
        <w:gridCol w:w="3779"/>
        <w:gridCol w:w="3779"/>
      </w:tblGrid>
      <w:tr>
        <w:trPr>
          <w:trHeight w:hRule="exact" w:val="786"/>
        </w:trPr>
        <w:tc>
          <w:tcPr>
            <w:tcW w:type="dxa" w:w="5632"/>
            <w:tcBorders>
              <w:top w:sz="11.20000000000027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632"/>
            </w:tblGrid>
            <w:tr>
              <w:trPr>
                <w:trHeight w:hRule="exact" w:val="464"/>
              </w:trPr>
              <w:tc>
                <w:tcPr>
                  <w:tcW w:type="dxa" w:w="3356"/>
                  <w:tcBorders/>
                  <w:shd w:fill="05336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40" w:after="0"/>
                    <w:ind w:left="282" w:right="0" w:firstLine="0"/>
                    <w:jc w:val="left"/>
                  </w:pPr>
                  <w:r>
                    <w:rPr>
                      <w:rFonts w:ascii="Poppins" w:hAnsi="Poppins" w:eastAsia="Poppins"/>
                      <w:b/>
                      <w:i w:val="0"/>
                      <w:color w:val="FFFFFF"/>
                      <w:sz w:val="18"/>
                    </w:rPr>
                    <w:t xml:space="preserve">OPTIQUE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70"/>
            <w:tcBorders>
              <w:top w:sz="11.200000000000273" w:val="single" w:color="#BAC5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58"/>
            <w:tcBorders>
              <w:top w:sz="11.200000000000273" w:val="single" w:color="#BAC5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5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>Équipement Optique - 100% SANTÉ</w:t>
            </w:r>
          </w:p>
        </w:tc>
        <w:tc>
          <w:tcPr>
            <w:tcW w:type="dxa" w:w="28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Remboursement Intégral </w:t>
            </w:r>
          </w:p>
        </w:tc>
        <w:tc>
          <w:tcPr>
            <w:tcW w:type="dxa" w:w="9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2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7360" cy="31622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" cy="3162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12"/>
        </w:trPr>
        <w:tc>
          <w:tcPr>
            <w:tcW w:type="dxa" w:w="56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5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(Verres et Monture de classe A) </w:t>
            </w:r>
          </w:p>
        </w:tc>
        <w:tc>
          <w:tcPr>
            <w:tcW w:type="dxa" w:w="3779"/>
            <w:vMerge/>
            <w:tcBorders/>
          </w:tcPr>
          <w:p/>
        </w:tc>
        <w:tc>
          <w:tcPr>
            <w:tcW w:type="dxa" w:w="3779"/>
            <w:vMerge/>
            <w:tcBorders/>
          </w:tcPr>
          <w:p/>
        </w:tc>
      </w:tr>
    </w:tbl>
    <w:p>
      <w:pPr>
        <w:autoSpaceDN w:val="0"/>
        <w:tabs>
          <w:tab w:pos="7938" w:val="left"/>
        </w:tabs>
        <w:autoSpaceDE w:val="0"/>
        <w:widowControl/>
        <w:spacing w:line="245" w:lineRule="auto" w:before="38" w:after="0"/>
        <w:ind w:left="1008" w:right="288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 xml:space="preserve">Services CPMS </w:t>
      </w:r>
      <w:r>
        <w:br/>
      </w:r>
      <w:r>
        <w:rPr>
          <w:rFonts w:ascii="Poppins" w:hAnsi="Poppins" w:eastAsia="Poppins"/>
          <w:b/>
          <w:i w:val="0"/>
          <w:color w:val="BBC500"/>
          <w:sz w:val="18"/>
        </w:rPr>
        <w:t>+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Test de vue (En ligne) </w:t>
      </w:r>
      <w:r>
        <w:br/>
      </w:r>
      <w:r>
        <w:rPr>
          <w:rFonts w:ascii="Poppins" w:hAnsi="Poppins" w:eastAsia="Poppins"/>
          <w:b/>
          <w:i w:val="0"/>
          <w:color w:val="BBC500"/>
          <w:sz w:val="18"/>
        </w:rPr>
        <w:t>+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Prise de Rendez-vous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(Ophtalmologues partenaires) </w:t>
      </w:r>
      <w:r>
        <w:tab/>
      </w:r>
      <w:r>
        <w:rPr>
          <w:rFonts w:ascii="Wingdings 2" w:hAnsi="Wingdings 2" w:eastAsia="Wingdings 2"/>
          <w:b w:val="0"/>
          <w:i w:val="0"/>
          <w:color w:val="BBC500"/>
          <w:sz w:val="24"/>
        </w:rPr>
        <w:t></w:t>
      </w:r>
      <w:r>
        <w:rPr>
          <w:rFonts w:ascii="Poppins" w:hAnsi="Poppins" w:eastAsia="Poppins"/>
          <w:b/>
          <w:i w:val="0"/>
          <w:color w:val="BBC500"/>
          <w:sz w:val="18"/>
        </w:rPr>
        <w:t>+</w:t>
      </w: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 100% SANTÉ étendu </w:t>
      </w:r>
    </w:p>
    <w:p>
      <w:pPr>
        <w:autoSpaceDN w:val="0"/>
        <w:autoSpaceDE w:val="0"/>
        <w:widowControl/>
        <w:spacing w:line="197" w:lineRule="auto" w:before="42" w:after="0"/>
        <w:ind w:left="100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(sur 300 références de montures et les verres </w:t>
      </w:r>
    </w:p>
    <w:p>
      <w:pPr>
        <w:autoSpaceDN w:val="0"/>
        <w:autoSpaceDE w:val="0"/>
        <w:widowControl/>
        <w:spacing w:line="197" w:lineRule="auto" w:before="48" w:after="32"/>
        <w:ind w:left="100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HOYA)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.00000000000001" w:type="dxa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7"/>
      </w:tblGrid>
      <w:tr>
        <w:trPr>
          <w:trHeight w:hRule="exact" w:val="320"/>
        </w:trPr>
        <w:tc>
          <w:tcPr>
            <w:tcW w:type="dxa" w:w="8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.99999999999997" w:type="dxa"/>
            </w:tblPr>
            <w:tblGrid>
              <w:gridCol w:w="830"/>
            </w:tblGrid>
            <w:tr>
              <w:trPr>
                <w:trHeight w:hRule="exact" w:val="3982"/>
              </w:trPr>
              <w:tc>
                <w:tcPr>
                  <w:tcW w:type="dxa" w:w="656"/>
                  <w:tcBorders>
                    <w:top w:sz="8.0" w:val="single" w:color="#004F83"/>
                    <w:end w:sz="8.0" w:val="single" w:color="#004F83"/>
                    <w:bottom w:sz="8.0" w:val="single" w:color="#004F83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894" w:after="0"/>
                    <w:ind w:left="0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04F83"/>
                      <w:sz w:val="14"/>
                    </w:rPr>
                    <w:t xml:space="preserve">Option 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>Équipement Optique - Complexe /Mixte (9)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0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200 €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250 €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0" w:after="0"/>
              <w:ind w:left="23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300 €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0" w:after="0"/>
              <w:ind w:left="23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350 € </w:t>
            </w:r>
          </w:p>
        </w:tc>
        <w:tc>
          <w:tcPr>
            <w:tcW w:type="dxa" w:w="8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86" w:after="0"/>
              <w:ind w:left="0" w:right="120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Exclus </w:t>
            </w:r>
          </w:p>
        </w:tc>
      </w:tr>
      <w:tr>
        <w:trPr>
          <w:trHeight w:hRule="exact" w:val="28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Monture + 1 verre simple et 1 verre complexe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Monture + 2 verres complexes et très complexes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>(pris en charge par le régime de base)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52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100 €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150 €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200 €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250 € </w:t>
            </w:r>
          </w:p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2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>Équipement Optique - Simple (9)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Monture + 2 verres simples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>(pris en charge par le régime de base)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64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6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6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6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64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6" w:after="0"/>
              <w:ind w:left="0" w:right="166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avec </w:t>
            </w:r>
          </w:p>
        </w:tc>
      </w:tr>
      <w:tr>
        <w:trPr>
          <w:trHeight w:hRule="exact" w:val="42"/>
        </w:trPr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8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8" w:after="0"/>
              <w:ind w:left="19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l’option </w:t>
            </w:r>
          </w:p>
        </w:tc>
      </w:tr>
      <w:tr>
        <w:trPr>
          <w:trHeight w:hRule="exact" w:val="19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>Suppléments et prestations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8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" w:after="0"/>
              <w:ind w:left="0" w:right="292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B </w:t>
            </w:r>
          </w:p>
        </w:tc>
      </w:tr>
      <w:tr>
        <w:trPr>
          <w:trHeight w:hRule="exact" w:val="32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4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>Lentilles prescrites prises en charge ou non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0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50 €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0" w:after="0"/>
              <w:ind w:left="0" w:right="21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75 €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0" w:after="0"/>
              <w:ind w:left="0" w:right="17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100 €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0" w:after="0"/>
              <w:ind w:left="0" w:right="18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125 € </w:t>
            </w:r>
          </w:p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>(par année d’adhésion)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>Chirurgie réfractive de l’œil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-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200 €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4" w:after="0"/>
              <w:ind w:left="23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300 € </w:t>
            </w:r>
          </w:p>
        </w:tc>
        <w:tc>
          <w:tcPr>
            <w:tcW w:type="dxa" w:w="95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400 € 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4" w:after="0"/>
              <w:ind w:left="22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450 € </w:t>
            </w:r>
          </w:p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684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>(pour les deux yeux et par année d’adhésion)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122" w:after="0"/>
        <w:ind w:left="9996" w:right="144" w:firstLine="396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2 | 4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GOLDENSTG -02/2024 </w:t>
      </w:r>
    </w:p>
    <w:p>
      <w:pPr>
        <w:sectPr>
          <w:pgSz w:w="11906" w:h="16838"/>
          <w:pgMar w:top="282" w:right="294" w:bottom="76" w:left="27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231140</wp:posOffset>
            </wp:positionH>
            <wp:positionV relativeFrom="page">
              <wp:posOffset>5237480</wp:posOffset>
            </wp:positionV>
            <wp:extent cx="463550" cy="195893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19589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6831330</wp:posOffset>
            </wp:positionH>
            <wp:positionV relativeFrom="page">
              <wp:posOffset>5231130</wp:posOffset>
            </wp:positionV>
            <wp:extent cx="480060" cy="209774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20977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</wp:posOffset>
            </wp:positionH>
            <wp:positionV relativeFrom="page">
              <wp:posOffset>1332230</wp:posOffset>
            </wp:positionV>
            <wp:extent cx="463550" cy="91442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914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6828790</wp:posOffset>
            </wp:positionH>
            <wp:positionV relativeFrom="page">
              <wp:posOffset>1334770</wp:posOffset>
            </wp:positionV>
            <wp:extent cx="476250" cy="97118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97118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.00000000000001" w:type="dxa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7"/>
      </w:tblGrid>
      <w:tr>
        <w:trPr>
          <w:trHeight w:hRule="exact" w:val="234"/>
        </w:trPr>
        <w:tc>
          <w:tcPr>
            <w:tcW w:type="dxa" w:w="846"/>
            <w:tcBorders>
              <w:bottom w:sz="8.0" w:val="single" w:color="#05336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14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/>
        </w:tc>
        <w:tc>
          <w:tcPr>
            <w:tcW w:type="dxa" w:w="100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4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2" w:after="0"/>
              <w:ind w:left="11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96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2" w:after="0"/>
              <w:ind w:left="22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1060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2" w:after="0"/>
              <w:ind w:left="22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996"/>
            <w:tcBorders>
              <w:bottom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85 ans </w:t>
            </w:r>
          </w:p>
        </w:tc>
        <w:tc>
          <w:tcPr>
            <w:tcW w:type="dxa" w:w="848"/>
            <w:tcBorders>
              <w:bottom w:sz="8.0" w:val="single" w:color="#053362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0"/>
        </w:trPr>
        <w:tc>
          <w:tcPr>
            <w:tcW w:type="dxa" w:w="846"/>
            <w:tcBorders>
              <w:top w:sz="8.0" w:val="single" w:color="#053362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14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9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8"/>
              </w:rPr>
              <w:t xml:space="preserve">DENTAIRE </w:t>
            </w:r>
          </w:p>
        </w:tc>
        <w:tc>
          <w:tcPr>
            <w:tcW w:type="dxa" w:w="100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1 </w:t>
            </w:r>
          </w:p>
        </w:tc>
        <w:tc>
          <w:tcPr>
            <w:tcW w:type="dxa" w:w="84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2 </w:t>
            </w:r>
          </w:p>
        </w:tc>
        <w:tc>
          <w:tcPr>
            <w:tcW w:type="dxa" w:w="96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23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3 </w:t>
            </w:r>
          </w:p>
        </w:tc>
        <w:tc>
          <w:tcPr>
            <w:tcW w:type="dxa" w:w="1060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224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4 </w:t>
            </w:r>
          </w:p>
        </w:tc>
        <w:tc>
          <w:tcPr>
            <w:tcW w:type="dxa" w:w="996"/>
            <w:tcBorders>
              <w:top w:sz="8.0" w:val="single" w:color="#053362"/>
            </w:tcBorders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FFFFFF"/>
                <w:sz w:val="13"/>
              </w:rPr>
              <w:t xml:space="preserve">FORMULE 5 </w:t>
            </w:r>
          </w:p>
        </w:tc>
        <w:tc>
          <w:tcPr>
            <w:tcW w:type="dxa" w:w="848"/>
            <w:tcBorders>
              <w:top w:sz="8.0" w:val="single" w:color="#053362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4"/>
        </w:trPr>
        <w:tc>
          <w:tcPr>
            <w:tcW w:type="dxa" w:w="84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0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Soins et prothèses - 100% SANTÉ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Remboursement Intégral </w:t>
            </w:r>
          </w:p>
        </w:tc>
        <w:tc>
          <w:tcPr>
            <w:tcW w:type="dxa" w:w="9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19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7359" cy="31115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59" cy="311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8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6.00000000000001" w:type="dxa"/>
            </w:tblPr>
            <w:tblGrid>
              <w:gridCol w:w="846"/>
            </w:tblGrid>
            <w:tr>
              <w:trPr>
                <w:trHeight w:hRule="exact" w:val="3782"/>
              </w:trPr>
              <w:tc>
                <w:tcPr>
                  <w:tcW w:type="dxa" w:w="704"/>
                  <w:tcBorders>
                    <w:top w:sz="8.0" w:val="single" w:color="#004F83"/>
                    <w:end w:sz="8.0" w:val="single" w:color="#004F83"/>
                    <w:bottom w:sz="8.0" w:val="single" w:color="#004F83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792" w:after="0"/>
                    <w:ind w:left="0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04F83"/>
                      <w:sz w:val="14"/>
                    </w:rPr>
                    <w:t xml:space="preserve">Option 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 xml:space="preserve">Prothèses dentaires </w:t>
            </w:r>
          </w:p>
        </w:tc>
        <w:tc>
          <w:tcPr>
            <w:tcW w:type="dxa" w:w="100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4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84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44" w:after="0"/>
              <w:ind w:left="0" w:right="11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150% </w:t>
            </w:r>
          </w:p>
        </w:tc>
        <w:tc>
          <w:tcPr>
            <w:tcW w:type="dxa" w:w="9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44" w:after="0"/>
              <w:ind w:left="0" w:right="9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200% </w:t>
            </w:r>
          </w:p>
        </w:tc>
        <w:tc>
          <w:tcPr>
            <w:tcW w:type="dxa" w:w="10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44" w:after="0"/>
              <w:ind w:left="0" w:right="19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250% </w:t>
            </w:r>
          </w:p>
        </w:tc>
        <w:tc>
          <w:tcPr>
            <w:tcW w:type="dxa" w:w="99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4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275% </w:t>
            </w:r>
          </w:p>
        </w:tc>
        <w:tc>
          <w:tcPr>
            <w:tcW w:type="dxa" w:w="8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1468" w:after="0"/>
              <w:ind w:left="0" w:right="0" w:firstLine="0"/>
              <w:jc w:val="center"/>
            </w:pPr>
            <w:r>
              <w:rPr>
                <w:shd w:val="clear" w:color="auto" w:fill="053362"/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Exclus </w:t>
            </w:r>
          </w:p>
        </w:tc>
      </w:tr>
      <w:tr>
        <w:trPr>
          <w:trHeight w:hRule="exact" w:val="260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Prothèses dentaires, Inlays-core et implantologie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(pris en charge par le régime de base) </w:t>
            </w:r>
          </w:p>
        </w:tc>
        <w:tc>
          <w:tcPr>
            <w:tcW w:type="dxa" w:w="100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0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84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08" w:after="0"/>
              <w:ind w:left="0" w:right="11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08" w:after="0"/>
              <w:ind w:left="0" w:right="12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125% </w:t>
            </w:r>
          </w:p>
        </w:tc>
        <w:tc>
          <w:tcPr>
            <w:tcW w:type="dxa" w:w="10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08" w:after="0"/>
              <w:ind w:left="0" w:right="22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150% </w:t>
            </w:r>
          </w:p>
        </w:tc>
        <w:tc>
          <w:tcPr>
            <w:tcW w:type="dxa" w:w="99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0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175% </w:t>
            </w:r>
          </w:p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6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 xml:space="preserve">Soins dentaires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>(pris en charge par le régime de base)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8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>Inlays, onlays, orthodontie</w:t>
            </w:r>
          </w:p>
        </w:tc>
        <w:tc>
          <w:tcPr>
            <w:tcW w:type="dxa" w:w="100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84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11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12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125% </w:t>
            </w:r>
          </w:p>
        </w:tc>
        <w:tc>
          <w:tcPr>
            <w:tcW w:type="dxa" w:w="10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22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150% </w:t>
            </w:r>
          </w:p>
        </w:tc>
        <w:tc>
          <w:tcPr>
            <w:tcW w:type="dxa" w:w="99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175% </w:t>
            </w:r>
          </w:p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avec </w:t>
            </w:r>
          </w:p>
        </w:tc>
      </w:tr>
      <w:tr>
        <w:trPr>
          <w:trHeight w:hRule="exact" w:val="240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(pris en charge par le régime de base)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44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l’option </w:t>
            </w:r>
          </w:p>
        </w:tc>
      </w:tr>
      <w:tr>
        <w:trPr>
          <w:trHeight w:hRule="exact" w:val="364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4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 xml:space="preserve">Soins et Prothèses dentaires (Hors </w:t>
            </w:r>
          </w:p>
        </w:tc>
        <w:tc>
          <w:tcPr>
            <w:tcW w:type="dxa" w:w="100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- </w:t>
            </w:r>
          </w:p>
        </w:tc>
        <w:tc>
          <w:tcPr>
            <w:tcW w:type="dxa" w:w="84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2" w:after="0"/>
              <w:ind w:left="0" w:right="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100 € </w:t>
            </w:r>
          </w:p>
        </w:tc>
        <w:tc>
          <w:tcPr>
            <w:tcW w:type="dxa" w:w="9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2" w:after="0"/>
              <w:ind w:left="0" w:right="88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150 € </w:t>
            </w:r>
          </w:p>
        </w:tc>
        <w:tc>
          <w:tcPr>
            <w:tcW w:type="dxa" w:w="10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2" w:after="0"/>
              <w:ind w:left="0" w:right="17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200 € </w:t>
            </w:r>
          </w:p>
        </w:tc>
        <w:tc>
          <w:tcPr>
            <w:tcW w:type="dxa" w:w="99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250 € </w:t>
            </w:r>
          </w:p>
        </w:tc>
        <w:tc>
          <w:tcPr>
            <w:tcW w:type="dxa" w:w="8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4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B </w:t>
            </w:r>
          </w:p>
        </w:tc>
      </w:tr>
      <w:tr>
        <w:trPr>
          <w:trHeight w:hRule="exact" w:val="272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>nomenclature)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Implants, 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22"/>
              </w:rPr>
              <w:t xml:space="preserve">piliers implantaires, </w:t>
            </w: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parodontie,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orthodontie pour adulte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8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(non pris en charge par le régime de base)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1417"/>
            <w:vMerge/>
            <w:tcBorders/>
          </w:tcPr>
          <w:p/>
        </w:tc>
        <w:tc>
          <w:tcPr>
            <w:tcW w:type="dxa" w:w="471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1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(par année d’adhésion)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0" w:lineRule="auto" w:before="76" w:after="8"/>
        <w:ind w:left="101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>Plafond dentaire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8.0" w:type="dxa"/>
      </w:tblPr>
      <w:tblGrid>
        <w:gridCol w:w="1890"/>
        <w:gridCol w:w="1890"/>
        <w:gridCol w:w="1890"/>
        <w:gridCol w:w="1890"/>
        <w:gridCol w:w="1890"/>
        <w:gridCol w:w="1890"/>
      </w:tblGrid>
      <w:tr>
        <w:trPr>
          <w:trHeight w:hRule="exact" w:val="270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52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(Au-delà du plafond, la prise en charge est limitée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39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29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-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16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800 €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1 000 €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14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1 200 € </w:t>
            </w:r>
          </w:p>
        </w:tc>
      </w:tr>
    </w:tbl>
    <w:p>
      <w:pPr>
        <w:autoSpaceDN w:val="0"/>
        <w:autoSpaceDE w:val="0"/>
        <w:widowControl/>
        <w:spacing w:line="190" w:lineRule="auto" w:before="10" w:after="42"/>
        <w:ind w:left="101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>au ticket mod</w:t>
      </w:r>
      <w:r>
        <w:rPr>
          <w:rFonts w:ascii="Poppins" w:hAnsi="Poppins" w:eastAsia="Poppins"/>
          <w:b w:val="0"/>
          <w:i w:val="0"/>
          <w:color w:val="000000"/>
          <w:sz w:val="18"/>
        </w:rPr>
        <w:t>é</w:t>
      </w:r>
      <w:r>
        <w:rPr>
          <w:rFonts w:ascii="Poppins" w:hAnsi="Poppins" w:eastAsia="Poppins"/>
          <w:b w:val="0"/>
          <w:i w:val="0"/>
          <w:color w:val="000000"/>
          <w:sz w:val="18"/>
        </w:rPr>
        <w:t>rateur)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.0" w:type="dxa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7"/>
      </w:tblGrid>
      <w:tr>
        <w:trPr>
          <w:trHeight w:hRule="exact" w:val="282"/>
        </w:trPr>
        <w:tc>
          <w:tcPr>
            <w:tcW w:type="dxa" w:w="111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6"/>
        </w:trPr>
        <w:tc>
          <w:tcPr>
            <w:tcW w:type="dxa" w:w="85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0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8"/>
              </w:rPr>
              <w:t xml:space="preserve">PROTHESES AUDITIVES (10) </w:t>
            </w:r>
          </w:p>
        </w:tc>
        <w:tc>
          <w:tcPr>
            <w:tcW w:type="dxa" w:w="956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288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2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Remboursement Intégral </w:t>
            </w:r>
          </w:p>
        </w:tc>
        <w:tc>
          <w:tcPr>
            <w:tcW w:type="dxa" w:w="940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26"/>
        </w:trPr>
        <w:tc>
          <w:tcPr>
            <w:tcW w:type="dxa" w:w="8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2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>Équipement Auditif - 100% SANTÉ</w:t>
            </w:r>
          </w:p>
        </w:tc>
        <w:tc>
          <w:tcPr>
            <w:tcW w:type="dxa" w:w="9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251"/>
            <w:gridSpan w:val="3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0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8629" cy="31622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29" cy="3162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Prothèses Auditives (classe I)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4251"/>
            <w:gridSpan w:val="3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8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7.99999999999997" w:type="dxa"/>
            </w:tblPr>
            <w:tblGrid>
              <w:gridCol w:w="850"/>
            </w:tblGrid>
            <w:tr>
              <w:trPr>
                <w:trHeight w:hRule="exact" w:val="1830"/>
              </w:trPr>
              <w:tc>
                <w:tcPr>
                  <w:tcW w:type="dxa" w:w="688"/>
                  <w:tcBorders>
                    <w:top w:sz="8.0" w:val="single" w:color="#004F83"/>
                    <w:end w:sz="8.0" w:val="single" w:color="#004F83"/>
                    <w:bottom w:sz="8.0" w:val="single" w:color="#004F83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16" w:after="0"/>
                    <w:ind w:left="0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04F83"/>
                      <w:sz w:val="14"/>
                    </w:rPr>
                    <w:t xml:space="preserve">Option 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2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>Forfait Appareillages et prothèses auditives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- </w:t>
            </w:r>
          </w:p>
        </w:tc>
        <w:tc>
          <w:tcPr>
            <w:tcW w:type="dxa" w:w="98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200 € </w:t>
            </w:r>
          </w:p>
        </w:tc>
        <w:tc>
          <w:tcPr>
            <w:tcW w:type="dxa" w:w="9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400 € </w:t>
            </w:r>
          </w:p>
        </w:tc>
        <w:tc>
          <w:tcPr>
            <w:tcW w:type="dxa" w:w="942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600 € </w:t>
            </w:r>
          </w:p>
        </w:tc>
        <w:tc>
          <w:tcPr>
            <w:tcW w:type="dxa" w:w="94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1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800 € </w:t>
            </w:r>
          </w:p>
        </w:tc>
        <w:tc>
          <w:tcPr>
            <w:tcW w:type="dxa" w:w="8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76" w:after="0"/>
              <w:ind w:left="0" w:right="128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Exclus </w:t>
            </w:r>
          </w:p>
        </w:tc>
      </w:tr>
      <w:tr>
        <w:trPr>
          <w:trHeight w:hRule="exact" w:val="36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2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(pour les deux oreilles et par assuré)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>Prothèses auditives</w:t>
            </w:r>
          </w:p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8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42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4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2" w:after="0"/>
              <w:ind w:left="0" w:right="174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avec </w:t>
            </w:r>
          </w:p>
        </w:tc>
      </w:tr>
      <w:tr>
        <w:trPr>
          <w:trHeight w:hRule="exact" w:val="200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8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(pris en charge par le régime de base)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8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88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l’option </w:t>
            </w:r>
          </w:p>
        </w:tc>
      </w:tr>
      <w:tr>
        <w:trPr>
          <w:trHeight w:hRule="exact" w:val="132"/>
        </w:trPr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95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8" w:after="0"/>
              <w:ind w:left="0" w:right="20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86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6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42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940"/>
            <w:vMerge w:val="restart"/>
            <w:tcBorders/>
            <w:shd w:fill="004f8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1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100% </w:t>
            </w:r>
          </w:p>
        </w:tc>
        <w:tc>
          <w:tcPr>
            <w:tcW w:type="dxa" w:w="8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" w:after="0"/>
              <w:ind w:left="0" w:right="304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 xml:space="preserve">B </w:t>
            </w:r>
          </w:p>
        </w:tc>
      </w:tr>
      <w:tr>
        <w:trPr>
          <w:trHeight w:hRule="exact" w:val="308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2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BBC500"/>
                <w:sz w:val="18"/>
              </w:rPr>
              <w:t xml:space="preserve">Piles et accessoires 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417"/>
            <w:vMerge/>
            <w:tcBorders/>
          </w:tcPr>
          <w:p/>
        </w:tc>
        <w:tc>
          <w:tcPr>
            <w:tcW w:type="dxa" w:w="4688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>(pris en charge par le régime de base)</w:t>
            </w:r>
          </w:p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  <w:tc>
          <w:tcPr>
            <w:tcW w:type="dxa" w:w="14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33.9999999999999" w:type="dxa"/>
      </w:tblPr>
      <w:tblGrid>
        <w:gridCol w:w="5669"/>
        <w:gridCol w:w="5669"/>
      </w:tblGrid>
      <w:tr>
        <w:trPr>
          <w:trHeight w:hRule="exact" w:val="486"/>
        </w:trPr>
        <w:tc>
          <w:tcPr>
            <w:tcW w:type="dxa" w:w="4654"/>
            <w:tcBorders/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0" w:after="0"/>
              <w:ind w:left="56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FFFFFF"/>
                <w:sz w:val="18"/>
              </w:rPr>
              <w:t xml:space="preserve">SERVICES EN INCLUSION </w:t>
            </w:r>
          </w:p>
        </w:tc>
        <w:tc>
          <w:tcPr>
            <w:tcW w:type="dxa" w:w="4806"/>
            <w:tcBorders/>
            <w:shd w:fill="05336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54"/>
        </w:trPr>
        <w:tc>
          <w:tcPr>
            <w:tcW w:type="dxa" w:w="46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56" w:right="2304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Assistance - Mutuaide </w:t>
            </w:r>
            <w:r>
              <w:br/>
            </w:r>
            <w:r>
              <w:rPr>
                <w:rFonts w:ascii="Poppins" w:hAnsi="Poppins" w:eastAsia="Poppins"/>
                <w:b/>
                <w:i w:val="0"/>
                <w:color w:val="063363"/>
                <w:sz w:val="18"/>
              </w:rPr>
              <w:t xml:space="preserve">Tiers payant - Viamedis </w:t>
            </w:r>
          </w:p>
        </w:tc>
        <w:tc>
          <w:tcPr>
            <w:tcW w:type="dxa" w:w="48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68" w:after="0"/>
              <w:ind w:left="2304" w:right="2026" w:firstLine="0"/>
              <w:jc w:val="right"/>
            </w:pPr>
            <w:r>
              <w:rPr>
                <w:rFonts w:ascii="Wingdings 2" w:hAnsi="Wingdings 2" w:eastAsia="Wingdings 2"/>
                <w:b w:val="0"/>
                <w:i w:val="0"/>
                <w:color w:val="BBC500"/>
                <w:sz w:val="24"/>
              </w:rPr>
              <w:t>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BBC500"/>
                <w:sz w:val="24"/>
              </w:rPr>
              <w:t></w:t>
            </w:r>
          </w:p>
        </w:tc>
      </w:tr>
    </w:tbl>
    <w:p>
      <w:pPr>
        <w:autoSpaceDN w:val="0"/>
        <w:autoSpaceDE w:val="0"/>
        <w:widowControl/>
        <w:spacing w:line="190" w:lineRule="auto" w:before="54" w:after="0"/>
        <w:ind w:left="990" w:right="0" w:firstLine="0"/>
        <w:jc w:val="left"/>
      </w:pPr>
      <w:r>
        <w:rPr>
          <w:rFonts w:ascii="Poppins" w:hAnsi="Poppins" w:eastAsia="Poppins"/>
          <w:b/>
          <w:i w:val="0"/>
          <w:color w:val="063363"/>
          <w:sz w:val="18"/>
        </w:rPr>
        <w:t>My CPMS - Espace assuré</w:t>
      </w:r>
    </w:p>
    <w:p>
      <w:pPr>
        <w:autoSpaceDN w:val="0"/>
        <w:autoSpaceDE w:val="0"/>
        <w:widowControl/>
        <w:spacing w:line="190" w:lineRule="auto" w:before="20" w:after="0"/>
        <w:ind w:left="9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Transmission et Consultation des </w:t>
      </w:r>
    </w:p>
    <w:p>
      <w:pPr>
        <w:autoSpaceDN w:val="0"/>
        <w:tabs>
          <w:tab w:pos="7942" w:val="left"/>
        </w:tabs>
        <w:autoSpaceDE w:val="0"/>
        <w:widowControl/>
        <w:spacing w:line="199" w:lineRule="auto" w:before="6" w:after="0"/>
        <w:ind w:left="9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remboursements </w:t>
      </w:r>
      <w:r>
        <w:rPr>
          <w:rFonts w:ascii="Wingdings 2" w:hAnsi="Wingdings 2" w:eastAsia="Wingdings 2"/>
          <w:b w:val="0"/>
          <w:i w:val="0"/>
          <w:color w:val="BBC500"/>
          <w:sz w:val="24"/>
        </w:rPr>
        <w:t></w:t>
      </w:r>
    </w:p>
    <w:p>
      <w:pPr>
        <w:autoSpaceDN w:val="0"/>
        <w:autoSpaceDE w:val="0"/>
        <w:widowControl/>
        <w:spacing w:line="190" w:lineRule="auto" w:before="18" w:after="0"/>
        <w:ind w:left="9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Simulation des remboursements de soins </w:t>
      </w:r>
    </w:p>
    <w:p>
      <w:pPr>
        <w:autoSpaceDN w:val="0"/>
        <w:autoSpaceDE w:val="0"/>
        <w:widowControl/>
        <w:spacing w:line="190" w:lineRule="auto" w:before="18" w:after="0"/>
        <w:ind w:left="99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8"/>
        </w:rPr>
        <w:t xml:space="preserve">Carte de Tiers-Payant dématérialisée </w:t>
      </w:r>
    </w:p>
    <w:p>
      <w:pPr>
        <w:autoSpaceDN w:val="0"/>
        <w:autoSpaceDE w:val="0"/>
        <w:widowControl/>
        <w:spacing w:line="245" w:lineRule="auto" w:before="6" w:after="0"/>
        <w:ind w:left="29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</w:t>
      </w:r>
      <w:r>
        <w:rPr>
          <w:rFonts w:ascii="Poppins" w:hAnsi="Poppins" w:eastAsia="Poppins"/>
          <w:b w:val="0"/>
          <w:i w:val="0"/>
          <w:color w:val="000000"/>
          <w:sz w:val="14"/>
        </w:rPr>
        <w:t>1)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Le versement de tout ou partie du forfait relatif aux médicaments prescrits et non pris en charge est soumis à la réception des justificatifs correspondants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(ordonnance et facture). Le versement ne pourra dépasser le montant des frais réellement engagés par l’assuré et dans la limite du forfait annuel indiqué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sur le tableau de garantie (selon la formule choisie)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(2) Les remboursements s’entendent en pourcentage de la base de remboursement de la sécurité sociale et incluent la part du régime obligatoire. Le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remboursement du forfait petits appareillages ne pourra venir en complément de ce versement. </w:t>
      </w:r>
    </w:p>
    <w:p>
      <w:pPr>
        <w:autoSpaceDN w:val="0"/>
        <w:autoSpaceDE w:val="0"/>
        <w:widowControl/>
        <w:spacing w:line="245" w:lineRule="auto" w:before="0" w:after="0"/>
        <w:ind w:left="294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(3) Le versement de tout ou partie du forfait relatif aux Petits appareillages ne pourra dépasser le montant des frais réellement engagés par l’assuré et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dans la limite du forfait annuel indiqué sur le tableau de garantie (selon la formule choisie)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>(4)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Le forfait Médecines douces comprend les actes réalisés par des praticiens ci-après diplômés d’un établissement de formation agréé par le Ministère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de la Santé: Ostéopathe, Pédicure, Podologue, Étiopathe, Homéopathe, Acupuncteur, Chiropracteur, Mésothérapeute, Réflexologue, Diététicien,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Nutritionniste. </w:t>
      </w:r>
    </w:p>
    <w:p>
      <w:pPr>
        <w:autoSpaceDN w:val="0"/>
        <w:autoSpaceDE w:val="0"/>
        <w:widowControl/>
        <w:spacing w:line="245" w:lineRule="auto" w:before="0" w:after="0"/>
        <w:ind w:left="294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(5) Les remboursements se limitent à la prise en charge des actes de prévention prévus dans le contrat responsable à savoir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I.  Scellement prophylactique des puits, sillons et fissures (SC8), sous réserve que l'acte soit effectué sur les première et deuxième molaires permanentes,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qu'il n'intervienne qu'une fois par dent et qu'il soit réalisé en cas de risques carieux et avant le quatorzième anniversaire. </w:t>
      </w:r>
    </w:p>
    <w:p>
      <w:pPr>
        <w:autoSpaceDN w:val="0"/>
        <w:autoSpaceDE w:val="0"/>
        <w:widowControl/>
        <w:spacing w:line="190" w:lineRule="auto" w:before="0" w:after="0"/>
        <w:ind w:left="29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II. Un détartrage annuel complet sus- et sous-gingival, effectué en deux séances maximum (SC12). </w:t>
      </w:r>
    </w:p>
    <w:p>
      <w:pPr>
        <w:autoSpaceDN w:val="0"/>
        <w:autoSpaceDE w:val="0"/>
        <w:widowControl/>
        <w:spacing w:line="245" w:lineRule="auto" w:before="0" w:after="0"/>
        <w:ind w:left="294" w:right="144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III.  Bilan du langage oral et/ou bilan d'aptitudes à l'acquisition du langage écrit (AMO24), à condition qu'il s'agisse d'un premier bilan réalisé chez un enfant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de moins de quatorze ans. </w:t>
      </w:r>
    </w:p>
    <w:p>
      <w:pPr>
        <w:autoSpaceDN w:val="0"/>
        <w:autoSpaceDE w:val="0"/>
        <w:widowControl/>
        <w:spacing w:line="190" w:lineRule="auto" w:before="0" w:after="0"/>
        <w:ind w:left="29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IV. Dépistage de l'hépatite B (codes NABM 4713, 4714, 0323, 0351). </w:t>
      </w:r>
    </w:p>
    <w:p>
      <w:pPr>
        <w:autoSpaceDN w:val="0"/>
        <w:autoSpaceDE w:val="0"/>
        <w:widowControl/>
        <w:spacing w:line="245" w:lineRule="auto" w:before="0" w:after="0"/>
        <w:ind w:left="294" w:right="144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V. Dépistage une fois tous les cinq ans des troubles de l'audition chez les personnes âgées de plus de 50 ans pour un des actes suivants :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a) Audiométrie tonale ou vocale (CDQP010)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b) Audiométrie tonale avec tympanométrie (CDQP015)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c) Audiométrie vocale dans le bruit (CDQP011)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d) Audiométrie tonale et vocale (CDQP012) ; </w:t>
      </w:r>
    </w:p>
    <w:p>
      <w:pPr>
        <w:autoSpaceDN w:val="0"/>
        <w:autoSpaceDE w:val="0"/>
        <w:widowControl/>
        <w:spacing w:line="190" w:lineRule="auto" w:before="58" w:after="0"/>
        <w:ind w:left="0" w:right="234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3 | 4 </w:t>
      </w:r>
    </w:p>
    <w:p>
      <w:pPr>
        <w:autoSpaceDN w:val="0"/>
        <w:autoSpaceDE w:val="0"/>
        <w:widowControl/>
        <w:spacing w:line="190" w:lineRule="auto" w:before="26" w:after="0"/>
        <w:ind w:left="0" w:right="240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GOLDENSTG -02/2024 </w:t>
      </w:r>
    </w:p>
    <w:p>
      <w:pPr>
        <w:sectPr>
          <w:pgSz w:w="11906" w:h="16838"/>
          <w:pgMar w:top="504" w:right="296" w:bottom="76" w:left="2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"/>
        <w:ind w:left="0" w:right="0"/>
      </w:pP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e) Audiométrie tonale et vocale avec tympanométrie (CDQP002).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VI. L'acte d'ostéodensitométrie remboursable par l'assurance maladie obligatoire ; sans préjudice des conditions d'inscription de l'acte sur la liste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mentionnée à l'article L. 162-1-7, la prise en charge au titre du présent arrêté est limitée aux femmes de plus de cinquante ans, une fois tous les six ans. </w:t>
      </w:r>
    </w:p>
    <w:p>
      <w:pPr>
        <w:autoSpaceDN w:val="0"/>
        <w:autoSpaceDE w:val="0"/>
        <w:widowControl/>
        <w:spacing w:line="245" w:lineRule="auto" w:before="0" w:after="0"/>
        <w:ind w:left="0" w:right="2448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VII. Les vaccinations suivantes, seules ou combinées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a) Diphtérie, tétanos et poliomyélite : tous âges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b) Coqueluche : avant 14 ans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c) Hépatite B : avant 14 ans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d) BCG : avant 6 ans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e) Rubéole pour les adolescentes qui n'ont pas été vaccinées et pour les femmes non immunisées désirant un enfant;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f) Haemophilus influenzae B ;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g) Vaccination contre les infections invasives à pneumocoques pour les enfants de moins de dix-huit mois.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(6) Pendant les 30 premiers jours suivant la prise d’effet de l’adhésion, les remboursements sont limités uniquement à la prise en charge du TM et du forfait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hospitalier, sauf en cas d’hospitalisation consécutive à un accident où la garantie s’applique totalement. </w:t>
      </w:r>
    </w:p>
    <w:p>
      <w:pPr>
        <w:autoSpaceDN w:val="0"/>
        <w:autoSpaceDE w:val="0"/>
        <w:widowControl/>
        <w:spacing w:line="190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(7) Illimité. Exclu en gérontologie, en unités de soins de longue durée (USLD), en établissements d’hébergement pour personnes âgées. </w:t>
      </w:r>
    </w:p>
    <w:p>
      <w:pPr>
        <w:autoSpaceDN w:val="0"/>
        <w:autoSpaceDE w:val="0"/>
        <w:widowControl/>
        <w:spacing w:line="245" w:lineRule="auto" w:before="0" w:after="0"/>
        <w:ind w:left="0" w:right="2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(8) Durée limitée à 30 jours par an en hospitalisation médicale, chirurgicale ou obstétrique, et pour les séjours en soins de suite (maison de repos,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convalescence ou de rééducation…) consécutifs à une hospitalisation. SONT EXCLUS de la garantie : les séjours en gérontologie, les séjours en unités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soins de longue durée (USLD), les établissements d’hébergement pour personnes âgées, les établissements médicosociaux, les établissements ne relevant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pas des soins de suite et de réadaptations (SSR), les séjours en milieu spécialisé (psychiatrie, cures de désintoxication en cas d’alcoolisme ou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toxicomanie), en maison de repos, de convalescence ou de rééducation (non consécutifs à une hospitalisation). </w:t>
      </w:r>
    </w:p>
    <w:p>
      <w:pPr>
        <w:autoSpaceDN w:val="0"/>
        <w:autoSpaceDE w:val="0"/>
        <w:widowControl/>
        <w:spacing w:line="245" w:lineRule="auto" w:before="0" w:after="0"/>
        <w:ind w:left="0" w:right="24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(9) Les forfaits versés intègrent l’éventuelle part du régime de base. La prise en charge est limitée à un équipement (deux verres et une monture) par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période de deux ans, sauf pour un mineur de 16 ans au plus ou en cas d’évolution de la vue où la période est réduite à un an. De plus, le renouvellement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l’équipement s’applique par période de 6 (six) mois pour les enfants jusqu’à l’âge de 6 ans, uniquement en cas de mauvaise adaptation de la monture à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la morphologie du visage de l’enfant entraînant une perte d’efficacité du verre correcteur. Ces périodes s’apprécient à compter de la date d’acquisition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l’équipement optique. En outre, la prise en charge de la monture est limitée à 100€ (hors Classe A).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Corrections visuelles à compter du 1er janvier 2020 : </w:t>
      </w:r>
      <w:r>
        <w:br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Correction simple :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unifocaux sphériques dont la sphère est comprise entre – 6,00 et + 6,00 dioptries;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 unifocaux sphéro-cylindriques dont la sphère est comprise entre – 6,00 et 0 dioptries et dont le cylindre est inférieur ou égal à + 4,00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dioptries;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 unifocaux sphéro-cylindriques dont la sphère est positive et dont la somme S (sphère + cylindre) est inférieure ou égale à 6,00 dioptries </w:t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Correction complexe :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unifocaux sphériques dont la sphère est hors zone de – 6,00 à + 6,00 dioptries ;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 unifocaux sphéro-cylindriques dont la sphère est comprise entre – 6,00 et 0 dioptries et dont le cylindre est supérieur à + 4,00 dioptries; </w:t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 unifocaux sphéro-cylindriques dont la sphère est inférieure à – 6,00 dioptries et dont le cylindre est supérieur ou égal à 0,25 dioptrie ; </w:t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 unifocaux sphéro-cylindriques dont la sphère est positive et dont la somme S est supérieure à 6,00 dioptries ;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multifocaux ou progressifs sphériques dont la sphère est comprise entre – 4,00 et + 4,00 dioptries ;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multifocaux ou progressifs sphéro-cylindriques dont la sphère est comprise entre – 8,00 et 0,00 dioptries et dont le cylindre est inférieur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ou égal à + 4,00 dioptries; </w:t>
      </w:r>
      <w:r>
        <w:br/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multifocaux ou progressifs sphéro-cylindriques dont la sphère est positive et dont la somme S est inférieure ou égale à 8,00 dioptries </w:t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Correction très complexe: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multifocaux ou progressifs sphériques dont la sphère est hors zone de – 4,00 à + 4,00 dioptries ;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multifocaux ou progressifs sphéro-cylindriques dont la sphère est comprise entre – 8,00 et 0 dioptries et dont le cylindre est supérieur à +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4,00 dioptries;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multifocaux ou progressifs sphéro-cylindriques dont la sphère est inférieure à – 8,00 dioptries et dont le cylindre est supérieur ou égal à </w:t>
      </w:r>
      <w:r>
        <w:tab/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0,25 dioptrie; </w:t>
      </w:r>
      <w:r>
        <w:br/>
      </w:r>
      <w:r>
        <w:rPr>
          <w:rFonts w:ascii="Poppins SemiBold" w:hAnsi="Poppins SemiBold" w:eastAsia="Poppins SemiBold"/>
          <w:b/>
          <w:i w:val="0"/>
          <w:color w:val="000000"/>
          <w:sz w:val="14"/>
        </w:rPr>
        <w:t>∙</w:t>
      </w:r>
      <w:r>
        <w:tab/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multifocaux ou progressifs sphéro-cylindriques dont la sphère est positive et dont la somme S est supérieure à 8,00 dioptries.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(10) Le remboursement des frais auditifs est limité à l’acquisition d’une aide auditive pour chaque oreille indépendamment, par assuré et par période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quatre ans à compter de la date d’achat de l’équipement et dans la limite du plafond de prise en charge de 1700 € du régime obligatoire par aide auditive. </w:t>
      </w:r>
    </w:p>
    <w:p>
      <w:pPr>
        <w:autoSpaceDN w:val="0"/>
        <w:autoSpaceDE w:val="0"/>
        <w:widowControl/>
        <w:spacing w:line="192" w:lineRule="auto" w:before="7266" w:after="0"/>
        <w:ind w:left="0" w:right="0" w:firstLine="0"/>
        <w:jc w:val="center"/>
      </w:pPr>
      <w:r>
        <w:rPr>
          <w:rFonts w:ascii="Poppins" w:hAnsi="Poppins" w:eastAsia="Poppins"/>
          <w:b/>
          <w:i w:val="0"/>
          <w:color w:val="000000"/>
          <w:sz w:val="11"/>
        </w:rPr>
        <w:t xml:space="preserve">KIASSURE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SAS agissant en qualité de Courtier Grossiste en Assurances et Gestionnaire de contrat, enregistrée au RCS de Marseille sous le n° 825 261 522, immatriculée au Registre des Intermédiaires </w:t>
      </w:r>
    </w:p>
    <w:p>
      <w:pPr>
        <w:autoSpaceDN w:val="0"/>
        <w:autoSpaceDE w:val="0"/>
        <w:widowControl/>
        <w:spacing w:line="190" w:lineRule="auto" w:before="22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en Assurances sous le n° 17001652 (numéro pouvant être vérifié sur le site internet www.orias.fr), sous le contrôle de l’Autorité de Contrôle Prudentiel et de Résolution située sis 4 Place de Budapest - </w:t>
      </w:r>
    </w:p>
    <w:p>
      <w:pPr>
        <w:autoSpaceDN w:val="0"/>
        <w:autoSpaceDE w:val="0"/>
        <w:widowControl/>
        <w:spacing w:line="190" w:lineRule="auto" w:before="24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>CS 92459 - 75436 Paris Cedex 09, et dont le siège social est situé sis 27 Place aux huiles - 13001 MARSEILLE.</w:t>
      </w:r>
      <w:r>
        <w:rPr>
          <w:rFonts w:ascii="Poppins" w:hAnsi="Poppins" w:eastAsia="Poppins"/>
          <w:b/>
          <w:i w:val="0"/>
          <w:color w:val="000000"/>
          <w:sz w:val="11"/>
        </w:rPr>
        <w:t xml:space="preserve">CPMS SAS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Gestionnaire règlement des sinistres - Société de Gestion et de Courtage </w:t>
      </w:r>
    </w:p>
    <w:p>
      <w:pPr>
        <w:autoSpaceDN w:val="0"/>
        <w:autoSpaceDE w:val="0"/>
        <w:widowControl/>
        <w:spacing w:line="190" w:lineRule="auto" w:before="26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d’Assurance au capital de 2 729 468 €, inscrite auprès de l’ORIAS sous le N° 07 001 007, dont le siège social est sis 4, Rue Auber 75009 PARIS, immatriculée au RCS de PARIS B 97 B 14894 – Siret 414 357 </w:t>
      </w:r>
    </w:p>
    <w:p>
      <w:pPr>
        <w:autoSpaceDN w:val="0"/>
        <w:autoSpaceDE w:val="0"/>
        <w:widowControl/>
        <w:spacing w:line="190" w:lineRule="auto" w:before="24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>889 00040 - Garantie Financière et RC Professionnelle conformes aux articles L 512-6 et 512-7 du Code des Assurances</w:t>
      </w:r>
      <w:r>
        <w:rPr>
          <w:rFonts w:ascii="Poppins" w:hAnsi="Poppins" w:eastAsia="Poppins"/>
          <w:b/>
          <w:i w:val="0"/>
          <w:color w:val="000000"/>
          <w:sz w:val="11"/>
        </w:rPr>
        <w:t xml:space="preserve">ACHEEL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Assureur du contrat - Société Anonyme au capital de 46 812,48 euros </w:t>
      </w:r>
    </w:p>
    <w:p>
      <w:pPr>
        <w:autoSpaceDN w:val="0"/>
        <w:autoSpaceDE w:val="0"/>
        <w:widowControl/>
        <w:spacing w:line="192" w:lineRule="auto" w:before="22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- Entreprise régie par le Code des assurances – RCS Paris n°879605350 – Siège Social : 128 rue La Boétie - 75008 Paris, sous le contrôle de l’Autorité de Contrôle Prudentiel et de Résolution située sis 4 </w:t>
      </w:r>
    </w:p>
    <w:p>
      <w:pPr>
        <w:autoSpaceDN w:val="0"/>
        <w:autoSpaceDE w:val="0"/>
        <w:widowControl/>
        <w:spacing w:line="190" w:lineRule="auto" w:before="22" w:after="0"/>
        <w:ind w:left="0" w:right="0" w:firstLine="0"/>
        <w:jc w:val="center"/>
      </w:pPr>
      <w:r>
        <w:rPr>
          <w:rFonts w:ascii="Poppins" w:hAnsi="Poppins" w:eastAsia="Poppins"/>
          <w:b w:val="0"/>
          <w:i w:val="0"/>
          <w:color w:val="000000"/>
          <w:sz w:val="11"/>
        </w:rPr>
        <w:t>Place de Budapest - CS 92459 - 75436 Paris Cedex 09.</w:t>
      </w:r>
      <w:r>
        <w:rPr>
          <w:rFonts w:ascii="Poppins" w:hAnsi="Poppins" w:eastAsia="Poppins"/>
          <w:b/>
          <w:i w:val="0"/>
          <w:color w:val="000000"/>
          <w:sz w:val="11"/>
        </w:rPr>
        <w:t xml:space="preserve">ASSOCIATION COPERNIC POUR L’ASSURANCE (ACPA)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Souscripteur du contrat - Association régie par la Loi du 1er juillet 1901 - enregistrée sous </w:t>
      </w:r>
    </w:p>
    <w:p>
      <w:pPr>
        <w:autoSpaceDN w:val="0"/>
        <w:autoSpaceDE w:val="0"/>
        <w:widowControl/>
        <w:spacing w:line="192" w:lineRule="auto" w:before="24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1"/>
        </w:rPr>
        <w:t>le numéro RNA W751261756 - Siège social est sis 76 rue de la Pompe 75116 PARIS.</w:t>
      </w:r>
    </w:p>
    <w:p>
      <w:pPr>
        <w:autoSpaceDN w:val="0"/>
        <w:autoSpaceDE w:val="0"/>
        <w:widowControl/>
        <w:spacing w:line="190" w:lineRule="auto" w:before="348" w:after="0"/>
        <w:ind w:left="0" w:right="22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4 | 4 </w:t>
      </w:r>
    </w:p>
    <w:p>
      <w:pPr>
        <w:autoSpaceDN w:val="0"/>
        <w:autoSpaceDE w:val="0"/>
        <w:widowControl/>
        <w:spacing w:line="190" w:lineRule="auto" w:before="26" w:after="0"/>
        <w:ind w:left="0" w:right="28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GOLDENSTG -02/2024 </w:t>
      </w:r>
    </w:p>
    <w:sectPr w:rsidR="00FC693F" w:rsidRPr="0006063C" w:rsidSect="00034616">
      <w:pgSz w:w="11906" w:h="16838"/>
      <w:pgMar w:top="266" w:right="508" w:bottom="76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