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707390</wp:posOffset>
            </wp:positionH>
            <wp:positionV relativeFrom="page">
              <wp:posOffset>2933700</wp:posOffset>
            </wp:positionV>
            <wp:extent cx="2827020" cy="3457712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345771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6482080</wp:posOffset>
            </wp:positionV>
            <wp:extent cx="71119" cy="995666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19" cy="99566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1164590</wp:posOffset>
            </wp:positionH>
            <wp:positionV relativeFrom="page">
              <wp:posOffset>6540500</wp:posOffset>
            </wp:positionV>
            <wp:extent cx="2263140" cy="888763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88876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707390</wp:posOffset>
            </wp:positionH>
            <wp:positionV relativeFrom="page">
              <wp:posOffset>7611109</wp:posOffset>
            </wp:positionV>
            <wp:extent cx="1244599" cy="82363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4599" cy="8236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7782559</wp:posOffset>
            </wp:positionV>
            <wp:extent cx="71119" cy="398266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19" cy="39826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1164590</wp:posOffset>
            </wp:positionH>
            <wp:positionV relativeFrom="page">
              <wp:posOffset>7842250</wp:posOffset>
            </wp:positionV>
            <wp:extent cx="2385060" cy="663788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6637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707390</wp:posOffset>
            </wp:positionH>
            <wp:positionV relativeFrom="page">
              <wp:posOffset>8686800</wp:posOffset>
            </wp:positionV>
            <wp:extent cx="2569210" cy="476288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4762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707390</wp:posOffset>
            </wp:positionH>
            <wp:positionV relativeFrom="page">
              <wp:posOffset>9344660</wp:posOffset>
            </wp:positionV>
            <wp:extent cx="2820670" cy="471638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47163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4044950</wp:posOffset>
            </wp:positionH>
            <wp:positionV relativeFrom="page">
              <wp:posOffset>2933700</wp:posOffset>
            </wp:positionV>
            <wp:extent cx="215900" cy="2159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4434840</wp:posOffset>
            </wp:positionH>
            <wp:positionV relativeFrom="page">
              <wp:posOffset>2938780</wp:posOffset>
            </wp:positionV>
            <wp:extent cx="1950720" cy="141954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4195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4008120</wp:posOffset>
            </wp:positionH>
            <wp:positionV relativeFrom="page">
              <wp:posOffset>3233420</wp:posOffset>
            </wp:positionV>
            <wp:extent cx="88900" cy="678447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784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4235450</wp:posOffset>
            </wp:positionH>
            <wp:positionV relativeFrom="page">
              <wp:posOffset>3315970</wp:posOffset>
            </wp:positionV>
            <wp:extent cx="1953260" cy="77764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7776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4235450</wp:posOffset>
            </wp:positionH>
            <wp:positionV relativeFrom="page">
              <wp:posOffset>3477260</wp:posOffset>
            </wp:positionV>
            <wp:extent cx="2660650" cy="636541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63654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4008120</wp:posOffset>
            </wp:positionH>
            <wp:positionV relativeFrom="page">
              <wp:posOffset>4114800</wp:posOffset>
            </wp:positionV>
            <wp:extent cx="88900" cy="1010653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065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4235450</wp:posOffset>
            </wp:positionH>
            <wp:positionV relativeFrom="page">
              <wp:posOffset>4197350</wp:posOffset>
            </wp:positionV>
            <wp:extent cx="2520950" cy="160133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6013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4235450</wp:posOffset>
            </wp:positionH>
            <wp:positionV relativeFrom="page">
              <wp:posOffset>4437380</wp:posOffset>
            </wp:positionV>
            <wp:extent cx="2585720" cy="636133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63613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4008120</wp:posOffset>
            </wp:positionH>
            <wp:positionV relativeFrom="page">
              <wp:posOffset>5160010</wp:posOffset>
            </wp:positionV>
            <wp:extent cx="1066800" cy="77835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78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3788410</wp:posOffset>
            </wp:positionH>
            <wp:positionV relativeFrom="page">
              <wp:posOffset>5440680</wp:posOffset>
            </wp:positionV>
            <wp:extent cx="3163569" cy="4537516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3569" cy="453751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2844800</wp:posOffset>
            </wp:positionV>
            <wp:extent cx="6502400" cy="71374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7137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561"/>
      </w:tblGrid>
      <w:tr>
        <w:trPr>
          <w:trHeight w:hRule="exact" w:val="666"/>
        </w:trPr>
        <w:tc>
          <w:tcPr>
            <w:tcW w:type="dxa" w:w="10522"/>
            <w:tcBorders/>
            <w:shd w:fill="2e539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2" w:after="0"/>
              <w:ind w:left="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44"/>
              </w:rPr>
              <w:t>Assurance Complémentaire Santé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561"/>
      </w:tblGrid>
      <w:tr>
        <w:trPr>
          <w:trHeight w:hRule="exact" w:val="218"/>
        </w:trPr>
        <w:tc>
          <w:tcPr>
            <w:tcW w:type="dxa" w:w="7000"/>
            <w:tcBorders/>
            <w:shd w:fill="2e539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14"/>
              </w:rPr>
              <w:t>Document d'informations sur le produit d'assurance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561"/>
      </w:tblGrid>
      <w:tr>
        <w:trPr>
          <w:trHeight w:hRule="exact" w:val="218"/>
        </w:trPr>
        <w:tc>
          <w:tcPr>
            <w:tcW w:type="dxa" w:w="10540"/>
            <w:tcBorders/>
            <w:shd w:fill="2e539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FFFFFF"/>
                <w:sz w:val="14"/>
              </w:rPr>
              <w:t xml:space="preserve">Produit assuré par ACHEEL SA – 128 rue La Boétie – 75008 Paris – SA au capital de 46 812,48 € - RCS 879 605 350 Paris – Entreprise régie par le Code des </w:t>
            </w:r>
          </w:p>
        </w:tc>
      </w:tr>
    </w:tbl>
    <w:p>
      <w:pPr>
        <w:autoSpaceDN w:val="0"/>
        <w:autoSpaceDE w:val="0"/>
        <w:widowControl/>
        <w:spacing w:line="233" w:lineRule="auto" w:before="2" w:after="4"/>
        <w:ind w:left="0" w:right="0" w:firstLine="0"/>
        <w:jc w:val="center"/>
      </w:pPr>
      <w:r>
        <w:rPr>
          <w:rFonts w:ascii="Arial" w:hAnsi="Arial" w:eastAsia="Arial"/>
          <w:b/>
          <w:i w:val="0"/>
          <w:color w:val="FFFFFF"/>
          <w:sz w:val="14"/>
        </w:rPr>
        <w:t xml:space="preserve">assurances. Distribué par KIASSURE – 27 Place aux huiles - 13001 MARSEILLE – SAS au capital de 20 000 € - RCS de Marseille 825 261 522 – Intermédiaire en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561"/>
      </w:tblGrid>
      <w:tr>
        <w:trPr>
          <w:trHeight w:hRule="exact" w:val="216"/>
        </w:trPr>
        <w:tc>
          <w:tcPr>
            <w:tcW w:type="dxa" w:w="9240"/>
            <w:tcBorders/>
            <w:shd w:fill="2e539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14"/>
              </w:rPr>
              <w:t>assurance immatriculé en France auprès de l’ORIAS sous le n°17 001 652. Entreprise régie par le Code des assurances</w:t>
            </w:r>
          </w:p>
        </w:tc>
      </w:tr>
    </w:tbl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561"/>
      </w:tblGrid>
      <w:tr>
        <w:trPr>
          <w:trHeight w:hRule="exact" w:val="276"/>
        </w:trPr>
        <w:tc>
          <w:tcPr>
            <w:tcW w:type="dxa" w:w="6040"/>
            <w:tcBorders/>
            <w:shd w:fill="2e539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14"/>
              </w:rPr>
              <w:t>Produit : Golden Santé</w:t>
            </w:r>
          </w:p>
        </w:tc>
      </w:tr>
    </w:tbl>
    <w:p>
      <w:pPr>
        <w:autoSpaceDN w:val="0"/>
        <w:autoSpaceDE w:val="0"/>
        <w:widowControl/>
        <w:spacing w:line="148" w:lineRule="exact" w:before="242" w:after="0"/>
        <w:ind w:left="28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Ce document d’information présente un résumé́ des principales garanties et exclusions du contrat. Il ne prend pas en compte vos besoins et demandes spécifiques. Vous trouverez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l’information complète sur ce produit dans la documentation précontractuelle et contractuelle. En particulier, les niveaux de garantie seront détaillés dans la notice d’information. </w:t>
      </w:r>
    </w:p>
    <w:p>
      <w:pPr>
        <w:autoSpaceDN w:val="0"/>
        <w:autoSpaceDE w:val="0"/>
        <w:widowControl/>
        <w:spacing w:line="233" w:lineRule="auto" w:before="146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De quel type d'assurance s'agit-il ? </w:t>
      </w:r>
    </w:p>
    <w:p>
      <w:pPr>
        <w:autoSpaceDN w:val="0"/>
        <w:autoSpaceDE w:val="0"/>
        <w:widowControl/>
        <w:spacing w:line="150" w:lineRule="exact" w:before="140" w:after="218"/>
        <w:ind w:left="28" w:right="20" w:firstLine="0"/>
        <w:jc w:val="both"/>
      </w:pPr>
      <w:r>
        <w:rPr>
          <w:rFonts w:ascii="Arial" w:hAnsi="Arial" w:eastAsia="Arial"/>
          <w:b/>
          <w:i w:val="0"/>
          <w:color w:val="000000"/>
          <w:sz w:val="13"/>
        </w:rPr>
        <w:t xml:space="preserve">Golden Santé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est un produit d’Assurance Complémentaire santé. Il est destiné́ à rembourser tout ou une partie des frais de santé restant à la charge de l'Adhérent et des éventuels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bénéficiaires en cas d’accident, de maladie ou de maternité́, après l’intervention de son Régime Obligatoire d’assurance maladie et, dans certains cas, des frais non remboursés par ce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dernier. Le produit Golden Santé est "responsable" car il respecte les obligations et interdictions de prise en charge fixées par la législation. Il est également "solidaire" car il ne prévoit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pas de questionnaire d’état de santé et son tarif ne dépend pas de l’état de santé de l'Adhérent. Le produit Golden santé est conforme au dispositif "100% Santé" qui permet à l’Adhérent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de bénéficier d’un zéro reste à charge sur les paniers optique, dentaire et aides auditives.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7.99999999999997" w:type="dxa"/>
      </w:tblPr>
      <w:tblGrid>
        <w:gridCol w:w="3520"/>
        <w:gridCol w:w="3520"/>
        <w:gridCol w:w="3520"/>
      </w:tblGrid>
      <w:tr>
        <w:trPr>
          <w:trHeight w:hRule="exact" w:val="276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7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Qu'est-ce qui est assuré ?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56" w:after="0"/>
              <w:ind w:left="0" w:right="10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980000"/>
                <w:sz w:val="24"/>
              </w:rPr>
              <w:t>×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44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Qu'est-ce qui n'est pas assuré ? </w:t>
            </w:r>
          </w:p>
        </w:tc>
      </w:tr>
      <w:tr>
        <w:trPr>
          <w:trHeight w:hRule="exact" w:val="400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62" w:after="0"/>
              <w:ind w:left="2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Les remboursements de frais couverts par l'assurance ne peuvent pas être plus </w:t>
            </w:r>
          </w:p>
        </w:tc>
        <w:tc>
          <w:tcPr>
            <w:tcW w:type="dxa" w:w="3520"/>
            <w:vMerge/>
            <w:tcBorders/>
          </w:tcPr>
          <w:p/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384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Les soins reçus en dehors de la période de validité du contrat ; </w:t>
            </w:r>
          </w:p>
        </w:tc>
      </w:tr>
      <w:tr>
        <w:trPr>
          <w:trHeight w:hRule="exact" w:val="120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2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élevés que les dépenses engagées. Ils sont soumis à des plafonds qui varient en </w:t>
            </w:r>
          </w:p>
        </w:tc>
        <w:tc>
          <w:tcPr>
            <w:tcW w:type="dxa" w:w="3520"/>
            <w:vMerge/>
            <w:tcBorders/>
          </w:tcPr>
          <w:p/>
        </w:tc>
        <w:tc>
          <w:tcPr>
            <w:tcW w:type="dxa" w:w="3520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" w:after="0"/>
              <w:ind w:left="2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fonction de la formule et par conséquent une somme peut rester à votre charge. Le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10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980000"/>
                <w:sz w:val="24"/>
              </w:rPr>
              <w:t>×</w:t>
            </w:r>
          </w:p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16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Les séjours en cours à la date d’adhésion du contrat ; </w:t>
            </w:r>
          </w:p>
        </w:tc>
      </w:tr>
      <w:tr>
        <w:trPr>
          <w:trHeight w:hRule="exact" w:val="120"/>
        </w:trPr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8" w:after="0"/>
              <w:ind w:left="2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détail de ces plafonds figure au tableau des garanties ci-joint. </w:t>
            </w:r>
          </w:p>
        </w:tc>
        <w:tc>
          <w:tcPr>
            <w:tcW w:type="dxa" w:w="3520"/>
            <w:vMerge/>
            <w:tcBorders/>
          </w:tcPr>
          <w:p/>
        </w:tc>
        <w:tc>
          <w:tcPr>
            <w:tcW w:type="dxa" w:w="3520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3520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10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980000"/>
                <w:sz w:val="24"/>
              </w:rPr>
              <w:t>×</w:t>
            </w:r>
          </w:p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Les indemnités versées en complément de la sécurité sociale en cas d’arrêt de travail </w:t>
            </w:r>
          </w:p>
        </w:tc>
      </w:tr>
      <w:tr>
        <w:trPr>
          <w:trHeight w:hRule="exact" w:val="196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21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2"/>
              </w:rPr>
              <w:t xml:space="preserve">LES GARANTIES SYSTEMATIQUEMENT PREVUES </w:t>
            </w:r>
          </w:p>
        </w:tc>
        <w:tc>
          <w:tcPr>
            <w:tcW w:type="dxa" w:w="3520"/>
            <w:vMerge/>
            <w:tcBorders/>
          </w:tcPr>
          <w:p/>
        </w:tc>
        <w:tc>
          <w:tcPr>
            <w:tcW w:type="dxa" w:w="3520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6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2"/>
              </w:rPr>
              <w:t xml:space="preserve">Hospitalisation 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Honoraires, Forfait journalier Hospitalier, Frais de séjour, Frais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10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980000"/>
                <w:sz w:val="24"/>
              </w:rPr>
              <w:t>×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6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Les dépenses de soins relatives aux séjours effectués dans les établissements et </w:t>
            </w:r>
          </w:p>
        </w:tc>
      </w:tr>
      <w:tr>
        <w:trPr>
          <w:trHeight w:hRule="exact" w:val="116"/>
        </w:trPr>
        <w:tc>
          <w:tcPr>
            <w:tcW w:type="dxa" w:w="3520"/>
            <w:vMerge/>
            <w:tcBorders/>
          </w:tcPr>
          <w:p/>
        </w:tc>
        <w:tc>
          <w:tcPr>
            <w:tcW w:type="dxa" w:w="3520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services sociaux, les établissements médico-sociaux et médicopédagogiques, dans </w:t>
            </w:r>
          </w:p>
        </w:tc>
      </w:tr>
      <w:tr>
        <w:trPr>
          <w:trHeight w:hRule="exact" w:val="138"/>
        </w:trPr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6" w:after="0"/>
              <w:ind w:left="2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transport remboursés par le Régime Obligatoire.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10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980000"/>
                <w:sz w:val="24"/>
              </w:rPr>
              <w:t>×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2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les établissements ou unités de longs séjours ainsi que dans les établissements ou </w:t>
            </w:r>
          </w:p>
        </w:tc>
      </w:tr>
      <w:tr>
        <w:trPr>
          <w:trHeight w:hRule="exact" w:val="98"/>
        </w:trPr>
        <w:tc>
          <w:tcPr>
            <w:tcW w:type="dxa" w:w="3520"/>
            <w:vMerge/>
            <w:tcBorders/>
          </w:tcPr>
          <w:p/>
        </w:tc>
        <w:tc>
          <w:tcPr>
            <w:tcW w:type="dxa" w:w="3520"/>
            <w:vMerge/>
            <w:tcBorders/>
          </w:tcPr>
          <w:p/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unités pour personnes âgées. </w:t>
            </w:r>
          </w:p>
        </w:tc>
      </w:tr>
      <w:tr>
        <w:trPr>
          <w:trHeight w:hRule="exact" w:val="104"/>
        </w:trPr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0" w:after="0"/>
              <w:ind w:left="34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2"/>
              </w:rPr>
              <w:t xml:space="preserve">Dentaire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: Soins et prothèses 100% Santé (Panier 100% Santé), Soins </w:t>
            </w:r>
          </w:p>
        </w:tc>
        <w:tc>
          <w:tcPr>
            <w:tcW w:type="dxa" w:w="3520"/>
            <w:vMerge/>
            <w:tcBorders/>
          </w:tcPr>
          <w:p/>
        </w:tc>
        <w:tc>
          <w:tcPr>
            <w:tcW w:type="dxa" w:w="3520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520"/>
            <w:vMerge/>
            <w:tcBorders/>
          </w:tcPr>
          <w:p/>
        </w:tc>
        <w:tc>
          <w:tcPr>
            <w:tcW w:type="dxa" w:w="3520"/>
            <w:vMerge/>
            <w:tcBorders/>
          </w:tcPr>
          <w:p/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38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La chirurgie esthétique et les actes esthétiques non pris en charge par le Régime </w:t>
            </w:r>
          </w:p>
        </w:tc>
      </w:tr>
      <w:tr>
        <w:trPr>
          <w:trHeight w:hRule="exact" w:val="60"/>
        </w:trPr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2" w:after="0"/>
              <w:ind w:left="2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dentaires, Prothèses dentaires, Orthodontie remboursée par le Régime Obligatoire. </w:t>
            </w:r>
          </w:p>
        </w:tc>
        <w:tc>
          <w:tcPr>
            <w:tcW w:type="dxa" w:w="3520"/>
            <w:vMerge/>
            <w:tcBorders/>
          </w:tcPr>
          <w:p/>
        </w:tc>
        <w:tc>
          <w:tcPr>
            <w:tcW w:type="dxa" w:w="3520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520"/>
            <w:vMerge/>
            <w:tcBorders/>
          </w:tcPr>
          <w:p/>
        </w:tc>
        <w:tc>
          <w:tcPr>
            <w:tcW w:type="dxa" w:w="3520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2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obligatoire. </w:t>
            </w:r>
          </w:p>
        </w:tc>
      </w:tr>
      <w:tr>
        <w:trPr>
          <w:trHeight w:hRule="exact" w:val="220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2"/>
              </w:rPr>
              <w:t xml:space="preserve">Optique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: Équipements verres et montures de la Classe A – Panier 100% Santé,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10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980000"/>
                <w:sz w:val="24"/>
              </w:rPr>
              <w:t>×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98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Les actes ne figurant pas sur la Nomenclature Générale des Actes Professionnels </w:t>
            </w:r>
          </w:p>
        </w:tc>
      </w:tr>
      <w:tr>
        <w:trPr>
          <w:trHeight w:hRule="exact" w:val="140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" w:after="0"/>
              <w:ind w:left="2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Monture et verre (équipement de la classe B), Lentilles de contact remboursées ou </w:t>
            </w:r>
          </w:p>
        </w:tc>
        <w:tc>
          <w:tcPr>
            <w:tcW w:type="dxa" w:w="3520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6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(NGAP) ou dans la Classification Commune des Actes Médicaux (CCAM), sauf cas </w:t>
            </w:r>
          </w:p>
        </w:tc>
      </w:tr>
      <w:tr>
        <w:trPr>
          <w:trHeight w:hRule="exact" w:val="134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" w:after="0"/>
              <w:ind w:left="2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non par le RO – Régime Obligatoire. </w:t>
            </w:r>
          </w:p>
        </w:tc>
        <w:tc>
          <w:tcPr>
            <w:tcW w:type="dxa" w:w="3520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8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particuliers prévus à l’adhésion,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72"/>
        <w:ind w:left="0" w:right="0"/>
      </w:pPr>
    </w:p>
    <w:p>
      <w:pPr>
        <w:sectPr>
          <w:pgSz w:w="11911" w:h="16841"/>
          <w:pgMar w:top="350" w:right="658" w:bottom="358" w:left="692" w:header="720" w:footer="720" w:gutter="0"/>
          <w:cols/>
          <w:docGrid w:linePitch="360"/>
        </w:sectPr>
      </w:pPr>
    </w:p>
    <w:p>
      <w:pPr>
        <w:autoSpaceDN w:val="0"/>
        <w:tabs>
          <w:tab w:pos="558" w:val="left"/>
        </w:tabs>
        <w:autoSpaceDE w:val="0"/>
        <w:widowControl/>
        <w:spacing w:line="138" w:lineRule="exact" w:before="0" w:after="0"/>
        <w:ind w:left="422" w:right="432" w:firstLine="0"/>
        <w:jc w:val="lef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Soins courants : </w:t>
      </w:r>
      <w:r>
        <w:rPr>
          <w:rFonts w:ascii="ArialMT" w:hAnsi="ArialMT" w:eastAsia="ArialMT"/>
          <w:b w:val="0"/>
          <w:i w:val="0"/>
          <w:color w:val="000000"/>
          <w:sz w:val="12"/>
        </w:rPr>
        <w:t xml:space="preserve">Honoraires médicaux, Honoraires paramédicaux, Imagerie </w:t>
      </w:r>
      <w:r>
        <w:rPr>
          <w:rFonts w:ascii="ArialMT" w:hAnsi="ArialMT" w:eastAsia="ArialMT"/>
          <w:b w:val="0"/>
          <w:i w:val="0"/>
          <w:color w:val="000000"/>
          <w:sz w:val="12"/>
        </w:rPr>
        <w:t xml:space="preserve">médicale, Analyses et examens de laboratoire. </w:t>
      </w:r>
    </w:p>
    <w:p>
      <w:pPr>
        <w:autoSpaceDN w:val="0"/>
        <w:tabs>
          <w:tab w:pos="558" w:val="left"/>
        </w:tabs>
        <w:autoSpaceDE w:val="0"/>
        <w:widowControl/>
        <w:spacing w:line="144" w:lineRule="exact" w:before="152" w:after="0"/>
        <w:ind w:left="422" w:right="288" w:firstLine="0"/>
        <w:jc w:val="lef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Pharmacie </w:t>
      </w:r>
      <w:r>
        <w:rPr>
          <w:rFonts w:ascii="ArialMT" w:hAnsi="ArialMT" w:eastAsia="ArialMT"/>
          <w:b w:val="0"/>
          <w:i w:val="0"/>
          <w:color w:val="000000"/>
          <w:sz w:val="12"/>
        </w:rPr>
        <w:t xml:space="preserve">: Médicaments et homéopathie pris en charge par le RO – Régime </w:t>
      </w:r>
      <w:r>
        <w:rPr>
          <w:rFonts w:ascii="ArialMT" w:hAnsi="ArialMT" w:eastAsia="ArialMT"/>
          <w:b w:val="0"/>
          <w:i w:val="0"/>
          <w:color w:val="000000"/>
          <w:sz w:val="12"/>
        </w:rPr>
        <w:t xml:space="preserve">Obligatoire. </w:t>
      </w:r>
    </w:p>
    <w:p>
      <w:pPr>
        <w:autoSpaceDN w:val="0"/>
        <w:tabs>
          <w:tab w:pos="558" w:val="left"/>
        </w:tabs>
        <w:autoSpaceDE w:val="0"/>
        <w:widowControl/>
        <w:spacing w:line="142" w:lineRule="exact" w:before="160" w:after="0"/>
        <w:ind w:left="422" w:right="432" w:firstLine="0"/>
        <w:jc w:val="lef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Aides auditives </w:t>
      </w:r>
      <w:r>
        <w:rPr>
          <w:rFonts w:ascii="ArialMT" w:hAnsi="ArialMT" w:eastAsia="ArialMT"/>
          <w:b w:val="0"/>
          <w:i w:val="0"/>
          <w:color w:val="000000"/>
          <w:sz w:val="12"/>
        </w:rPr>
        <w:t xml:space="preserve">: Équipements 100% Santé (Classe I – Panier 100% Santé), </w:t>
      </w:r>
      <w:r>
        <w:rPr>
          <w:rFonts w:ascii="ArialMT" w:hAnsi="ArialMT" w:eastAsia="ArialMT"/>
          <w:b w:val="0"/>
          <w:i w:val="0"/>
          <w:color w:val="000000"/>
          <w:sz w:val="12"/>
        </w:rPr>
        <w:t xml:space="preserve">Prothèses auditives de la Classe II. </w:t>
      </w:r>
    </w:p>
    <w:p>
      <w:pPr>
        <w:autoSpaceDN w:val="0"/>
        <w:autoSpaceDE w:val="0"/>
        <w:widowControl/>
        <w:spacing w:line="140" w:lineRule="exact" w:before="158" w:after="0"/>
        <w:ind w:left="422" w:right="432" w:firstLine="134"/>
        <w:jc w:val="lef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Prevention et Médecines douces </w:t>
      </w:r>
      <w:r>
        <w:rPr>
          <w:rFonts w:ascii="ArialMT" w:hAnsi="ArialMT" w:eastAsia="ArialMT"/>
          <w:b w:val="0"/>
          <w:i w:val="0"/>
          <w:color w:val="000000"/>
          <w:sz w:val="12"/>
        </w:rPr>
        <w:t xml:space="preserve">: Acte de prévention prévus par le contrat </w:t>
      </w:r>
      <w:r>
        <w:rPr>
          <w:rFonts w:ascii="ArialMT" w:hAnsi="ArialMT" w:eastAsia="ArialMT"/>
          <w:b w:val="0"/>
          <w:i w:val="0"/>
          <w:color w:val="000000"/>
          <w:sz w:val="12"/>
        </w:rPr>
        <w:t xml:space="preserve">responsable et les séances d’ostéopathe, Pédicure, Podologue, Étiopathe, </w:t>
      </w:r>
      <w:r>
        <w:rPr>
          <w:rFonts w:ascii="ArialMT" w:hAnsi="ArialMT" w:eastAsia="ArialMT"/>
          <w:b w:val="0"/>
          <w:i w:val="0"/>
          <w:color w:val="000000"/>
          <w:sz w:val="12"/>
        </w:rPr>
        <w:t xml:space="preserve">Homéopathe, Acupuncteur, Chiropracteur, Mésothérapeute, Reflexologue, </w:t>
      </w:r>
      <w:r>
        <w:rPr>
          <w:rFonts w:ascii="ArialMT" w:hAnsi="ArialMT" w:eastAsia="ArialMT"/>
          <w:b w:val="0"/>
          <w:i w:val="0"/>
          <w:color w:val="000000"/>
          <w:sz w:val="12"/>
        </w:rPr>
        <w:t xml:space="preserve">Diététicien, Nutritionniste </w:t>
      </w:r>
    </w:p>
    <w:p>
      <w:pPr>
        <w:autoSpaceDN w:val="0"/>
        <w:autoSpaceDE w:val="0"/>
        <w:widowControl/>
        <w:spacing w:line="134" w:lineRule="exact" w:before="166" w:after="0"/>
        <w:ind w:left="55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Cure thermale </w:t>
      </w:r>
      <w:r>
        <w:rPr>
          <w:rFonts w:ascii="ArialMT" w:hAnsi="ArialMT" w:eastAsia="ArialMT"/>
          <w:b w:val="0"/>
          <w:i w:val="0"/>
          <w:color w:val="000000"/>
          <w:sz w:val="12"/>
        </w:rPr>
        <w:t xml:space="preserve">: prise en charge par le RO - Régime Obligatoire </w:t>
      </w:r>
    </w:p>
    <w:p>
      <w:pPr>
        <w:autoSpaceDN w:val="0"/>
        <w:autoSpaceDE w:val="0"/>
        <w:widowControl/>
        <w:spacing w:line="233" w:lineRule="auto" w:before="148" w:after="0"/>
        <w:ind w:left="42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LES GARANTIES NON SYSTEMATIQUEMENT PREVUES </w:t>
      </w:r>
    </w:p>
    <w:p>
      <w:pPr>
        <w:sectPr>
          <w:type w:val="continuous"/>
          <w:pgSz w:w="11911" w:h="16841"/>
          <w:pgMar w:top="350" w:right="658" w:bottom="358" w:left="692" w:header="720" w:footer="720" w:gutter="0"/>
          <w:cols w:num="2" w:equalWidth="0">
            <w:col w:w="5191" w:space="0"/>
            <w:col w:w="537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6.00000000000023" w:type="dxa"/>
      </w:tblPr>
      <w:tblGrid>
        <w:gridCol w:w="5280"/>
        <w:gridCol w:w="5280"/>
      </w:tblGrid>
      <w:tr>
        <w:trPr>
          <w:trHeight w:hRule="exact" w:val="66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44" w:right="10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980000"/>
                <w:sz w:val="24"/>
              </w:rPr>
              <w:t>×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980000"/>
                <w:sz w:val="24"/>
              </w:rPr>
              <w:t>×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8" w:after="0"/>
              <w:ind w:left="13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Les adhérents assurés principaux de moins de 18 ans et de plus de 85 ans à la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souscription. </w:t>
            </w:r>
          </w:p>
          <w:p>
            <w:pPr>
              <w:autoSpaceDN w:val="0"/>
              <w:autoSpaceDE w:val="0"/>
              <w:widowControl/>
              <w:spacing w:line="122" w:lineRule="exact" w:before="128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Les ayants droit de plus de 85 ans à la souscription. </w:t>
            </w:r>
          </w:p>
        </w:tc>
      </w:tr>
    </w:tbl>
    <w:p>
      <w:pPr>
        <w:autoSpaceDN w:val="0"/>
        <w:autoSpaceDE w:val="0"/>
        <w:widowControl/>
        <w:spacing w:line="233" w:lineRule="auto" w:before="48" w:after="0"/>
        <w:ind w:left="43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1"/>
        </w:rPr>
        <w:t xml:space="preserve">Cette liste n'est pas exhaustive. </w:t>
      </w:r>
    </w:p>
    <w:p>
      <w:pPr>
        <w:autoSpaceDN w:val="0"/>
        <w:autoSpaceDE w:val="0"/>
        <w:widowControl/>
        <w:spacing w:line="233" w:lineRule="auto" w:before="464" w:after="0"/>
        <w:ind w:left="110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Y-a-t-il des exclusions à la couverture ? </w:t>
      </w:r>
    </w:p>
    <w:p>
      <w:pPr>
        <w:autoSpaceDN w:val="0"/>
        <w:autoSpaceDE w:val="0"/>
        <w:widowControl/>
        <w:spacing w:line="150" w:lineRule="exact" w:before="246" w:after="4"/>
        <w:ind w:left="430" w:right="432" w:firstLine="0"/>
        <w:jc w:val="left"/>
      </w:pPr>
      <w:r>
        <w:rPr>
          <w:rFonts w:ascii="Arial" w:hAnsi="Arial" w:eastAsia="Arial"/>
          <w:b/>
          <w:i w:val="0"/>
          <w:color w:val="000000"/>
          <w:sz w:val="13"/>
        </w:rPr>
        <w:t xml:space="preserve">PRINCIPALES EXCLUSIONS DU CONTRAT </w:t>
      </w:r>
      <w:r>
        <w:br/>
      </w:r>
      <w:r>
        <w:rPr>
          <w:rFonts w:ascii="Arial" w:hAnsi="Arial" w:eastAsia="Arial"/>
          <w:b/>
          <w:i w:val="0"/>
          <w:color w:val="ED7D31"/>
          <w:sz w:val="13"/>
        </w:rPr>
        <w:t xml:space="preserve">!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Les exclusions imposées par le dispositif législatif des contrats dits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"responsables", </w:t>
      </w:r>
      <w:r>
        <w:br/>
      </w:r>
      <w:r>
        <w:rPr>
          <w:rFonts w:ascii="Arial" w:hAnsi="Arial" w:eastAsia="Arial"/>
          <w:b/>
          <w:i w:val="0"/>
          <w:color w:val="ED7D31"/>
          <w:sz w:val="13"/>
        </w:rPr>
        <w:t xml:space="preserve">!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La chirurgie non prise en charge par la sécurité sociale, dans un but de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rajeunissement ou esthétique, </w:t>
      </w:r>
      <w:r>
        <w:br/>
      </w:r>
      <w:r>
        <w:rPr>
          <w:rFonts w:ascii="Arial" w:hAnsi="Arial" w:eastAsia="Arial"/>
          <w:b/>
          <w:i w:val="0"/>
          <w:color w:val="ED7D31"/>
          <w:sz w:val="13"/>
        </w:rPr>
        <w:t xml:space="preserve">!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Les cures d'amaigrissement, de sommeil, de désintoxication ou les séjours </w:t>
      </w:r>
    </w:p>
    <w:p>
      <w:pPr>
        <w:sectPr>
          <w:type w:val="nextColumn"/>
          <w:pgSz w:w="11911" w:h="16841"/>
          <w:pgMar w:top="350" w:right="658" w:bottom="358" w:left="692" w:header="720" w:footer="720" w:gutter="0"/>
          <w:cols w:num="2" w:equalWidth="0">
            <w:col w:w="5191" w:space="0"/>
            <w:col w:w="537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7.99999999999997" w:type="dxa"/>
      </w:tblPr>
      <w:tblGrid>
        <w:gridCol w:w="3520"/>
        <w:gridCol w:w="3520"/>
        <w:gridCol w:w="3520"/>
      </w:tblGrid>
      <w:tr>
        <w:trPr>
          <w:trHeight w:hRule="exact" w:val="332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10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• 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Médicaments prescrits et non pris en charge 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0" w:after="0"/>
              <w:ind w:left="374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en institut médico-pédagogique et établissements similaires, </w:t>
            </w:r>
            <w:r>
              <w:rPr>
                <w:rFonts w:ascii="Arial" w:hAnsi="Arial" w:eastAsia="Arial"/>
                <w:b/>
                <w:i w:val="0"/>
                <w:color w:val="ED7D31"/>
                <w:sz w:val="13"/>
              </w:rPr>
              <w:t xml:space="preserve">!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Les garanties ne s'exercent pas en cas :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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De guerre civile ou étrangère, d'émeutes ou mouvement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populaires,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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D'une aggravation due à l'inobservation intentionnelle par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l'Assuré des prescriptions du médecin,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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Des désintégrations du noyau atomique ou de radiations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ionisantes. </w:t>
            </w:r>
          </w:p>
          <w:p>
            <w:pPr>
              <w:autoSpaceDN w:val="0"/>
              <w:autoSpaceDE w:val="0"/>
              <w:widowControl/>
              <w:spacing w:line="154" w:lineRule="exact" w:before="142" w:after="0"/>
              <w:ind w:left="37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3"/>
              </w:rPr>
              <w:t xml:space="preserve">PRINCIPALES RESTRICTIONS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ED7D31"/>
                <w:sz w:val="13"/>
              </w:rPr>
              <w:t xml:space="preserve">!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Hospitalisation :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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Sauf en cas d’hospitalisation consécutive à un accident, la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prise en charge est limitée au ticket modérateur et au forfait journalier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hospitalier les 30 jours suivant la prise d’effet du contrat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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Forfait journalier hospitalier : exclus en gérontologie, unités de soins longue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durée et établissement d’hébergement pour personnes âgées. </w:t>
            </w:r>
          </w:p>
          <w:p>
            <w:pPr>
              <w:autoSpaceDN w:val="0"/>
              <w:autoSpaceDE w:val="0"/>
              <w:widowControl/>
              <w:spacing w:line="154" w:lineRule="exact" w:before="4" w:after="0"/>
              <w:ind w:left="374" w:right="432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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Chambre Particulière :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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Limitée à 30 jours par an (hospitalisation médicale,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chirurgicale ou obstétrique) ou 30 jours (séjours en soins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de suite consécutifs à une hospitalisation)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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Exclue en ambulatoire, en gérontologie, unités de soins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longue durée et établissement pour personnes âgées, en établissement </w:t>
            </w:r>
          </w:p>
        </w:tc>
      </w:tr>
      <w:tr>
        <w:trPr>
          <w:trHeight w:hRule="exact" w:val="24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• 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10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Forfait petit appareillage </w:t>
            </w:r>
          </w:p>
        </w:tc>
        <w:tc>
          <w:tcPr>
            <w:tcW w:type="dxa" w:w="352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0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• 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Hospitalisation : Frais d'accompagnement, Chambre individuelle, </w:t>
            </w:r>
          </w:p>
        </w:tc>
        <w:tc>
          <w:tcPr>
            <w:tcW w:type="dxa" w:w="3520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" w:after="0"/>
              <w:ind w:left="9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Confort hospitalier. </w:t>
            </w:r>
          </w:p>
        </w:tc>
        <w:tc>
          <w:tcPr>
            <w:tcW w:type="dxa" w:w="3520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• 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90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Optique : Forfait monture et verres, Chirurgie réfractive de l’œil </w:t>
            </w:r>
          </w:p>
        </w:tc>
        <w:tc>
          <w:tcPr>
            <w:tcW w:type="dxa" w:w="3520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• 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0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Dentaire : Soins et Prothèses dentaires (Hors nomenclature) </w:t>
            </w:r>
          </w:p>
        </w:tc>
        <w:tc>
          <w:tcPr>
            <w:tcW w:type="dxa" w:w="3520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0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• 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2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Prothèses auditives : forfait Appareillages et prothèses auditives </w:t>
            </w:r>
          </w:p>
        </w:tc>
        <w:tc>
          <w:tcPr>
            <w:tcW w:type="dxa" w:w="3520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6" w:after="0"/>
              <w:ind w:left="21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2"/>
              </w:rPr>
              <w:t xml:space="preserve">LES GARANTIES OPTIONNELLES </w:t>
            </w:r>
          </w:p>
        </w:tc>
        <w:tc>
          <w:tcPr>
            <w:tcW w:type="dxa" w:w="3520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10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• 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Option A : réduction de cotisation contre une non-prise en charge de la </w:t>
            </w:r>
          </w:p>
        </w:tc>
        <w:tc>
          <w:tcPr>
            <w:tcW w:type="dxa" w:w="3520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9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chambre particulière, médicaments prescrits non remboursés </w:t>
            </w:r>
          </w:p>
        </w:tc>
        <w:tc>
          <w:tcPr>
            <w:tcW w:type="dxa" w:w="3520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0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• 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80" w:after="0"/>
              <w:ind w:left="11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Option B : réduction de cotisation contre une non-prise en charge de la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chambre particulière, médicaments prescrits non remboursés forfait </w:t>
            </w:r>
          </w:p>
        </w:tc>
        <w:tc>
          <w:tcPr>
            <w:tcW w:type="dxa" w:w="3520"/>
            <w:vMerge/>
            <w:tcBorders/>
          </w:tcPr>
          <w:p/>
        </w:tc>
      </w:tr>
      <w:tr>
        <w:trPr>
          <w:trHeight w:hRule="exact" w:val="472"/>
        </w:trPr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8" w:after="0"/>
              <w:ind w:left="93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optique, forfait lentilles, chirurgie réfractive, soins dentaires, prothèses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dentaires, les soins et prothèses (hors nomenclature), forfait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Appareillages et prothèses auditives </w:t>
            </w:r>
          </w:p>
        </w:tc>
        <w:tc>
          <w:tcPr>
            <w:tcW w:type="dxa" w:w="35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4" w:lineRule="exact" w:before="2" w:after="84"/>
        <w:ind w:left="0" w:right="474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médicosociaux, établissement ne relevant des soins de suite et réadaptation, </w:t>
      </w:r>
    </w:p>
    <w:p>
      <w:pPr>
        <w:sectPr>
          <w:type w:val="continuous"/>
          <w:pgSz w:w="11911" w:h="16841"/>
          <w:pgMar w:top="350" w:right="658" w:bottom="358" w:left="692" w:header="720" w:footer="720" w:gutter="0"/>
          <w:cols/>
          <w:docGrid w:linePitch="360"/>
        </w:sectPr>
      </w:pPr>
    </w:p>
    <w:p>
      <w:pPr>
        <w:autoSpaceDN w:val="0"/>
        <w:tabs>
          <w:tab w:pos="556" w:val="left"/>
          <w:tab w:pos="558" w:val="left"/>
        </w:tabs>
        <w:autoSpaceDE w:val="0"/>
        <w:widowControl/>
        <w:spacing w:line="184" w:lineRule="exact" w:before="0" w:after="0"/>
        <w:ind w:left="422" w:right="432" w:firstLine="0"/>
        <w:jc w:val="lef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LES SERVICES SYSTEMATIQUEMENT INCLUS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2"/>
        </w:rPr>
        <w:t xml:space="preserve">Tiers Payant, via le réseau Viamedis (dispense d'avance de frais chez de </w:t>
      </w:r>
      <w:r>
        <w:rPr>
          <w:rFonts w:ascii="ArialMT" w:hAnsi="ArialMT" w:eastAsia="ArialMT"/>
          <w:b w:val="0"/>
          <w:i w:val="0"/>
          <w:color w:val="000000"/>
          <w:sz w:val="12"/>
        </w:rPr>
        <w:t xml:space="preserve">nombreux professionnels de santé́ )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12"/>
        </w:rPr>
        <w:t xml:space="preserve">Espace client </w:t>
      </w:r>
    </w:p>
    <w:p>
      <w:pPr>
        <w:autoSpaceDN w:val="0"/>
        <w:autoSpaceDE w:val="0"/>
        <w:widowControl/>
        <w:spacing w:line="233" w:lineRule="auto" w:before="298" w:after="0"/>
        <w:ind w:left="42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L'ASSISTANCE SYSTEMATIQUEMENT INCLUSE </w:t>
      </w:r>
    </w:p>
    <w:p>
      <w:pPr>
        <w:sectPr>
          <w:type w:val="continuous"/>
          <w:pgSz w:w="11911" w:h="16841"/>
          <w:pgMar w:top="350" w:right="658" w:bottom="358" w:left="692" w:header="720" w:footer="720" w:gutter="0"/>
          <w:cols w:num="2" w:equalWidth="0">
            <w:col w:w="5052" w:space="0"/>
            <w:col w:w="5510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570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les séjours en milieu spécialisé, en maison de repos, de convalescence ou de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rééducation (non consécutifs à une hospitalisation). </w:t>
      </w:r>
    </w:p>
    <w:p>
      <w:pPr>
        <w:autoSpaceDN w:val="0"/>
        <w:autoSpaceDE w:val="0"/>
        <w:widowControl/>
        <w:spacing w:line="152" w:lineRule="exact" w:before="6" w:after="6"/>
        <w:ind w:left="570" w:right="100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3"/>
        </w:rPr>
        <w:t>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Lit d’accompagnement : Limité à 15 jours par an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3"/>
        </w:rPr>
        <w:t>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Confort hospitalier : Limité à 15 jours par an </w:t>
      </w:r>
      <w:r>
        <w:br/>
      </w:r>
      <w:r>
        <w:rPr>
          <w:rFonts w:ascii="Arial" w:hAnsi="Arial" w:eastAsia="Arial"/>
          <w:b/>
          <w:i w:val="0"/>
          <w:color w:val="ED7D31"/>
          <w:sz w:val="13"/>
        </w:rPr>
        <w:t xml:space="preserve">!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Optique : Renouvellement tous les deux ans pour les personnes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de plus de 16 ans – Anticipé en cas d'évolution de la vue dans la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limite de 100€ par monture </w:t>
      </w:r>
      <w:r>
        <w:br/>
      </w:r>
      <w:r>
        <w:rPr>
          <w:rFonts w:ascii="ArialMT" w:hAnsi="ArialMT" w:eastAsia="ArialMT"/>
          <w:b w:val="0"/>
          <w:i w:val="0"/>
          <w:color w:val="ED7D31"/>
          <w:sz w:val="13"/>
        </w:rPr>
        <w:t xml:space="preserve">!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Dentaire : remboursements plafonnés aux montants indiqués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dans le tableau de garanties sur les formules 3, 4 et 5. Au-delà </w:t>
      </w:r>
    </w:p>
    <w:p>
      <w:pPr>
        <w:sectPr>
          <w:type w:val="nextColumn"/>
          <w:pgSz w:w="11911" w:h="16841"/>
          <w:pgMar w:top="350" w:right="658" w:bottom="358" w:left="692" w:header="720" w:footer="720" w:gutter="0"/>
          <w:cols w:num="2" w:equalWidth="0">
            <w:col w:w="5052" w:space="0"/>
            <w:col w:w="551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7.99999999999997" w:type="dxa"/>
      </w:tblPr>
      <w:tblGrid>
        <w:gridCol w:w="5280"/>
        <w:gridCol w:w="5280"/>
      </w:tblGrid>
      <w:tr>
        <w:trPr>
          <w:trHeight w:hRule="exact" w:val="65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6" w:val="left"/>
              </w:tabs>
              <w:autoSpaceDE w:val="0"/>
              <w:widowControl/>
              <w:spacing w:line="252" w:lineRule="exact" w:before="0" w:after="0"/>
              <w:ind w:left="21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Assistance Mutuaide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Les garanties précédées d’une coche </w:t>
            </w:r>
            <w:r>
              <w:rPr>
                <w:rFonts w:ascii="Segoe UI Symbol" w:hAnsi="Segoe UI Symbol" w:eastAsia="Segoe UI Symbol"/>
                <w:b w:val="0"/>
                <w:i w:val="0"/>
                <w:color w:val="00B050"/>
                <w:sz w:val="12"/>
              </w:rPr>
              <w:t xml:space="preserve">✓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sont systématiquement prévues au contrat 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0" w:after="0"/>
              <w:ind w:left="394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du plafond, la prise en charge est limitée au ticket modérateur ! Séjours à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l’étranger : à hauteur du ticket modérateur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uniquement pour les actes pris en charge par la sécurité sociale française 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en cas de séjour de moins de 3 mois par an. 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ACHEEL - 128 rue La Boétie - 75008 Paris - SIREN 879605350 - Code APE 6512Z - SA à conseil d’administration (s.a.i.) au capital de 46 812,48 euros - Entreprise 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régie par le Code des assurances et soumise à l’Autorité de Contrôle Prudentiel et de Résolution (ACPR, 4 Place de Budapest CS 92459, 75436 Paris) </w:t>
      </w:r>
    </w:p>
    <w:p>
      <w:pPr>
        <w:sectPr>
          <w:type w:val="continuous"/>
          <w:pgSz w:w="11911" w:h="16841"/>
          <w:pgMar w:top="350" w:right="658" w:bottom="358" w:left="6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721360</wp:posOffset>
            </wp:positionH>
            <wp:positionV relativeFrom="page">
              <wp:posOffset>619760</wp:posOffset>
            </wp:positionV>
            <wp:extent cx="215900" cy="2159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1149350</wp:posOffset>
            </wp:positionH>
            <wp:positionV relativeFrom="page">
              <wp:posOffset>657860</wp:posOffset>
            </wp:positionV>
            <wp:extent cx="1388110" cy="142018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14201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718820</wp:posOffset>
            </wp:positionH>
            <wp:positionV relativeFrom="page">
              <wp:posOffset>923290</wp:posOffset>
            </wp:positionV>
            <wp:extent cx="63500" cy="205156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20515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947419</wp:posOffset>
            </wp:positionH>
            <wp:positionV relativeFrom="page">
              <wp:posOffset>928369</wp:posOffset>
            </wp:positionV>
            <wp:extent cx="5864859" cy="279061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4859" cy="27906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533400</wp:posOffset>
            </wp:positionV>
            <wp:extent cx="6616700" cy="8636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863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1475740</wp:posOffset>
            </wp:positionV>
            <wp:extent cx="6616700" cy="2399149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239914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3959860</wp:posOffset>
            </wp:positionV>
            <wp:extent cx="6616700" cy="758461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75846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4803140</wp:posOffset>
            </wp:positionV>
            <wp:extent cx="6616700" cy="1659729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65972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6546850</wp:posOffset>
            </wp:positionV>
            <wp:extent cx="6616700" cy="125035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2503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3" w:lineRule="auto" w:before="0" w:after="0"/>
        <w:ind w:left="109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Où suis-je couvert(e) ? </w:t>
      </w:r>
    </w:p>
    <w:p>
      <w:pPr>
        <w:autoSpaceDN w:val="0"/>
        <w:autoSpaceDE w:val="0"/>
        <w:widowControl/>
        <w:spacing w:line="144" w:lineRule="exact" w:before="202" w:after="0"/>
        <w:ind w:left="7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En France métropolitaine, (Corse incluse, hors DROM COM, hors Monaco) pour les résidents à titre principal. </w:t>
      </w:r>
    </w:p>
    <w:p>
      <w:pPr>
        <w:autoSpaceDN w:val="0"/>
        <w:autoSpaceDE w:val="0"/>
        <w:widowControl/>
        <w:spacing w:line="148" w:lineRule="exact" w:before="4" w:after="420"/>
        <w:ind w:left="774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Dans le monde entier, pour les séjours à l’étranger de moins de 3 mois par an et à hauteur du ticket modérateur uniquement pour les actes pris en charge par la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sécurité sociale française.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39"/>
      </w:tblGrid>
      <w:tr>
        <w:trPr>
          <w:trHeight w:hRule="exact" w:val="478"/>
        </w:trPr>
        <w:tc>
          <w:tcPr>
            <w:tcW w:type="dxa" w:w="10420"/>
            <w:tcBorders/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6" w:after="0"/>
              <w:ind w:left="109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Quelles sont mes obligations ? </w:t>
            </w:r>
          </w:p>
        </w:tc>
      </w:tr>
    </w:tbl>
    <w:p>
      <w:pPr>
        <w:autoSpaceDN w:val="0"/>
        <w:autoSpaceDE w:val="0"/>
        <w:widowControl/>
        <w:spacing w:line="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0439"/>
      </w:tblGrid>
      <w:tr>
        <w:trPr>
          <w:trHeight w:hRule="exact" w:val="266"/>
        </w:trPr>
        <w:tc>
          <w:tcPr>
            <w:tcW w:type="dxa" w:w="8080"/>
            <w:tcBorders/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3"/>
              </w:rPr>
              <w:t xml:space="preserve">SOUS PEINE DE NON GARANTIE OU DE RESILIATION A LA SOUSCRIPTION DU CONTRAT : </w:t>
            </w:r>
          </w:p>
        </w:tc>
      </w:tr>
    </w:tbl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0439"/>
      </w:tblGrid>
      <w:tr>
        <w:trPr>
          <w:trHeight w:hRule="exact" w:val="540"/>
        </w:trPr>
        <w:tc>
          <w:tcPr>
            <w:tcW w:type="dxa" w:w="6940"/>
            <w:tcBorders/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214" w:right="316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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Être membre de l’Association ACPA,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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Remplir avec exactitude et signer la demande d’adhésion,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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Être affilié aux régimes sociaux Français </w:t>
            </w:r>
          </w:p>
        </w:tc>
      </w:tr>
    </w:tbl>
    <w:p>
      <w:pPr>
        <w:autoSpaceDN w:val="0"/>
        <w:autoSpaceDE w:val="0"/>
        <w:widowControl/>
        <w:spacing w:line="160" w:lineRule="exact" w:before="4" w:after="92"/>
        <w:ind w:left="41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3"/>
        </w:rPr>
        <w:t>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Régler la cotisation annuelle ou mensuelle indiquée au contrat, ∙ Fournir tous documents justificatifs demandés.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0439"/>
      </w:tblGrid>
      <w:tr>
        <w:trPr>
          <w:trHeight w:hRule="exact" w:val="366"/>
        </w:trPr>
        <w:tc>
          <w:tcPr>
            <w:tcW w:type="dxa" w:w="9240"/>
            <w:tcBorders/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" w:after="0"/>
              <w:ind w:left="214" w:right="86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3"/>
              </w:rPr>
              <w:t xml:space="preserve">En cours de contrat :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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Déclarer dans les 15 jours toute circonstance nouvelle modifiant les déclarations faites lors de la souscription et qui aurait pour effet de les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0439"/>
      </w:tblGrid>
      <w:tr>
        <w:trPr>
          <w:trHeight w:hRule="exact" w:val="362"/>
        </w:trPr>
        <w:tc>
          <w:tcPr>
            <w:tcW w:type="dxa" w:w="7400"/>
            <w:tcBorders/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" w:after="0"/>
              <w:ind w:left="2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rendre inexactes ou caduques. </w:t>
            </w:r>
          </w:p>
          <w:p>
            <w:pPr>
              <w:autoSpaceDN w:val="0"/>
              <w:autoSpaceDE w:val="0"/>
              <w:widowControl/>
              <w:spacing w:line="158" w:lineRule="exact" w:before="0" w:after="0"/>
              <w:ind w:left="21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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Régler la cotisation annuelle ou mensuelle aux dates indiquées au contrat. </w:t>
            </w:r>
          </w:p>
        </w:tc>
      </w:tr>
    </w:tbl>
    <w:p>
      <w:pPr>
        <w:autoSpaceDN w:val="0"/>
        <w:autoSpaceDE w:val="0"/>
        <w:widowControl/>
        <w:spacing w:line="230" w:lineRule="auto" w:before="100" w:after="0"/>
        <w:ind w:left="41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3"/>
        </w:rPr>
        <w:t xml:space="preserve">Pour le versement des prestations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39"/>
      </w:tblGrid>
      <w:tr>
        <w:trPr>
          <w:trHeight w:hRule="exact" w:val="1298"/>
        </w:trPr>
        <w:tc>
          <w:tcPr>
            <w:tcW w:type="dxa" w:w="10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41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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Fournir dans les délais prévus au contrat tous documents ou justificatifs nécessaires au paiement des prestations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39"/>
      </w:tblGrid>
      <w:tr>
        <w:trPr>
          <w:trHeight w:hRule="exact" w:val="478"/>
        </w:trPr>
        <w:tc>
          <w:tcPr>
            <w:tcW w:type="dxa" w:w="10420"/>
            <w:tcBorders/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6" w:after="0"/>
              <w:ind w:left="109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Quand et comment effectuer les paiements ? 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0439"/>
      </w:tblGrid>
      <w:tr>
        <w:trPr>
          <w:trHeight w:hRule="exact" w:val="206"/>
        </w:trPr>
        <w:tc>
          <w:tcPr>
            <w:tcW w:type="dxa" w:w="10140"/>
            <w:tcBorders/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0" w:after="0"/>
              <w:ind w:left="2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La cotisation est due pour l’année civile et payable d’avance. Les paiements peuvent être effectués par carte bancaire ou prélèvement automatique. Le paiement peut être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0439"/>
      </w:tblGrid>
      <w:tr>
        <w:trPr>
          <w:trHeight w:hRule="exact" w:val="206"/>
        </w:trPr>
        <w:tc>
          <w:tcPr>
            <w:tcW w:type="dxa" w:w="7320"/>
            <w:tcBorders/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" w:after="0"/>
              <w:ind w:left="2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fractionné au mois ou à l’année selon les conditions prévues au Contrat. </w:t>
            </w:r>
          </w:p>
        </w:tc>
      </w:tr>
    </w:tbl>
    <w:p>
      <w:pPr>
        <w:autoSpaceDN w:val="0"/>
        <w:autoSpaceDE w:val="0"/>
        <w:widowControl/>
        <w:spacing w:line="3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39"/>
      </w:tblGrid>
      <w:tr>
        <w:trPr>
          <w:trHeight w:hRule="exact" w:val="480"/>
        </w:trPr>
        <w:tc>
          <w:tcPr>
            <w:tcW w:type="dxa" w:w="10420"/>
            <w:tcBorders/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8" w:after="0"/>
              <w:ind w:left="109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Quand commence la couverture et quand prend-elle fin ? </w:t>
            </w:r>
          </w:p>
        </w:tc>
      </w:tr>
    </w:tbl>
    <w:p>
      <w:pPr>
        <w:autoSpaceDN w:val="0"/>
        <w:autoSpaceDE w:val="0"/>
        <w:widowControl/>
        <w:spacing w:line="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10439"/>
      </w:tblGrid>
      <w:tr>
        <w:trPr>
          <w:trHeight w:hRule="exact" w:val="208"/>
        </w:trPr>
        <w:tc>
          <w:tcPr>
            <w:tcW w:type="dxa" w:w="9740"/>
            <w:tcBorders/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60" w:after="0"/>
              <w:ind w:left="3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Le contrat prend effet à la date indiquée au Certificat d’adhésion sous réserve de l'encaissement effectif de la première cotisation. En cas de contrat conclu à </w:t>
            </w:r>
          </w:p>
        </w:tc>
      </w:tr>
    </w:tbl>
    <w:p>
      <w:pPr>
        <w:autoSpaceDN w:val="0"/>
        <w:autoSpaceDE w:val="0"/>
        <w:widowControl/>
        <w:spacing w:line="150" w:lineRule="exact" w:before="0" w:after="4"/>
        <w:ind w:left="774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distance ou de démarchage à domicile, l'assuré dispose d'un délai de rétractation de 14 jours, qui commence à courir à compter de la conclusion du contrat, ou à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compter de la réception de l'ensemble de la documentation contractuelle (si cette date est postérieure à la date de conclusion du contrat). Il est conclu pour une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durée d'un an et se renouvelle automatiquement d'année en année à sa date d'échéance principale sauf résiliation par l'une des parties dans les cas et conditions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fixés au contrat.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10439"/>
      </w:tblGrid>
      <w:tr>
        <w:trPr>
          <w:trHeight w:hRule="exact" w:val="458"/>
        </w:trPr>
        <w:tc>
          <w:tcPr>
            <w:tcW w:type="dxa" w:w="7220"/>
            <w:tcBorders/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0" w:after="0"/>
              <w:ind w:left="754" w:right="2736" w:hanging="36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La couverture prend fin :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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A la date de résiliation selon les conditions prévues au contrat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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Au décès de l'Adhérent </w:t>
            </w:r>
          </w:p>
        </w:tc>
      </w:tr>
    </w:tbl>
    <w:p>
      <w:pPr>
        <w:autoSpaceDN w:val="0"/>
        <w:autoSpaceDE w:val="0"/>
        <w:widowControl/>
        <w:spacing w:line="162" w:lineRule="exact" w:before="0" w:after="2"/>
        <w:ind w:left="1134" w:right="518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3"/>
        </w:rPr>
        <w:t>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A la date à laquelle l'ayant droit perd le statut de bénéficiaire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3"/>
        </w:rPr>
        <w:t>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à la perte de la qualité de membre de l’Association ACPA par l’assuré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39"/>
      </w:tblGrid>
      <w:tr>
        <w:trPr>
          <w:trHeight w:hRule="exact" w:val="588"/>
        </w:trPr>
        <w:tc>
          <w:tcPr>
            <w:tcW w:type="dxa" w:w="10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13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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en cas de déménagement en dehors de la France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39"/>
      </w:tblGrid>
      <w:tr>
        <w:trPr>
          <w:trHeight w:hRule="exact" w:val="480"/>
        </w:trPr>
        <w:tc>
          <w:tcPr>
            <w:tcW w:type="dxa" w:w="10420"/>
            <w:tcBorders/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8" w:after="0"/>
              <w:ind w:left="109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Comment le contrat peut-il être résilié ? </w:t>
            </w:r>
          </w:p>
        </w:tc>
      </w:tr>
    </w:tbl>
    <w:p>
      <w:pPr>
        <w:autoSpaceDN w:val="0"/>
        <w:autoSpaceDE w:val="0"/>
        <w:widowControl/>
        <w:spacing w:line="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0439"/>
      </w:tblGrid>
      <w:tr>
        <w:trPr>
          <w:trHeight w:hRule="exact" w:val="522"/>
        </w:trPr>
        <w:tc>
          <w:tcPr>
            <w:tcW w:type="dxa" w:w="8600"/>
            <w:tcBorders/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0" w:after="0"/>
              <w:ind w:left="934" w:right="1584" w:hanging="72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L’adhérent peut résilier le contrat d’assurance adressant une notification sur tout support durable :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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à chaque échéance principale du contrat, en adressant sa notification au moins 2 mois avant cette date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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à tout moment, à l’expiration d’un délai d’un an à compter de la souscription. </w:t>
            </w:r>
          </w:p>
        </w:tc>
      </w:tr>
    </w:tbl>
    <w:p>
      <w:pPr>
        <w:autoSpaceDN w:val="0"/>
        <w:tabs>
          <w:tab w:pos="1242" w:val="left"/>
        </w:tabs>
        <w:autoSpaceDE w:val="0"/>
        <w:widowControl/>
        <w:spacing w:line="156" w:lineRule="exact" w:before="0" w:after="0"/>
        <w:ind w:left="1134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La résiliation prend alors effet un mois après la réception de la notification. Cette résiliation peut être réalisée par le nouvel assureur à votre demande. </w:t>
      </w:r>
      <w:r>
        <w:rPr>
          <w:rFonts w:ascii="Symbol" w:hAnsi="Symbol" w:eastAsia="Symbol"/>
          <w:b w:val="0"/>
          <w:i w:val="0"/>
          <w:color w:val="000000"/>
          <w:sz w:val="13"/>
        </w:rPr>
        <w:t>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en cas de modification du risque par la suite d’un changement de situation professionnelle, familiale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0439"/>
      </w:tblGrid>
      <w:tr>
        <w:trPr>
          <w:trHeight w:hRule="exact" w:val="264"/>
        </w:trPr>
        <w:tc>
          <w:tcPr>
            <w:tcW w:type="dxa" w:w="8120"/>
            <w:tcBorders/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0" w:after="0"/>
              <w:ind w:left="2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L’ensemble des cas de résiliation, ainsi que les délais de préavis, figure dans la Notice d’information </w:t>
            </w:r>
          </w:p>
        </w:tc>
      </w:tr>
    </w:tbl>
    <w:p>
      <w:pPr>
        <w:autoSpaceDN w:val="0"/>
        <w:autoSpaceDE w:val="0"/>
        <w:widowControl/>
        <w:spacing w:line="197" w:lineRule="auto" w:before="38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ACHEEL - 128 rue La Boétie - 75008 Paris - SIREN 879605350 - Code APE 6512Z - SA à conseil d’administration (s.a.i.) au capital de 46 812,48 euros - Entreprise </w:t>
      </w:r>
    </w:p>
    <w:p>
      <w:pPr>
        <w:autoSpaceDN w:val="0"/>
        <w:autoSpaceDE w:val="0"/>
        <w:widowControl/>
        <w:spacing w:line="197" w:lineRule="auto" w:before="3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régie par le Code des assurances et soumise à l’Autorité de Contrôle Prudentiel et de Résolution (ACPR, 4 Place de Budapest CS 92459, 75436 Paris) </w:t>
      </w:r>
    </w:p>
    <w:sectPr w:rsidR="00FC693F" w:rsidRPr="0006063C" w:rsidSect="00034616">
      <w:pgSz w:w="11911" w:h="16841"/>
      <w:pgMar w:top="518" w:right="752" w:bottom="358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