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2153920</wp:posOffset>
            </wp:positionH>
            <wp:positionV relativeFrom="page">
              <wp:posOffset>2170430</wp:posOffset>
            </wp:positionV>
            <wp:extent cx="3256279" cy="80930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6279" cy="8093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</wp:posOffset>
            </wp:positionH>
            <wp:positionV relativeFrom="page">
              <wp:posOffset>1206500</wp:posOffset>
            </wp:positionV>
            <wp:extent cx="6896100" cy="21463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146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78" w:right="198" w:bottom="76" w:left="53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78" w:right="198" w:bottom="76" w:left="538" w:header="720" w:footer="720" w:gutter="0"/>
          <w:cols w:num="2" w:equalWidth="0">
            <w:col w:w="2625" w:space="0"/>
            <w:col w:w="85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09" cy="9499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46" w:after="692"/>
        <w:ind w:left="0" w:right="2880" w:firstLine="0"/>
        <w:jc w:val="center"/>
      </w:pPr>
      <w:r>
        <w:rPr>
          <w:rFonts w:ascii="Poppins" w:hAnsi="Poppins" w:eastAsia="Poppins"/>
          <w:b w:val="0"/>
          <w:i w:val="0"/>
          <w:color w:val="FFFFFF"/>
          <w:sz w:val="48"/>
        </w:rPr>
        <w:t xml:space="preserve">NOTICE D’INFORMATION </w:t>
      </w:r>
      <w:r>
        <w:rPr>
          <w:rFonts w:ascii="Poppins SemiBold" w:hAnsi="Poppins SemiBold" w:eastAsia="Poppins SemiBold"/>
          <w:b/>
          <w:i w:val="0"/>
          <w:color w:val="FFFFFF"/>
          <w:sz w:val="56"/>
        </w:rPr>
        <w:t>G    L</w:t>
      </w:r>
      <w:r>
        <w:rPr>
          <w:rFonts w:ascii="Poppins SemiBold" w:hAnsi="Poppins SemiBold" w:eastAsia="Poppins SemiBold"/>
          <w:b/>
          <w:i w:val="0"/>
          <w:color w:val="FFFFFF"/>
          <w:sz w:val="56"/>
        </w:rPr>
        <w:t>DEN SA</w:t>
      </w:r>
      <w:r>
        <w:rPr>
          <w:rFonts w:ascii="Poppins SemiBold" w:hAnsi="Poppins SemiBold" w:eastAsia="Poppins SemiBold"/>
          <w:b/>
          <w:i w:val="0"/>
          <w:color w:val="FFFFFF"/>
          <w:sz w:val="56"/>
        </w:rPr>
        <w:t>NT</w:t>
      </w:r>
      <w:r>
        <w:rPr>
          <w:rFonts w:ascii="Poppins SemiBold" w:hAnsi="Poppins SemiBold" w:eastAsia="Poppins SemiBold"/>
          <w:b/>
          <w:i w:val="0"/>
          <w:color w:val="FFFFFF"/>
          <w:sz w:val="56"/>
        </w:rPr>
        <w:t xml:space="preserve">É </w:t>
      </w:r>
      <w:r>
        <w:br/>
      </w:r>
      <w:r>
        <w:rPr>
          <w:rFonts w:ascii="Poppins" w:hAnsi="Poppins" w:eastAsia="Poppins"/>
          <w:b w:val="0"/>
          <w:i w:val="0"/>
          <w:color w:val="FFFFFF"/>
          <w:sz w:val="40"/>
        </w:rPr>
        <w:t xml:space="preserve">KIASSURE </w:t>
      </w:r>
    </w:p>
    <w:p>
      <w:pPr>
        <w:sectPr>
          <w:type w:val="nextColumn"/>
          <w:pgSz w:w="11906" w:h="16838"/>
          <w:pgMar w:top="178" w:right="198" w:bottom="76" w:left="538" w:header="720" w:footer="720" w:gutter="0"/>
          <w:cols w:num="2" w:equalWidth="0">
            <w:col w:w="2625" w:space="0"/>
            <w:col w:w="85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170"/>
      </w:tblGrid>
      <w:tr>
        <w:trPr>
          <w:trHeight w:hRule="exact" w:val="660"/>
        </w:trPr>
        <w:tc>
          <w:tcPr>
            <w:tcW w:type="dxa" w:w="1083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46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03243B"/>
                <w:sz w:val="28"/>
              </w:rPr>
              <w:t xml:space="preserve">SOMMAIRE </w:t>
            </w:r>
          </w:p>
        </w:tc>
      </w:tr>
    </w:tbl>
    <w:p>
      <w:pPr>
        <w:autoSpaceDN w:val="0"/>
        <w:autoSpaceDE w:val="0"/>
        <w:widowControl/>
        <w:spacing w:line="245" w:lineRule="auto" w:before="290" w:after="0"/>
        <w:ind w:left="28" w:right="86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PRÉAMBULE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OBJET DE L'ADHÉSION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3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CONDITIONS D'ADHÉSION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4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MODALITES D’ADHESION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5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PRISE D’EFFET ET DUREE DE L’ADHESION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6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RESILIATION DE L’ADHESION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7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DÉCLARATIONS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8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CONDITIONS DES GARANTIES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9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PRISE D’EFFET DES GARANTIES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10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ETENDUE TERRITORIALE DES GARANTIES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11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OBJET, MONTANT ET CONTENU DES GARANTIES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12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PRÉCONISATION SUR L’APPLICATION DU 100% SANTÉ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13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CADRE JURIDIQUE DU CONTRAT DIT RESPONSABLE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14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MODIFICATIONS DES GARANTIES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15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AJOUT OU SORTIE DES AYANTS DROIT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16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EXCLUSIONS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17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ADAPTATION DE L'ADHÉSION PAR SUITE DE MODIFICATIONS DU RÉGIME DE BASE DE LA SÉCURITÉ 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SOCIALE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18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PRESTATIONS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19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CONTROLE, PROCÉDURE D’EXPERTISE ET ARBITRAGE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20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COTISATIONS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21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SUBROGATION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22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– PRESCRIPTION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23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EXAMENS DES RÉCLAMATIONS ET PROCEDURE DE MEDIATION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24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INFORMATIQUE ET LIBERTÉS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25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AUTORITE DE CONTRÔLE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26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OPPOSITION AU DEMARCHAGE TELEPHONIQUE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27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DROIT DE RENONCIATION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28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TAUX DE REDISTRIBUTION ET DE FRAIS DE GESTION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29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FAUSSE DÉCLARATION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30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DÉCHÉANCE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31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JURIDICTION COMPÉTENTE</w:t>
      </w:r>
    </w:p>
    <w:p>
      <w:pPr>
        <w:autoSpaceDN w:val="0"/>
        <w:tabs>
          <w:tab w:pos="9998" w:val="left"/>
        </w:tabs>
        <w:autoSpaceDE w:val="0"/>
        <w:widowControl/>
        <w:spacing w:line="245" w:lineRule="auto" w:before="400" w:after="0"/>
        <w:ind w:left="9818" w:right="288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type w:val="continuous"/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85"/>
        <w:gridCol w:w="5585"/>
      </w:tblGrid>
      <w:tr>
        <w:trPr>
          <w:trHeight w:hRule="exact" w:val="1818"/>
        </w:trPr>
        <w:tc>
          <w:tcPr>
            <w:tcW w:type="dxa" w:w="4882"/>
            <w:tcBorders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19250" cy="63499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6349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0" w:lineRule="auto" w:before="232" w:after="0"/>
              <w:ind w:left="2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4"/>
              </w:rPr>
              <w:t xml:space="preserve">ARTICLE 1 - PRÉAMBULE </w:t>
            </w:r>
          </w:p>
        </w:tc>
        <w:tc>
          <w:tcPr>
            <w:tcW w:type="dxa" w:w="6260"/>
            <w:tcBorders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658109" cy="94996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09" cy="949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5" w:lineRule="auto" w:before="260" w:after="0"/>
        <w:ind w:left="28" w:right="324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contrat d’assurance frais de santé </w:t>
      </w:r>
      <w:r>
        <w:rPr>
          <w:rFonts w:ascii="Poppins" w:hAnsi="Poppins" w:eastAsia="Poppins"/>
          <w:b/>
          <w:i w:val="0"/>
          <w:color w:val="000000"/>
          <w:sz w:val="18"/>
        </w:rPr>
        <w:t>GOLDEN SANTÉ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est un contrat collectif d’assurance à adhésion facultative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individuelle, régi par les articles L 141-1 et suivants du Code des assurances et la loi n°89-1009 du 31 décembre 1989. Ce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contrat est dénommé ci-après le contrat groupe.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228" w:after="0"/>
        <w:ind w:left="28" w:right="432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Il se compose des documents suivants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présente Notice d’information à laquelle est adjointe celle relatives à la garantie </w:t>
      </w:r>
      <w:r>
        <w:rPr>
          <w:rFonts w:ascii="Poppins" w:hAnsi="Poppins" w:eastAsia="Poppins"/>
          <w:b/>
          <w:i w:val="0"/>
          <w:color w:val="000000"/>
          <w:sz w:val="18"/>
        </w:rPr>
        <w:t>MUTUAIDE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ainsi que l’IPID, qui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définissent les garanties, les engagements réciproques ainsi que les dispositions relatives à la vie du contrat,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certificat d’adhésion, qui retrace les éléments personnels de l’Adhérent, ses déclarations et les garanties qu’il a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souscrites,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tableau des garanties, qui détaille l’ensemble des postes de remboursement et leurs montants. </w:t>
      </w:r>
    </w:p>
    <w:p>
      <w:pPr>
        <w:autoSpaceDN w:val="0"/>
        <w:autoSpaceDE w:val="0"/>
        <w:widowControl/>
        <w:spacing w:line="245" w:lineRule="auto" w:before="208" w:after="0"/>
        <w:ind w:left="28" w:right="32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L’ensemble de ces documents constitue de façon indissociable le contrat groupe auquel les parties s’engagent. Elles ne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pourront se prévaloir de l’un d’entre eux séparément de tous les autres. Le contrat groupe est soumis à la loi française et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toute action judiciaire afférente sera du ressort exclusif des tribunaux français. </w:t>
      </w:r>
    </w:p>
    <w:p>
      <w:pPr>
        <w:autoSpaceDN w:val="0"/>
        <w:autoSpaceDE w:val="0"/>
        <w:widowControl/>
        <w:spacing w:line="245" w:lineRule="auto" w:before="228" w:after="0"/>
        <w:ind w:left="28" w:right="324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>Le souscripteur est l'</w:t>
      </w:r>
      <w:r>
        <w:rPr>
          <w:rFonts w:ascii="Poppins" w:hAnsi="Poppins" w:eastAsia="Poppins"/>
          <w:b/>
          <w:i w:val="0"/>
          <w:color w:val="000000"/>
          <w:sz w:val="18"/>
        </w:rPr>
        <w:t>ASSOCIATION COPERNIC POUR L’ASSURANCE (ACPA)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, ci-après dénommée l’ ”ASSOCIATION", régie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par la loi du 1er juillet 1901, dont le siège est situé </w:t>
      </w:r>
      <w:r>
        <w:rPr>
          <w:rFonts w:ascii="Poppins" w:hAnsi="Poppins" w:eastAsia="Poppins"/>
          <w:b/>
          <w:i w:val="0"/>
          <w:color w:val="000000"/>
          <w:sz w:val="18"/>
        </w:rPr>
        <w:t>au 76 rue de la Pompe 75116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, pourvue de la qualité d’association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souscriptrice de contrats collectifs d’assurance auprès de </w:t>
      </w:r>
      <w:r>
        <w:rPr>
          <w:rFonts w:ascii="Poppins" w:hAnsi="Poppins" w:eastAsia="Poppins"/>
          <w:b/>
          <w:i w:val="0"/>
          <w:color w:val="000000"/>
          <w:sz w:val="18"/>
        </w:rPr>
        <w:t>l’assureur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, au profit de ses Adhérents. </w:t>
      </w:r>
    </w:p>
    <w:p>
      <w:pPr>
        <w:autoSpaceDN w:val="0"/>
        <w:autoSpaceDE w:val="0"/>
        <w:widowControl/>
        <w:spacing w:line="245" w:lineRule="auto" w:before="228" w:after="0"/>
        <w:ind w:left="28" w:right="322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distributeur est 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KIASSURE, 27 Place aux huiles - 13001 MARSEILLE –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SAS au capital de 20 000 € - RCS de Marseille 825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261 522  – Intermédiaire en assurance immatriculé en France auprès de l’ORIAS sous le n°17 001 652. Entreprise régie par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Code des assurances. </w:t>
      </w:r>
    </w:p>
    <w:p>
      <w:pPr>
        <w:autoSpaceDN w:val="0"/>
        <w:autoSpaceDE w:val="0"/>
        <w:widowControl/>
        <w:spacing w:line="245" w:lineRule="auto" w:before="228" w:after="0"/>
        <w:ind w:left="28" w:right="322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L’assureur des garanties Santé est 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ACHEEL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- Société Anonyme au capital de 46 812,48 euros - Entreprise régie par le Code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des assurances – RCS Paris n°879605350 – Siège Social : 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128 rue La Boétie - 75008 Paris,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soumise au contrôle de l’ACPR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– 4 Place de Budapest CS 92459 75436 PARIS CEDEX 09, ci-après dénommée l’"Assureur”, </w:t>
      </w:r>
    </w:p>
    <w:p>
      <w:pPr>
        <w:autoSpaceDN w:val="0"/>
        <w:autoSpaceDE w:val="0"/>
        <w:widowControl/>
        <w:spacing w:line="245" w:lineRule="auto" w:before="228" w:after="0"/>
        <w:ind w:left="28" w:right="32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Cet organisme assureur délègue la gestion des contrats à </w:t>
      </w:r>
      <w:r>
        <w:rPr>
          <w:rFonts w:ascii="Poppins" w:hAnsi="Poppins" w:eastAsia="Poppins"/>
          <w:b/>
          <w:i w:val="0"/>
          <w:color w:val="000000"/>
          <w:sz w:val="18"/>
        </w:rPr>
        <w:t>KIASSURE,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SAS au capital de 20.000 €, Immatriculée au RCS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Marseille sous le SIREN n° 825 261 522 et enregistrée à l’ORIAS sous le numéro 17001652 (site web : www.orias.fr), dont le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siège social est sis 27 Place aux huiles - 13001 MARSEILLE, soumise au contrôle de l’ACPR – 4 Place de Budapest CS 92459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75436 PARIS CEDEX 09, ci- après dénommé le "Gestionnaire". </w:t>
      </w:r>
    </w:p>
    <w:p>
      <w:pPr>
        <w:autoSpaceDN w:val="0"/>
        <w:autoSpaceDE w:val="0"/>
        <w:widowControl/>
        <w:spacing w:line="245" w:lineRule="auto" w:before="228" w:after="0"/>
        <w:ind w:left="28" w:right="32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Cet organisme assureur délègue la gestion des Prestations santé à 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CENTRE DE PREVOYANCE MEDICO-SOCIALE (CPMS),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Société de Gestion et de Courtage d’Assurance au capital de 2 729 468 euros, immatriculée au RCS de PARIS B 97 B 14894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– Siret 414 357 889 00040, inscrite auprès de l’ORIAS sous le n° 07 001 007, dont le siège social est sis 4, Rue Auber - 75009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PARIS, disposant d’une Garantie Financière et Responsabilité Civile Professionnelle conformes aux articles L. 512-6 et L.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512-7 du Code des Assurances. </w:t>
      </w:r>
    </w:p>
    <w:p>
      <w:pPr>
        <w:autoSpaceDN w:val="0"/>
        <w:autoSpaceDE w:val="0"/>
        <w:widowControl/>
        <w:spacing w:line="190" w:lineRule="auto" w:before="166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2 - OBJET DE L'ADHÉSION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25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contrat 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GOLDEN SANTÉ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est composé de 5 formules responsables, et a pour objet de vous garantir le remboursement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frais médicaux, chirurgicaux et / ou d’hospitalisation constatés médicalement, et occasionnés par l’un des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événements suivants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Maladie ;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Maternité ;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Accident. </w:t>
      </w:r>
    </w:p>
    <w:p>
      <w:pPr>
        <w:autoSpaceDN w:val="0"/>
        <w:autoSpaceDE w:val="0"/>
        <w:widowControl/>
        <w:spacing w:line="245" w:lineRule="auto" w:before="206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Certaines prestations non couvertes par votre Régime obligatoire peuvent faire l’objet d’une participation de notre part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si elles sont prévues par les garanties souscrites. </w:t>
      </w: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remboursements sont fonction des garanties choisies et indiquées dans le certificat d’adhésion. Ils ne peuvent en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aucun cas être supérieurs aux dépenses réelles. </w:t>
      </w:r>
    </w:p>
    <w:p>
      <w:pPr>
        <w:autoSpaceDN w:val="0"/>
        <w:autoSpaceDE w:val="0"/>
        <w:widowControl/>
        <w:spacing w:line="190" w:lineRule="auto" w:before="228" w:after="0"/>
        <w:ind w:left="28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descriptif de l’ensemble des garanties est annexé à la présente notice d’information. </w:t>
      </w:r>
    </w:p>
    <w:p>
      <w:pPr>
        <w:autoSpaceDN w:val="0"/>
        <w:tabs>
          <w:tab w:pos="9964" w:val="left"/>
        </w:tabs>
        <w:autoSpaceDE w:val="0"/>
        <w:widowControl/>
        <w:spacing w:line="245" w:lineRule="auto" w:before="1094" w:after="0"/>
        <w:ind w:left="9818" w:right="288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2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85"/>
        <w:gridCol w:w="5585"/>
      </w:tblGrid>
      <w:tr>
        <w:trPr>
          <w:trHeight w:hRule="exact" w:val="1482"/>
        </w:trPr>
        <w:tc>
          <w:tcPr>
            <w:tcW w:type="dxa" w:w="47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19250" cy="63499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6349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658109" cy="94996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09" cy="949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36"/>
        </w:trPr>
        <w:tc>
          <w:tcPr>
            <w:tcW w:type="dxa" w:w="11142"/>
            <w:gridSpan w:val="2"/>
            <w:tcBorders>
              <w:bottom w:sz="12.0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2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4"/>
              </w:rPr>
              <w:t xml:space="preserve">ARTICLE 3 - CONDITIONS D'ADHÉSION </w:t>
            </w:r>
          </w:p>
        </w:tc>
      </w:tr>
      <w:tr>
        <w:trPr>
          <w:trHeight w:hRule="exact" w:val="1794"/>
        </w:trPr>
        <w:tc>
          <w:tcPr>
            <w:tcW w:type="dxa" w:w="11142"/>
            <w:gridSpan w:val="2"/>
            <w:tcBorders>
              <w:top w:sz="12.0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46" w:after="0"/>
              <w:ind w:left="2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L’admission au Contrat groupe en qualité d’Adhérent est réservée aux personnes physiques respectant les conditions </w:t>
            </w:r>
          </w:p>
          <w:p>
            <w:pPr>
              <w:autoSpaceDN w:val="0"/>
              <w:tabs>
                <w:tab w:pos="312" w:val="left"/>
              </w:tabs>
              <w:autoSpaceDE w:val="0"/>
              <w:widowControl/>
              <w:spacing w:line="245" w:lineRule="auto" w:before="0" w:after="0"/>
              <w:ind w:left="28" w:right="1872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cumulatives suivantes :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4"/>
              </w:rPr>
              <w:t>∙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Être adhérentes à l'</w:t>
            </w:r>
            <w:r>
              <w:rPr>
                <w:rFonts w:ascii="Poppins" w:hAnsi="Poppins" w:eastAsia="Poppins"/>
                <w:b/>
                <w:i w:val="0"/>
                <w:color w:val="000000"/>
                <w:sz w:val="18"/>
              </w:rPr>
              <w:t>ASSOCIATION COPERNIC POUR L’ASSURANCE (ACPA)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4"/>
              </w:rPr>
              <w:t>∙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Relever du Régime Obligatoire français,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4"/>
              </w:rPr>
              <w:t>∙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Résider en France métropolitaine, y compris Corse,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8"/>
              </w:rPr>
              <w:t>hors DROM COM et hors Monaco,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4"/>
              </w:rPr>
              <w:t>∙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Être signataire adhérent principal de la demande d’adhésion âgé de 18 ans inclus à 85 ans inclus. </w:t>
            </w:r>
          </w:p>
        </w:tc>
      </w:tr>
    </w:tbl>
    <w:p>
      <w:pPr>
        <w:autoSpaceDN w:val="0"/>
        <w:autoSpaceDE w:val="0"/>
        <w:widowControl/>
        <w:spacing w:line="190" w:lineRule="auto" w:before="146" w:after="0"/>
        <w:ind w:left="28" w:right="0" w:firstLine="0"/>
        <w:jc w:val="left"/>
      </w:pPr>
      <w:r>
        <w:rPr>
          <w:rFonts w:ascii="Poppins" w:hAnsi="Poppins" w:eastAsia="Poppins"/>
          <w:b/>
          <w:i w:val="0"/>
          <w:color w:val="000000"/>
          <w:sz w:val="18"/>
        </w:rPr>
        <w:t xml:space="preserve">Les frontaliers résidant en France et travaillent à l’étranger n’entre pas dans le cadre de souscription de ce contrat.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>Ce contrat n’est pas éligible au dispositif de l’aide à l’acquisition d’une complémentaire santé prévue aux articles L.863-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1 et suivants du Code de la sécurité sociale </w:t>
      </w:r>
    </w:p>
    <w:p>
      <w:pPr>
        <w:autoSpaceDN w:val="0"/>
        <w:autoSpaceDE w:val="0"/>
        <w:widowControl/>
        <w:spacing w:line="190" w:lineRule="auto" w:before="166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4 - MODALITES D’ADHESION </w:t>
      </w:r>
    </w:p>
    <w:p>
      <w:pPr>
        <w:autoSpaceDN w:val="0"/>
        <w:autoSpaceDE w:val="0"/>
        <w:widowControl/>
        <w:spacing w:line="245" w:lineRule="auto" w:before="258" w:after="0"/>
        <w:ind w:left="28" w:right="32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demandeur à l’assurance après avoir reçu et pris connaissance du bulletin d’adhésion, de la présente Notice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d’information, de l’IPID (Document Information Produit) et du tableau de garanties, remplira avec soin un bulletin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d’adhésion. </w:t>
      </w:r>
    </w:p>
    <w:p>
      <w:pPr>
        <w:autoSpaceDN w:val="0"/>
        <w:tabs>
          <w:tab w:pos="312" w:val="left"/>
          <w:tab w:pos="376" w:val="left"/>
          <w:tab w:pos="736" w:val="left"/>
        </w:tabs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Il devra désigner ses ayants droit, parmi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Son conjoint,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63363"/>
          <w:sz w:val="24"/>
        </w:rPr>
        <w:t>–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Personne avec laquelle il est marié non divorcé et non séparé de corps judiciairement,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63363"/>
          <w:sz w:val="24"/>
        </w:rPr>
        <w:t>–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Son concubin, sous réserve d’une attestation sur l’honneur de vie maritale,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63363"/>
          <w:sz w:val="24"/>
        </w:rPr>
        <w:t>–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Son partenaire de PACS, sous réserve de la production d’une attestation d’inscription de la déclaration du Pacte </w:t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Civil de Solidarité,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63363"/>
          <w:sz w:val="24"/>
        </w:rPr>
        <w:t>–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Âgé de 18 ans inclus à 85 ans inclus. </w:t>
      </w:r>
    </w:p>
    <w:p>
      <w:pPr>
        <w:autoSpaceDN w:val="0"/>
        <w:tabs>
          <w:tab w:pos="312" w:val="left"/>
          <w:tab w:pos="376" w:val="left"/>
          <w:tab w:pos="736" w:val="left"/>
        </w:tabs>
        <w:autoSpaceDE w:val="0"/>
        <w:widowControl/>
        <w:spacing w:line="245" w:lineRule="auto" w:before="146" w:after="0"/>
        <w:ind w:left="28" w:right="576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Ses enfants,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63363"/>
          <w:sz w:val="24"/>
        </w:rPr>
        <w:t>–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Âgés de moins de 18 ans, reconnus à sa charge ou à celle de son conjoint au sens du régime de base duquel </w:t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relève l’assuré ou son conjoint,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63363"/>
          <w:sz w:val="24"/>
        </w:rPr>
        <w:t>–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Âgés de 18 à 26 ans inclus, sous réserve : </w:t>
      </w:r>
    </w:p>
    <w:p>
      <w:pPr>
        <w:autoSpaceDN w:val="0"/>
        <w:tabs>
          <w:tab w:pos="1162" w:val="left"/>
        </w:tabs>
        <w:autoSpaceDE w:val="0"/>
        <w:widowControl/>
        <w:spacing w:line="245" w:lineRule="auto" w:before="0" w:after="0"/>
        <w:ind w:left="802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>▪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Qu’ils produisent un justificatif annuel de scolarité et n’exercent pas d’emploi rémunéré à caractère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permanent, </w:t>
      </w:r>
    </w:p>
    <w:p>
      <w:pPr>
        <w:autoSpaceDN w:val="0"/>
        <w:tabs>
          <w:tab w:pos="1162" w:val="left"/>
        </w:tabs>
        <w:autoSpaceDE w:val="0"/>
        <w:widowControl/>
        <w:spacing w:line="190" w:lineRule="auto" w:before="0" w:after="0"/>
        <w:ind w:left="80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>▪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Qu’ils soient en formation en alternance ou en contrat d’apprentissage, sous réserve de justificatif, </w:t>
      </w:r>
    </w:p>
    <w:p>
      <w:pPr>
        <w:autoSpaceDN w:val="0"/>
        <w:tabs>
          <w:tab w:pos="736" w:val="left"/>
          <w:tab w:pos="802" w:val="left"/>
          <w:tab w:pos="1162" w:val="left"/>
        </w:tabs>
        <w:autoSpaceDE w:val="0"/>
        <w:widowControl/>
        <w:spacing w:line="245" w:lineRule="auto" w:before="0" w:after="0"/>
        <w:ind w:left="376" w:right="288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18"/>
        </w:rPr>
        <w:t>▪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Qu’ils soient inscrits au Pôle Emploi en tant que primo demandeur d’emploi,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24"/>
        </w:rPr>
        <w:t>–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Sans limite d’âge si l’enfant bénéficie des allocations pour personnes handicapées prévues par la loi n°2005-12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du 11 février 2005. </w:t>
      </w:r>
    </w:p>
    <w:p>
      <w:pPr>
        <w:autoSpaceDN w:val="0"/>
        <w:autoSpaceDE w:val="0"/>
        <w:widowControl/>
        <w:spacing w:line="245" w:lineRule="auto" w:before="228" w:after="0"/>
        <w:ind w:left="28" w:right="322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Pour pouvoir bénéficier immédiatement de la garantie dès le 1er jour de sa naissance, le nouveau-né doit être déclaré à 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KIASSURE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dans les 30 jours de sa naissance. A défaut, la garantie est acquise à compter du jour de la réception de la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demande d’ajout de bénéficiaire. </w:t>
      </w: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demandeur devra également indiquer ses souhaits de niveau de garanties afin d’être orienté vers l’offre qui lui soit la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plus appropriée. L’offre choisie, identique pour ses ayants droit, est indiquée au Certificat d’adhésion. </w:t>
      </w:r>
    </w:p>
    <w:p>
      <w:pPr>
        <w:autoSpaceDN w:val="0"/>
        <w:autoSpaceDE w:val="0"/>
        <w:widowControl/>
        <w:spacing w:line="245" w:lineRule="auto" w:before="228" w:after="0"/>
        <w:ind w:left="28" w:right="864" w:firstLine="0"/>
        <w:jc w:val="left"/>
      </w:pPr>
      <w:r>
        <w:rPr>
          <w:rFonts w:ascii="Poppins" w:hAnsi="Poppins" w:eastAsia="Poppins"/>
          <w:b/>
          <w:i w:val="0"/>
          <w:color w:val="000000"/>
          <w:sz w:val="18"/>
        </w:rPr>
        <w:t xml:space="preserve">En cas de non-respect des conditions d’adhésion au contrat GOLDEN SANTÉ, l’Adhérent s’expose aux sanctions 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prévues aux articles L. 113-8 et L. 113-9 du Code des assurances. </w:t>
      </w:r>
    </w:p>
    <w:p>
      <w:pPr>
        <w:autoSpaceDN w:val="0"/>
        <w:autoSpaceDE w:val="0"/>
        <w:widowControl/>
        <w:spacing w:line="190" w:lineRule="auto" w:before="0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Aucune formalité médicale n’est exigée en cas d’adhésion au contrat, quel que soit le niveau de garanties choisi. </w:t>
      </w:r>
    </w:p>
    <w:p>
      <w:pPr>
        <w:autoSpaceDN w:val="0"/>
        <w:autoSpaceDE w:val="0"/>
        <w:widowControl/>
        <w:spacing w:line="245" w:lineRule="auto" w:before="228" w:after="0"/>
        <w:ind w:left="28" w:right="332" w:firstLine="0"/>
        <w:jc w:val="both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Toute adhésion au contrat nécessite au préalable d’adhérer à l'ASSOCIATION COPERNIC POUR L’ASSURANCE (ACPA)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dont la cotisation annuelle en vigueur sera prélevée selon la même périodicité que celle choisie pour le paiement de la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>cotisation d’assurance.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À ce titre, l’adhérent recevra une copie des statuts de l’association. </w:t>
      </w:r>
    </w:p>
    <w:p>
      <w:pPr>
        <w:autoSpaceDN w:val="0"/>
        <w:autoSpaceDE w:val="0"/>
        <w:widowControl/>
        <w:spacing w:line="190" w:lineRule="auto" w:before="166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5 - PRISE D’EFFET ET DUREE DE L’ADHESION </w:t>
      </w:r>
    </w:p>
    <w:p>
      <w:pPr>
        <w:autoSpaceDN w:val="0"/>
        <w:autoSpaceDE w:val="0"/>
        <w:widowControl/>
        <w:spacing w:line="190" w:lineRule="auto" w:before="254" w:after="0"/>
        <w:ind w:left="28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L’adhésion est réputée conclue au jour de la signature par l’adhérent du Certificat d’Adhésion. </w:t>
      </w: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Le contrat prend effet à compter du jour indiqué au certificat d’adhésion, sous réserve d’acceptation du dossier et du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paiement de la première cotisation, pour une période initiale de 12 mois. </w:t>
      </w:r>
    </w:p>
    <w:p>
      <w:pPr>
        <w:autoSpaceDN w:val="0"/>
        <w:tabs>
          <w:tab w:pos="9960" w:val="left"/>
        </w:tabs>
        <w:autoSpaceDE w:val="0"/>
        <w:widowControl/>
        <w:spacing w:line="245" w:lineRule="auto" w:before="324" w:after="0"/>
        <w:ind w:left="9818" w:right="288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3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sectPr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78" w:right="198" w:bottom="76" w:left="538" w:header="720" w:footer="720" w:gutter="0"/>
          <w:cols w:num="2" w:equalWidth="0">
            <w:col w:w="4772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09" cy="9499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2"/>
        <w:sectPr>
          <w:type w:val="nextColumn"/>
          <w:pgSz w:w="11906" w:h="16838"/>
          <w:pgMar w:top="178" w:right="198" w:bottom="76" w:left="538" w:header="720" w:footer="720" w:gutter="0"/>
          <w:cols w:num="2" w:equalWidth="0">
            <w:col w:w="4772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" w:right="32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L’adhésion se renouvelle ensuite par tacite reconduction à chaque échéance nouvelle de contrat, sauf en cas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résiliation dans les conditions des articles 6, 14 et 20 de la présente notice d’information. Néanmoins, les garanties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d’assurance ont, sous réserve du paiement intégral des cotisations, et sous l’express condition qu’une réglementation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impérative l’impose, un caractère viager dès l’adhésion.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Sous réserve qu’ils aient été déclarés </w:t>
      </w:r>
      <w:r>
        <w:rPr>
          <w:rFonts w:ascii="Poppins" w:hAnsi="Poppins" w:eastAsia="Poppins"/>
          <w:b/>
          <w:i w:val="0"/>
          <w:color w:val="000000"/>
          <w:sz w:val="18"/>
        </w:rPr>
        <w:t>à KIASSURE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dans les délais prévus, les garanties prennent effet pour les ayants droit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À la même date que les garanties de l’Adhérent,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À la date à laquelle ils répondent aux conditions d’ayants droit,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Au jour où est intervenu le changement de situation familiale conformément aux articles 7-2 et 20-2 de la présente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notice,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À défaut, à la date de l’accord de l’organisme assureur. </w:t>
      </w:r>
    </w:p>
    <w:p>
      <w:pPr>
        <w:autoSpaceDN w:val="0"/>
        <w:autoSpaceDE w:val="0"/>
        <w:widowControl/>
        <w:spacing w:line="190" w:lineRule="auto" w:before="144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6 - RESILIATION DE L’ADHESION </w:t>
      </w:r>
    </w:p>
    <w:p>
      <w:pPr>
        <w:autoSpaceDN w:val="0"/>
        <w:autoSpaceDE w:val="0"/>
        <w:widowControl/>
        <w:spacing w:line="190" w:lineRule="auto" w:before="258" w:after="0"/>
        <w:ind w:left="28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L’adhésion peut être résiliée dans les circonstances et les délais précisés ci-dessous. </w:t>
      </w:r>
    </w:p>
    <w:p>
      <w:pPr>
        <w:autoSpaceDN w:val="0"/>
        <w:autoSpaceDE w:val="0"/>
        <w:widowControl/>
        <w:spacing w:line="190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6.1. Formes de la résiliation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222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Lorsque la résiliation vient de l’Adhérent, selon les conditions prévues à l’article L113-14 du Code des Assurances, elle doit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se faire par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>Lettre recommandée ou mail électron</w:t>
      </w:r>
      <w:r>
        <w:rPr>
          <w:rFonts w:ascii="Poppins" w:hAnsi="Poppins" w:eastAsia="Poppins"/>
          <w:b w:val="0"/>
          <w:i w:val="0"/>
          <w:color w:val="000000"/>
          <w:sz w:val="18"/>
        </w:rPr>
        <w:hyperlink r:id="rId13" w:history="1">
          <w:r>
            <w:rPr>
              <w:rStyle w:val="Hyperlink"/>
            </w:rPr>
            <w:t>ique recommandé ou t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out autre support durable : 27 Place aux huiles - 13001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>MARSEILLE ou à l’adresse électronique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</w:t>
      </w:r>
      <w:r>
        <w:rPr>
          <w:u w:val="single" w:color="0462c1"/>
          <w:rFonts w:ascii="Poppins" w:hAnsi="Poppins" w:eastAsia="Poppins"/>
          <w:b w:val="0"/>
          <w:i w:val="0"/>
          <w:color w:val="0563C1"/>
          <w:sz w:val="18"/>
        </w:rPr>
        <w:hyperlink r:id="rId13" w:history="1">
          <w:r>
            <w:rPr>
              <w:rStyle w:val="Hyperlink"/>
            </w:rPr>
            <w:t>contact@kiassure.com</w:t>
          </w:r>
        </w:hyperlink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Acte extrajudiciaire ;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>Déclaration f</w:t>
      </w:r>
      <w:r>
        <w:rPr>
          <w:rFonts w:ascii="Poppins" w:hAnsi="Poppins" w:eastAsia="Poppins"/>
          <w:b w:val="0"/>
          <w:i w:val="0"/>
          <w:color w:val="000000"/>
          <w:sz w:val="18"/>
        </w:rPr>
        <w:hyperlink r:id="rId14" w:history="1">
          <w:r>
            <w:rPr>
              <w:rStyle w:val="Hyperlink"/>
            </w:rPr>
            <w:t>aite au siège social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: 27 Place aux huiles - 13001 MARSEILLE.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>Sur Internet :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</w:t>
      </w:r>
      <w:r>
        <w:rPr>
          <w:u w:val="single" w:color="0462c1"/>
          <w:rFonts w:ascii="Poppins" w:hAnsi="Poppins" w:eastAsia="Poppins"/>
          <w:b w:val="0"/>
          <w:i w:val="0"/>
          <w:color w:val="0563C1"/>
          <w:sz w:val="18"/>
        </w:rPr>
        <w:hyperlink r:id="rId14" w:history="1">
          <w:r>
            <w:rPr>
              <w:rStyle w:val="Hyperlink"/>
            </w:rPr>
            <w:t>www.kiassure.com</w:t>
          </w:r>
        </w:hyperlink>
      </w:r>
    </w:p>
    <w:p>
      <w:pPr>
        <w:autoSpaceDN w:val="0"/>
        <w:autoSpaceDE w:val="0"/>
        <w:widowControl/>
        <w:spacing w:line="245" w:lineRule="auto" w:before="20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Lorsque la résiliation est du fait de l’assureur, elle doit se faire par lettre recommandée envoyée au dernier domicile connu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l’adhérent. </w:t>
      </w:r>
    </w:p>
    <w:p>
      <w:pPr>
        <w:autoSpaceDN w:val="0"/>
        <w:autoSpaceDE w:val="0"/>
        <w:widowControl/>
        <w:spacing w:line="190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6.2. Conséquences de la résiliation </w:t>
      </w:r>
    </w:p>
    <w:p>
      <w:pPr>
        <w:autoSpaceDN w:val="0"/>
        <w:autoSpaceDE w:val="0"/>
        <w:widowControl/>
        <w:spacing w:line="245" w:lineRule="auto" w:before="222" w:after="0"/>
        <w:ind w:left="28" w:right="72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garantie reste acquise pour tous les soins et traitements en cours jusqu’à la date de prise d’effet de la résiliation.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résiliation de l’adhésion met fin aux garanties pour l’ensemble des Assurés à la date d’effet de la résiliation. </w:t>
      </w:r>
    </w:p>
    <w:p>
      <w:pPr>
        <w:autoSpaceDN w:val="0"/>
        <w:autoSpaceDE w:val="0"/>
        <w:widowControl/>
        <w:spacing w:line="245" w:lineRule="auto" w:before="208" w:after="0"/>
        <w:ind w:left="28" w:right="288" w:firstLine="708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6.3. Résiliation par l’adhérent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L’Adhérent peut résilier son adhésion à chaque échéance annuelle selon les modalités précisées ci- dessus, 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au plus tard </w:t>
      </w:r>
      <w:r>
        <w:rPr>
          <w:rFonts w:ascii="Poppins" w:hAnsi="Poppins" w:eastAsia="Poppins"/>
          <w:b/>
          <w:i w:val="0"/>
          <w:color w:val="000000"/>
          <w:sz w:val="18"/>
        </w:rPr>
        <w:t>deux mois avant cette échéance prévue au certificat d’adhésion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. La résiliation prend effet au jour de l’échéance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principale à 0 heure.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L’Adhérent peut ensuite résilier son adhésion à tout moment après l’expiration d’un délai d’un an à compter de la </w:t>
      </w:r>
      <w:r>
        <w:rPr>
          <w:rFonts w:ascii="Poppins" w:hAnsi="Poppins" w:eastAsia="Poppins"/>
          <w:b w:val="0"/>
          <w:i w:val="0"/>
          <w:color w:val="000000"/>
          <w:sz w:val="18"/>
        </w:rPr>
        <w:t>souscription du contrat. La résiliation prend effet un mois après que l’assureur en a reçu notification par l’Adhérent (L. 113-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15-2 du Code des assurances). La demande de résiliation peut également être adressée par le nouvel assureur. </w:t>
      </w:r>
    </w:p>
    <w:p>
      <w:pPr>
        <w:autoSpaceDN w:val="0"/>
        <w:autoSpaceDE w:val="0"/>
        <w:widowControl/>
        <w:spacing w:line="245" w:lineRule="auto" w:before="228" w:after="0"/>
        <w:ind w:left="28" w:right="32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cas de diminution du risque, si l’assureur ne consent pas à réduire le montant de la cotisation en conséquence (article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L113-4 du Code des assurances), l’Adhérent dispose d’une faculté de résiliation. Cette résiliation prendra effet 1 mois après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demande de l’Adhérent. </w:t>
      </w:r>
    </w:p>
    <w:p>
      <w:pPr>
        <w:autoSpaceDN w:val="0"/>
        <w:autoSpaceDE w:val="0"/>
        <w:widowControl/>
        <w:spacing w:line="190" w:lineRule="auto" w:before="228" w:after="0"/>
        <w:ind w:left="28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L’état de santé ne peut pas être pris en compte dans l’appréciation. </w:t>
      </w:r>
    </w:p>
    <w:p>
      <w:pPr>
        <w:autoSpaceDN w:val="0"/>
        <w:autoSpaceDE w:val="0"/>
        <w:widowControl/>
        <w:spacing w:line="192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6.4. Résiliation par l’assureur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22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L’assureur peut résilier l’adhésion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cas de non-paiement des cotisations (article L. 113-3 du Code des assurances, et dont le détail est repris à l’article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20 de la présente notice) : à défaut de paiement d’une prime, ou d’une fraction de prime, dans les 10 jours de son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échéance, 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la garantie pourra être suspendue 30 jours après la mise en demeure de l’Adhérent. L’assureur dispose </w:t>
      </w:r>
      <w:r>
        <w:tab/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de la faculté de résilier le contrat 10 jours après l’expiration de ce délai de 30 jours. </w:t>
      </w:r>
    </w:p>
    <w:p>
      <w:pPr>
        <w:autoSpaceDN w:val="0"/>
        <w:tabs>
          <w:tab w:pos="9950" w:val="left"/>
        </w:tabs>
        <w:autoSpaceDE w:val="0"/>
        <w:widowControl/>
        <w:spacing w:line="245" w:lineRule="auto" w:before="664" w:after="0"/>
        <w:ind w:left="9818" w:right="288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4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type w:val="continuous"/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6964" w:val="left"/>
        </w:tabs>
        <w:autoSpaceDE w:val="0"/>
        <w:widowControl/>
        <w:spacing w:line="240" w:lineRule="auto" w:before="0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658109" cy="94996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0" w:after="0"/>
        <w:ind w:left="28" w:right="576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cas d’omission ou d’inexactitude dans la déclaration de l’adhérent sans que la mauvaise foi de ce dernier soit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établie (article L113-9 du Code des assurances). La résiliation prend effet dix (10) jours après envoi de la lettre de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>résiliation.</w:t>
      </w:r>
    </w:p>
    <w:p>
      <w:pPr>
        <w:autoSpaceDN w:val="0"/>
        <w:autoSpaceDE w:val="0"/>
        <w:widowControl/>
        <w:spacing w:line="192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6.5. Résiliation par l’adhérent ou par l’assureur </w:t>
      </w:r>
    </w:p>
    <w:p>
      <w:pPr>
        <w:autoSpaceDN w:val="0"/>
        <w:autoSpaceDE w:val="0"/>
        <w:widowControl/>
        <w:spacing w:line="245" w:lineRule="auto" w:before="220" w:after="0"/>
        <w:ind w:left="28" w:right="32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L’adhérent ou l’assureur peuvent résilier l’adhésion en cas de changement de domicile en France métropolitaine,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situation matrimoniale, de profession, de départ à la retraite ou cessation d’activité professionnelle lorsque l’adhésion a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pour objet la garantie de risques en relation directe avec la situation antérieure et qui ne se retrouvent pas dans la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situation nouvelle (article L 113-16 du Code des assurances). La demande doit être effectuée dans les trois mois qui suivent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date de l’événement pour l’adhérent et dans les 3 mois qui suivent l’envoi par l’adhérent d’une lettre d’information pour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l’assureur. La résiliation prend effet un (1) mois après la notification de la lettre recommandée. </w:t>
      </w:r>
    </w:p>
    <w:p>
      <w:pPr>
        <w:autoSpaceDN w:val="0"/>
        <w:autoSpaceDE w:val="0"/>
        <w:widowControl/>
        <w:spacing w:line="192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6.6. Résiliation de plein droit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222" w:after="0"/>
        <w:ind w:left="28" w:right="432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L’adhésion est résiliée de plein droit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cas de décès de l’adhérent. En présence d’ayants droit, les garanties sont maintenues jusqu’à la prochaine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échéance de cotisation. S’ils le souhaitent, un nouveau contrat leur sera proposé, qui tiendra compte des garanties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et conditions antérieures à la résiliation.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0" w:after="0"/>
        <w:ind w:left="28" w:right="432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cas de départ de la France métropolitaine. La résiliation prend effet le 1er jour qui suit la cessation d’affiliation au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régime obligatoire d’assurance maladie.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Lorsque l’Adhérent et/ou ses Ayants droit ne relève(nt) plus d’un Régime Obligatoire d’assurance maladie Français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Lorsque l’Adhérent perd sa qualité de membre de l’Association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Dans tous les cas de résiliation, la sortie de l’Adhérent du présent régime “Frais de santé” entraîne celle de ses Ayants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droit, sauf cas particulier du décès de l’adhérent. </w:t>
      </w:r>
    </w:p>
    <w:p>
      <w:pPr>
        <w:autoSpaceDN w:val="0"/>
        <w:autoSpaceDE w:val="0"/>
        <w:widowControl/>
        <w:spacing w:line="190" w:lineRule="auto" w:before="164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7 - DÉCLARATIONS </w:t>
      </w:r>
    </w:p>
    <w:p>
      <w:pPr>
        <w:autoSpaceDN w:val="0"/>
        <w:autoSpaceDE w:val="0"/>
        <w:widowControl/>
        <w:spacing w:line="245" w:lineRule="auto" w:before="416" w:after="0"/>
        <w:ind w:left="28" w:right="288" w:firstLine="0"/>
        <w:jc w:val="left"/>
      </w:pPr>
      <w:r>
        <w:rPr>
          <w:rFonts w:ascii="Poppins" w:hAnsi="Poppins" w:eastAsia="Poppins"/>
          <w:b/>
          <w:i w:val="0"/>
          <w:color w:val="000000"/>
          <w:sz w:val="18"/>
        </w:rPr>
        <w:t xml:space="preserve">Les déclarations, tant à l’adhésion qu’en cours de contrat, sont faites par l’adhérent pour son compte et celui de ses 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ayants droit auxquels elles sont opposables.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Ces déclarations sont importantes pour l’élaboration et l’évolution du contrat et l’adhérent doit fournir des réponses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exactes. </w:t>
      </w:r>
    </w:p>
    <w:p>
      <w:pPr>
        <w:autoSpaceDN w:val="0"/>
        <w:autoSpaceDE w:val="0"/>
        <w:widowControl/>
        <w:spacing w:line="192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7.1.  À l’adhésion </w:t>
      </w:r>
    </w:p>
    <w:p>
      <w:pPr>
        <w:autoSpaceDN w:val="0"/>
        <w:autoSpaceDE w:val="0"/>
        <w:widowControl/>
        <w:spacing w:line="245" w:lineRule="auto" w:before="22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L’adhérent doit répondre avec précision aux questions et demandes de renseignements figurant sur le bulletin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d’adhésion. </w:t>
      </w:r>
    </w:p>
    <w:p>
      <w:pPr>
        <w:autoSpaceDN w:val="0"/>
        <w:autoSpaceDE w:val="0"/>
        <w:widowControl/>
        <w:spacing w:line="190" w:lineRule="auto" w:before="130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7.2. En cours de contrat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222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L’adhérent doit déclarer, pour toute personne couverte par le contrat, tout événement modifiant les déclarations faites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lors de l’adhésion et qui aurait pour effet de les rendre inexactes ou caduques et notamment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Un changement d’état civil,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Une cessation ou un changement d’affiliation d’un des Bénéficiaires au Régime Obligatoire,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Un changement de domicile ou un départ hors de France métropolitaine,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survenance d’un événement entraînant la cessation de qualité d’ayant droit,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Un changement de profession ou une cessation d’activité professionnelle,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Un changement de compte bancaire ou postal pour le prélèvement des cotisations et/ou le virement des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prestations,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L’existence ou la cessation de garanties de même nature souscrites auprès d’autres assureurs.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Un changement de domicile ou un départ hors de France métropolitaine pour une durée supérieure à TROIS (3)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mois,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228" w:after="0"/>
        <w:ind w:left="28" w:right="230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déclarations en cours de contrat doivent être faites :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24"/>
        </w:rPr>
        <w:t>–</w:t>
      </w:r>
      <w:r>
        <w:rPr>
          <w:rFonts w:ascii="Poppins" w:hAnsi="Poppins" w:eastAsia="Poppins"/>
          <w:b w:val="0"/>
          <w:i w:val="0"/>
          <w:color w:val="000000"/>
          <w:sz w:val="18"/>
        </w:rPr>
        <w:t>Par courrier à l’adresse postale suivante : KI</w:t>
      </w:r>
      <w:r>
        <w:rPr>
          <w:rFonts w:ascii="Poppins" w:hAnsi="Poppins" w:eastAsia="Poppins"/>
          <w:b w:val="0"/>
          <w:i w:val="0"/>
          <w:color w:val="000000"/>
          <w:sz w:val="18"/>
        </w:rPr>
        <w:hyperlink r:id="rId13" w:history="1">
          <w:r>
            <w:rPr>
              <w:rStyle w:val="Hyperlink"/>
            </w:rPr>
            <w:t>ASSURE – 27 Place aux h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uiles - 13001 MARSEILLE. </w:t>
      </w:r>
    </w:p>
    <w:p>
      <w:pPr>
        <w:autoSpaceDN w:val="0"/>
        <w:autoSpaceDE w:val="0"/>
        <w:widowControl/>
        <w:spacing w:line="245" w:lineRule="auto" w:before="0" w:after="0"/>
        <w:ind w:left="388" w:right="4320" w:firstLine="0"/>
        <w:jc w:val="left"/>
      </w:pPr>
      <w:r>
        <w:rPr>
          <w:rFonts w:ascii="Poppins" w:hAnsi="Poppins" w:eastAsia="Poppins"/>
          <w:b w:val="0"/>
          <w:i w:val="0"/>
          <w:color w:val="063363"/>
          <w:sz w:val="24"/>
        </w:rPr>
        <w:t>–</w:t>
      </w:r>
      <w:r>
        <w:rPr>
          <w:rFonts w:ascii="Poppins" w:hAnsi="Poppins" w:eastAsia="Poppins"/>
          <w:b w:val="0"/>
          <w:i w:val="0"/>
          <w:color w:val="000000"/>
          <w:sz w:val="18"/>
        </w:rPr>
        <w:t>Par mail</w:t>
      </w:r>
      <w:r>
        <w:rPr>
          <w:rFonts w:ascii="Poppins" w:hAnsi="Poppins" w:eastAsia="Poppins"/>
          <w:b w:val="0"/>
          <w:i w:val="0"/>
          <w:color w:val="000000"/>
          <w:sz w:val="18"/>
        </w:rPr>
        <w:t>à l’a</w:t>
      </w:r>
      <w:r>
        <w:rPr>
          <w:rFonts w:ascii="Poppins" w:hAnsi="Poppins" w:eastAsia="Poppins"/>
          <w:b w:val="0"/>
          <w:i w:val="0"/>
          <w:color w:val="000000"/>
          <w:sz w:val="18"/>
        </w:rPr>
        <w:hyperlink r:id="rId14" w:history="1">
          <w:r>
            <w:rPr>
              <w:rStyle w:val="Hyperlink"/>
            </w:rPr>
            <w:t>dresse électronique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suivante :</w:t>
      </w:r>
      <w:r>
        <w:rPr>
          <w:u w:val="single" w:color="0462c1"/>
          <w:rFonts w:ascii="Poppins" w:hAnsi="Poppins" w:eastAsia="Poppins"/>
          <w:b w:val="0"/>
          <w:i w:val="0"/>
          <w:color w:val="0563C1"/>
          <w:sz w:val="18"/>
        </w:rPr>
        <w:hyperlink r:id="rId13" w:history="1">
          <w:r>
            <w:rPr>
              <w:rStyle w:val="Hyperlink"/>
            </w:rPr>
            <w:t>contact@kiassure.com</w:t>
          </w:r>
        </w:hyperlink>
      </w:r>
      <w:r>
        <w:rPr>
          <w:rFonts w:ascii="Poppins" w:hAnsi="Poppins" w:eastAsia="Poppins"/>
          <w:b w:val="0"/>
          <w:i w:val="0"/>
          <w:color w:val="063363"/>
          <w:sz w:val="24"/>
        </w:rPr>
        <w:t>–</w:t>
      </w:r>
      <w:r>
        <w:rPr>
          <w:rFonts w:ascii="Poppins" w:hAnsi="Poppins" w:eastAsia="Poppins"/>
          <w:b w:val="0"/>
          <w:i w:val="0"/>
          <w:color w:val="000000"/>
          <w:sz w:val="18"/>
        </w:rPr>
        <w:t>Sur Internet :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</w:t>
      </w:r>
      <w:r>
        <w:rPr>
          <w:u w:val="single" w:color="0462c1"/>
          <w:rFonts w:ascii="Poppins" w:hAnsi="Poppins" w:eastAsia="Poppins"/>
          <w:b w:val="0"/>
          <w:i w:val="0"/>
          <w:color w:val="0563C1"/>
          <w:sz w:val="18"/>
        </w:rPr>
        <w:hyperlink r:id="rId14" w:history="1">
          <w:r>
            <w:rPr>
              <w:rStyle w:val="Hyperlink"/>
            </w:rPr>
            <w:t>www.kiassure.com</w:t>
          </w:r>
        </w:hyperlink>
      </w:r>
    </w:p>
    <w:p>
      <w:pPr>
        <w:autoSpaceDN w:val="0"/>
        <w:tabs>
          <w:tab w:pos="9952" w:val="left"/>
        </w:tabs>
        <w:autoSpaceDE w:val="0"/>
        <w:widowControl/>
        <w:spacing w:line="245" w:lineRule="auto" w:before="324" w:after="0"/>
        <w:ind w:left="9818" w:right="288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5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sectPr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78" w:right="198" w:bottom="76" w:left="538" w:header="720" w:footer="720" w:gutter="0"/>
          <w:cols w:num="2" w:equalWidth="0">
            <w:col w:w="4772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09" cy="94996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2"/>
        <w:sectPr>
          <w:type w:val="nextColumn"/>
          <w:pgSz w:w="11906" w:h="16838"/>
          <w:pgMar w:top="178" w:right="198" w:bottom="76" w:left="538" w:header="720" w:footer="720" w:gutter="0"/>
          <w:cols w:num="2" w:equalWidth="0">
            <w:col w:w="4772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Si des prestations ont été versées au-delà de ce délai, l’Assureur pourra demander à l’Adhérent le remboursement des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prestations indûment réglées pour cet ayant droit. </w:t>
      </w: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Ces événements doivent être signalés dans un délai de quinze (15) jours suivant leur survenance. L’inobservation de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ce délai, ou l’absence de déclaration, si elle cause un préjudice à l’assureur, est susceptible d’entraîner la perte de tout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droit aux garanties liées à la modification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En cas de réticence ou fausse déclaration intentionnelle modifiant l’appréciation du risque assuré, l’adhésion est nulle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et la prime payée demeure acquise à titre de pénalité. En cas d’omission ou déclaration inexacte non intentionnelle,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constatée avant sinistre, l’assureur pourra résilier l’adhésion avec un préavis de dix (10) jours en restituant à l’adhérent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le prorata de prime ou augmenter la prime à due proportion. Si cette omission ou fausse déclaration non intentionnelle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est constatée après un sinistre, l’indemnité sera réduite à proportion de la part de prime payée rapportée à ce qu’elle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aurait dû être si l’assureur avait eu connaissance exacte de la situation de l’adhérent. </w:t>
      </w:r>
    </w:p>
    <w:p>
      <w:pPr>
        <w:autoSpaceDN w:val="0"/>
        <w:autoSpaceDE w:val="0"/>
        <w:widowControl/>
        <w:spacing w:line="190" w:lineRule="auto" w:before="86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8 - CONDITIONS DES GARANTIES </w:t>
      </w:r>
    </w:p>
    <w:p>
      <w:pPr>
        <w:autoSpaceDN w:val="0"/>
        <w:autoSpaceDE w:val="0"/>
        <w:widowControl/>
        <w:spacing w:line="245" w:lineRule="auto" w:before="256" w:after="0"/>
        <w:ind w:left="0" w:right="1296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Pour bénéficier des garanties, les assurés et ayants droit doivent être affiliés au Régime Obligatoire français.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Seules sont garanties les dépenses de santé engagées entre les dates d’effet et de résiliation de l’adhésion.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outre, pour les soins et les prothèses dentaires, les dates de proposition et d’exécution des travaux doivent être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également situées dans la période de garantie. </w:t>
      </w:r>
    </w:p>
    <w:p>
      <w:pPr>
        <w:autoSpaceDN w:val="0"/>
        <w:autoSpaceDE w:val="0"/>
        <w:widowControl/>
        <w:spacing w:line="190" w:lineRule="auto" w:before="164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9 - PRISE D’EFFET DES GARANTIES </w:t>
      </w:r>
    </w:p>
    <w:p>
      <w:pPr>
        <w:autoSpaceDN w:val="0"/>
        <w:autoSpaceDE w:val="0"/>
        <w:widowControl/>
        <w:spacing w:line="245" w:lineRule="auto" w:before="258" w:after="0"/>
        <w:ind w:left="28" w:right="32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garanties de l’adhésion sont acquises immédiatement, sans délai d’attente, à compter de la date d’effet mentionnée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au Certificat d’Adhésion </w:t>
      </w:r>
      <w:r>
        <w:rPr>
          <w:rFonts w:ascii="Poppins" w:hAnsi="Poppins" w:eastAsia="Poppins"/>
          <w:b/>
          <w:i w:val="0"/>
          <w:color w:val="000000"/>
          <w:sz w:val="18"/>
        </w:rPr>
        <w:t>s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ous réserve de l’encaissement effectif de la première prime,  à l’exception d’un délai d’UN (1)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mois en cas d’hospitalisation non consécutive à un accident ou  la prise en charge est limitée au ticket modérateur et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au forfait journalier hospitalier.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L’Assuré bénéficie également de tous les minimas légaux liés au cahier des charges ”Contrats responsables” et “100%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Santé” dans cet intervalle de temps. </w:t>
      </w:r>
    </w:p>
    <w:p>
      <w:pPr>
        <w:autoSpaceDN w:val="0"/>
        <w:autoSpaceDE w:val="0"/>
        <w:widowControl/>
        <w:spacing w:line="190" w:lineRule="auto" w:before="166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10 - ETENDUE TERRITORIALE DES GARANTIES </w:t>
      </w:r>
    </w:p>
    <w:p>
      <w:pPr>
        <w:autoSpaceDN w:val="0"/>
        <w:autoSpaceDE w:val="0"/>
        <w:widowControl/>
        <w:spacing w:line="245" w:lineRule="auto" w:before="25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garanties d’assurance frais de santé ne bénéficient qu’aux seuls adhérents résidant à titre principal en France pour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des frais engagés en France métropolitaine (Corse incluse).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versement des frais médicaux, chirurgicaux ou d’hospitalisation s’exerce au titre de l’adhésion en France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métropolitaine, à partir du moment où le Régime obligatoire français intervient sur la base du tarif de convention.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En cas de séjour à l’étranger de moins de TROIS (3) mois par an (consécutif ou non), les remboursements sont limités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au ticket modérateur et uniquement pour les actes pris en charge par la sécurité sociale française.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règlement des prestations est effectué, dans tous les cas, en euros auprès d’un établissement bancaire situé dans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l’Espace Unique de paiement en euros (ou SEPA). </w:t>
      </w:r>
    </w:p>
    <w:p>
      <w:pPr>
        <w:autoSpaceDN w:val="0"/>
        <w:autoSpaceDE w:val="0"/>
        <w:widowControl/>
        <w:spacing w:line="190" w:lineRule="auto" w:before="164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11 - OBJET, MONTANT ET CONTENU DES GARANTIES </w:t>
      </w:r>
    </w:p>
    <w:p>
      <w:pPr>
        <w:autoSpaceDN w:val="0"/>
        <w:autoSpaceDE w:val="0"/>
        <w:widowControl/>
        <w:spacing w:line="245" w:lineRule="auto" w:before="25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produit </w:t>
      </w:r>
      <w:r>
        <w:rPr>
          <w:rFonts w:ascii="Poppins" w:hAnsi="Poppins" w:eastAsia="Poppins"/>
          <w:b/>
          <w:i w:val="0"/>
          <w:color w:val="000000"/>
          <w:sz w:val="18"/>
        </w:rPr>
        <w:t>GOLDEN SANTÉ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comprend 5 formules pouvant être proposées en fonction du besoin de l’adhérent et détaillés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par poste dans le tableau de garanties.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montants de remboursements s’entendent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Après déduction du remboursement du Régime Obligatoire lorsqu’il intervient,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Dans la limite du niveau de remboursement indiqué dans le tableau de garantie, en fonction de la formule choisis et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indiqués au Certificat d’adhésion. </w:t>
      </w:r>
    </w:p>
    <w:p>
      <w:pPr>
        <w:autoSpaceDN w:val="0"/>
        <w:autoSpaceDE w:val="0"/>
        <w:widowControl/>
        <w:spacing w:line="190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11.1. Médecine de ville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222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Golden santé ne prend pas en charge les conséquences financières de la baisse du taux de remboursement liées :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>au non-respect du parcours de soins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: Il s’agit du circuit à respecter pour être remboursés selon la réglementation en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vigueur dans le cadre de ce parcours. Celui-ci consiste à déclarer un médecin traitant auprès de l’assurance maladie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obligatoire et le consulter en priorité et/ou à consulter un médecin correspondant sur orientation de son médecin </w:t>
      </w:r>
    </w:p>
    <w:p>
      <w:pPr>
        <w:autoSpaceDN w:val="0"/>
        <w:tabs>
          <w:tab w:pos="9952" w:val="left"/>
        </w:tabs>
        <w:autoSpaceDE w:val="0"/>
        <w:widowControl/>
        <w:spacing w:line="245" w:lineRule="auto" w:before="114" w:after="0"/>
        <w:ind w:left="9818" w:right="288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6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type w:val="continuous"/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sectPr>
          <w:pgSz w:w="11906" w:h="16838"/>
          <w:pgMar w:top="178" w:right="198" w:bottom="76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78" w:right="198" w:bottom="76" w:left="566" w:header="720" w:footer="720" w:gutter="0"/>
          <w:cols w:num="2" w:equalWidth="0">
            <w:col w:w="4744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09" cy="94996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2"/>
        <w:sectPr>
          <w:type w:val="nextColumn"/>
          <w:pgSz w:w="11906" w:h="16838"/>
          <w:pgMar w:top="178" w:right="198" w:bottom="76" w:left="566" w:header="720" w:footer="720" w:gutter="0"/>
          <w:cols w:num="2" w:equalWidth="0">
            <w:col w:w="4744" w:space="0"/>
            <w:col w:w="639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71"/>
        <w:gridCol w:w="5571"/>
      </w:tblGrid>
      <w:tr>
        <w:trPr>
          <w:trHeight w:hRule="exact" w:val="1272"/>
        </w:trPr>
        <w:tc>
          <w:tcPr>
            <w:tcW w:type="dxa" w:w="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58" w:after="0"/>
              <w:ind w:left="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4"/>
              </w:rPr>
              <w:t>∙</w:t>
            </w:r>
          </w:p>
        </w:tc>
        <w:tc>
          <w:tcPr>
            <w:tcW w:type="dxa" w:w="10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0" w:right="156" w:firstLine="0"/>
              <w:jc w:val="both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traitant. Les médecins spécialistes suivant, gynécologues, ophtalmologues, stomatologues, psychiatres et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neuropsychiatres peuvent être consultés sans pour autant passer par le médecin traitant (pour les enfants de moins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de 26 ans).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10" w:right="144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8"/>
              </w:rPr>
              <w:t>les franchises médicales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 à la charge de l’adhérent pour les frais relatifs à certaines prestations et produits de santé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pris en charge par l’assurance maladie. </w:t>
            </w:r>
          </w:p>
        </w:tc>
      </w:tr>
    </w:tbl>
    <w:p>
      <w:pPr>
        <w:autoSpaceDN w:val="0"/>
        <w:autoSpaceDE w:val="0"/>
        <w:widowControl/>
        <w:spacing w:line="245" w:lineRule="auto" w:before="168" w:after="0"/>
        <w:ind w:left="0" w:right="32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taux de remboursement relatifs aux honoraires médicaux diffèrent selon l’adhésion au non des praticiens aux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dispositifs de pratique tarifaire maîtrisée OPTAM : Option Pratique Tarifaire Maîtrisée / OPTAM CO: Option Pratique Tarifaire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Maîtrisée Chirurgie Obstétrique. </w:t>
      </w:r>
    </w:p>
    <w:p>
      <w:pPr>
        <w:autoSpaceDN w:val="0"/>
        <w:autoSpaceDE w:val="0"/>
        <w:widowControl/>
        <w:spacing w:line="245" w:lineRule="auto" w:before="228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praticiens signataires s’engagent à limiter leurs dépassements d’honoraires favorisant l’accès aux soins par une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meilleure prise en charge. </w:t>
      </w:r>
    </w:p>
    <w:p>
      <w:pPr>
        <w:autoSpaceDN w:val="0"/>
        <w:autoSpaceDE w:val="0"/>
        <w:widowControl/>
        <w:spacing w:line="245" w:lineRule="auto" w:before="228" w:after="0"/>
        <w:ind w:left="0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Médicaments prescrits et non pris en charge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versement de tout ou partie du forfait relatif aux Médicaments prescrits et non pris en charge est soumis à la réception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des justificatifs correspondants (Ordonnance et facture). Le versement ne pourra dépasser le montant des frais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réellement engager par l’assuré et dans la limite du forfait annuel indiqué sur le tableau de garantie (selon la formule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choisie) </w:t>
      </w:r>
    </w:p>
    <w:p>
      <w:pPr>
        <w:autoSpaceDN w:val="0"/>
        <w:autoSpaceDE w:val="0"/>
        <w:widowControl/>
        <w:spacing w:line="245" w:lineRule="auto" w:before="228" w:after="0"/>
        <w:ind w:left="0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Prothèse, appareillages et Divers orthèse (DVO)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remboursements s’entendent en pourcentage de la base de remboursement de la sécurité sociale et inclus la part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du régime obligatoire. </w:t>
      </w:r>
    </w:p>
    <w:p>
      <w:pPr>
        <w:autoSpaceDN w:val="0"/>
        <w:autoSpaceDE w:val="0"/>
        <w:widowControl/>
        <w:spacing w:line="245" w:lineRule="auto" w:before="228" w:after="0"/>
        <w:ind w:left="0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Petits appareillages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versement de tout ou partie du forfait relatif aux Petits appareillages ne pourra dépasser le montant des frais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réellement engager par l’assuré et dans la limite du forfait annuel indiqué sur le tableau de garantie (selon la formule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choisie). Au-delà du forfait annuel, le versement sera limité au ticket modérateur. </w:t>
      </w:r>
    </w:p>
    <w:p>
      <w:pPr>
        <w:autoSpaceDN w:val="0"/>
        <w:autoSpaceDE w:val="0"/>
        <w:widowControl/>
        <w:spacing w:line="190" w:lineRule="auto" w:before="208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11.2. Cure thermale </w:t>
      </w:r>
    </w:p>
    <w:p>
      <w:pPr>
        <w:autoSpaceDN w:val="0"/>
        <w:autoSpaceDE w:val="0"/>
        <w:widowControl/>
        <w:spacing w:line="245" w:lineRule="auto" w:before="222" w:after="0"/>
        <w:ind w:left="0" w:right="32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remboursement des frais liés à la cure thermale est exclusivement soumis à la prise en charge du régime obligatoire.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contrat Golden Santé ne prévoit aucun remboursement relatif au transport et à l’hébergement relatif à une cure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thermale que celle-ci soit pris en charge ou non par le régime obligatoire. </w:t>
      </w:r>
    </w:p>
    <w:p>
      <w:pPr>
        <w:autoSpaceDN w:val="0"/>
        <w:autoSpaceDE w:val="0"/>
        <w:widowControl/>
        <w:spacing w:line="190" w:lineRule="auto" w:before="208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11.3. Médecines douces </w:t>
      </w:r>
    </w:p>
    <w:p>
      <w:pPr>
        <w:autoSpaceDN w:val="0"/>
        <w:tabs>
          <w:tab w:pos="358" w:val="left"/>
          <w:tab w:pos="714" w:val="left"/>
        </w:tabs>
        <w:autoSpaceDE w:val="0"/>
        <w:widowControl/>
        <w:spacing w:line="245" w:lineRule="auto" w:before="222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forfait Médecines douces comprend les actes réalisés par des praticiens ci-dessous diplômés d’un établissement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formation agréé par le Ministère de la Santé : </w:t>
      </w:r>
      <w:r>
        <w:br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Ostéopathe, </w:t>
      </w:r>
      <w:r>
        <w:br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Pédicure, </w:t>
      </w:r>
      <w:r>
        <w:br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Podologue, </w:t>
      </w:r>
      <w:r>
        <w:br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Étiopathe, </w:t>
      </w:r>
      <w:r>
        <w:br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Homéopathe, </w:t>
      </w:r>
      <w:r>
        <w:br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Acupuncteur, </w:t>
      </w:r>
      <w:r>
        <w:br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Chiropracteur, </w:t>
      </w:r>
      <w:r>
        <w:br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Mésothérapeute, </w:t>
      </w:r>
      <w:r>
        <w:br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Réflexologue, </w:t>
      </w:r>
      <w:r>
        <w:br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Diététicien, </w:t>
      </w:r>
      <w:r>
        <w:br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Nutritionniste </w:t>
      </w:r>
    </w:p>
    <w:p>
      <w:pPr>
        <w:autoSpaceDN w:val="0"/>
        <w:autoSpaceDE w:val="0"/>
        <w:widowControl/>
        <w:spacing w:line="190" w:lineRule="auto" w:before="186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11.4. Actes de preventions </w:t>
      </w:r>
    </w:p>
    <w:p>
      <w:pPr>
        <w:autoSpaceDN w:val="0"/>
        <w:autoSpaceDE w:val="0"/>
        <w:widowControl/>
        <w:spacing w:line="245" w:lineRule="auto" w:before="222" w:after="0"/>
        <w:ind w:left="0" w:right="32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remboursements se limite à la prise en charge des actes de prévention prévus dans le contrat responsable à savoir: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I.  Scellement prophylactique des puits, sillons et fissures (SC8), sous réserve que l'acte soit effectué sur les première et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deuxième molaires permanentes, qu'il n'intervienne qu'une fois par dent et qu'il soit réalisé en cas de risques carieux et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avant le quatorzième anniversaire. </w:t>
      </w:r>
    </w:p>
    <w:p>
      <w:pPr>
        <w:autoSpaceDN w:val="0"/>
        <w:autoSpaceDE w:val="0"/>
        <w:widowControl/>
        <w:spacing w:line="190" w:lineRule="auto" w:before="0" w:after="0"/>
        <w:ind w:left="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II. Un détartrage annuel complet sus- et sous-gingival, effectué en deux séances maximum (SC12). 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III.  Bilan du langage oral et/ou bilan d'aptitudes à l'acquisition du langage écrit (AMO24), à condition qu'il s'agisse d'un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premier bilan réalisé chez un enfant de moins de quatorze ans. </w:t>
      </w:r>
    </w:p>
    <w:p>
      <w:pPr>
        <w:autoSpaceDN w:val="0"/>
        <w:tabs>
          <w:tab w:pos="9938" w:val="left"/>
        </w:tabs>
        <w:autoSpaceDE w:val="0"/>
        <w:widowControl/>
        <w:spacing w:line="245" w:lineRule="auto" w:before="234" w:after="0"/>
        <w:ind w:left="9790" w:right="288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7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type w:val="continuous"/>
          <w:pgSz w:w="11906" w:h="16838"/>
          <w:pgMar w:top="178" w:right="198" w:bottom="76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sectPr>
          <w:pgSz w:w="11906" w:h="16838"/>
          <w:pgMar w:top="178" w:right="198" w:bottom="76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78" w:right="198" w:bottom="76" w:left="566" w:header="720" w:footer="720" w:gutter="0"/>
          <w:cols w:num="2" w:equalWidth="0">
            <w:col w:w="4744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09" cy="94996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2"/>
        <w:sectPr>
          <w:type w:val="nextColumn"/>
          <w:pgSz w:w="11906" w:h="16838"/>
          <w:pgMar w:top="178" w:right="198" w:bottom="76" w:left="566" w:header="720" w:footer="720" w:gutter="0"/>
          <w:cols w:num="2" w:equalWidth="0">
            <w:col w:w="4744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auto" w:before="0" w:after="0"/>
        <w:ind w:left="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IV. Dépistage de l'hépatite B (codes NABM 4713, 4714, 0323, 0351). 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V. Dépistage une fois tous les cinq ans des troubles de l'audition chez les personnes âgées de plus de 50 ans pour un des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actes suivants :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a) Audiométrie tonale ou vocale (CDQP010) ;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b) Audiométrie tonale avec tympanométrie (CDQP015) ;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c) Audiométrie vocale dans le bruit (CDQP011) ;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d) Audiométrie tonale et vocale (CDQP012) ;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e) Audiométrie tonale et vocale avec tympanométrie (CDQP002). </w:t>
      </w:r>
    </w:p>
    <w:p>
      <w:pPr>
        <w:autoSpaceDN w:val="0"/>
        <w:autoSpaceDE w:val="0"/>
        <w:widowControl/>
        <w:spacing w:line="245" w:lineRule="auto" w:before="0" w:after="0"/>
        <w:ind w:left="0" w:right="32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VI. L'acte d'ostéodensitométrie remboursable par l'assurance maladie obligatoire ; sans préjudice des conditions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d'inscription de l'acte sur la liste mentionnée à l'article L. 162-1-7, la prise en charge au titre du présent arrêté est limitée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aux femmes de plus de cinquante ans, une fois tous les six ans. 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VII. Les vaccinations suivantes, seules ou combinées :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a) Diphtérie, tétanos et poliomyélite : tous âges ;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b) Coqueluche : avant 14 ans ;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c) Hépatite B : avant 14 ans ;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d) BCG : avant 6 ans ;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e) Rubéole pour les adolescentes qui n'ont pas été vaccinées et pour les femmes non immunisées désirant un enfant;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f) Haemophilus influenzae B ;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g) Vaccination contre les infections invasives à pneumocoques pour les enfants de moins de dix-huit mois. </w:t>
      </w:r>
    </w:p>
    <w:p>
      <w:pPr>
        <w:autoSpaceDN w:val="0"/>
        <w:autoSpaceDE w:val="0"/>
        <w:widowControl/>
        <w:spacing w:line="190" w:lineRule="auto" w:before="208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11.4. Hospitalisation </w:t>
      </w:r>
    </w:p>
    <w:p>
      <w:pPr>
        <w:autoSpaceDN w:val="0"/>
        <w:autoSpaceDE w:val="0"/>
        <w:widowControl/>
        <w:spacing w:line="245" w:lineRule="auto" w:before="222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forfait journalier hospitalier, mentionné dans le descriptif de prestations du poste hospitalisation, correspond au forfait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journalier prévu à l’article L. 174-4 du Code de la Sécurité sociale fixé par arrêté. </w:t>
      </w:r>
    </w:p>
    <w:p>
      <w:pPr>
        <w:autoSpaceDN w:val="0"/>
        <w:tabs>
          <w:tab w:pos="284" w:val="left"/>
          <w:tab w:pos="348" w:val="left"/>
        </w:tabs>
        <w:autoSpaceDE w:val="0"/>
        <w:widowControl/>
        <w:spacing w:line="245" w:lineRule="auto" w:before="228" w:after="0"/>
        <w:ind w:left="0" w:right="2592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Seuls sont pris en charge les soins et séjours effectués au sein des établissements sanitaires :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établissements de médecine, chirurgie, obstétrique ;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établissements et unités spécialisés :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63363"/>
          <w:sz w:val="24"/>
        </w:rPr>
        <w:t>–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psychiatrie,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63363"/>
          <w:sz w:val="24"/>
        </w:rPr>
        <w:t>–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soins de suite,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63363"/>
          <w:sz w:val="24"/>
        </w:rPr>
        <w:t>–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réadaptation. </w:t>
      </w:r>
    </w:p>
    <w:p>
      <w:pPr>
        <w:autoSpaceDN w:val="0"/>
        <w:autoSpaceDE w:val="0"/>
        <w:widowControl/>
        <w:spacing w:line="245" w:lineRule="auto" w:before="208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Pour pouvoir être indemnisé, le séjour doit donner lieu en outre à facturation du forfait journalier (sauf dans le cas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l’hospitalisation à domicile). </w:t>
      </w:r>
    </w:p>
    <w:p>
      <w:pPr>
        <w:autoSpaceDN w:val="0"/>
        <w:autoSpaceDE w:val="0"/>
        <w:widowControl/>
        <w:spacing w:line="245" w:lineRule="auto" w:before="0" w:after="0"/>
        <w:ind w:left="0" w:right="32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séjours en établissements ou unités spécialisées sont pris en charge même s’ils ne font pas suite à une hospitalisation.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prestations et séjours effectués au sein des établissements médico-sociaux, gérontologie, en unités de soins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longue durée (USLD), en établissements d’hébergement pour personnes âgées ne sont pas prises en charge. </w:t>
      </w:r>
    </w:p>
    <w:p>
      <w:pPr>
        <w:autoSpaceDN w:val="0"/>
        <w:autoSpaceDE w:val="0"/>
        <w:widowControl/>
        <w:spacing w:line="245" w:lineRule="auto" w:before="228" w:after="0"/>
        <w:ind w:left="0" w:right="288" w:firstLine="0"/>
        <w:jc w:val="left"/>
      </w:pPr>
      <w:r>
        <w:rPr>
          <w:rFonts w:ascii="Poppins" w:hAnsi="Poppins" w:eastAsia="Poppins"/>
          <w:b/>
          <w:i w:val="0"/>
          <w:color w:val="000000"/>
          <w:sz w:val="18"/>
        </w:rPr>
        <w:t xml:space="preserve">Sauf en cas d’hospitalisation consécutive à un accident, les remboursements sont exclusivement limités à la prise en 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charge du Ticket Modérateur et du forfait hospitalier les 30 premiers jours suivant la prise d’effet de l’adhésion. </w:t>
      </w:r>
    </w:p>
    <w:p>
      <w:pPr>
        <w:autoSpaceDN w:val="0"/>
        <w:autoSpaceDE w:val="0"/>
        <w:widowControl/>
        <w:spacing w:line="245" w:lineRule="auto" w:before="228" w:after="0"/>
        <w:ind w:left="0" w:right="32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prise en charge de la chambre particulière est limitée à 30 jours par an en hospitalisation médicale, chirurgicale ou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obstétrique, et pour les séjours en soins de suite (maison de repos, de convalescence ou de rééducation…) consécutifs à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une hospitalisation. </w:t>
      </w:r>
    </w:p>
    <w:p>
      <w:pPr>
        <w:autoSpaceDN w:val="0"/>
        <w:autoSpaceDE w:val="0"/>
        <w:widowControl/>
        <w:spacing w:line="245" w:lineRule="auto" w:before="0" w:after="0"/>
        <w:ind w:left="0" w:right="336" w:firstLine="0"/>
        <w:jc w:val="both"/>
      </w:pPr>
      <w:r>
        <w:rPr>
          <w:rFonts w:ascii="Poppins" w:hAnsi="Poppins" w:eastAsia="Poppins"/>
          <w:b/>
          <w:i w:val="0"/>
          <w:color w:val="000000"/>
          <w:sz w:val="18"/>
        </w:rPr>
        <w:t xml:space="preserve">SONT EXCLUS de la garantie : séjours en gérontologie, les séjours en unités de soins de longue durée (USLD), les 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établissements d’hébergement pour personnes âgées, les établissements médicosociaux, les établissements ne 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relevant pas des soins de suite et de réadaptations (SSR), les séjours en milieu spécialisé (psychiatrie, cures de 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désintoxication en cas d’alcoolisme ou de toxicomanie), en maison de repos, de convalescence ou de rééducation 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(non consécutifs à une hospitalisation). </w:t>
      </w:r>
    </w:p>
    <w:p>
      <w:pPr>
        <w:autoSpaceDN w:val="0"/>
        <w:autoSpaceDE w:val="0"/>
        <w:widowControl/>
        <w:spacing w:line="190" w:lineRule="auto" w:before="228" w:after="0"/>
        <w:ind w:left="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hospitalisations en ambulatoire ne donnent pas lieu à la prise en charge de la chambre particulière. </w:t>
      </w:r>
    </w:p>
    <w:p>
      <w:pPr>
        <w:autoSpaceDN w:val="0"/>
        <w:autoSpaceDE w:val="0"/>
        <w:widowControl/>
        <w:spacing w:line="245" w:lineRule="auto" w:before="228" w:after="0"/>
        <w:ind w:left="0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Confort Hospitalier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frais pris en charge sont les frais de télévision, téléphone et internet, en cas d’hospitalisation de plus de 2 jours, à la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suite d’une maladie ou d’un accident. Le remboursement s’entend par jour et dans la limite de 15 jours par an. </w:t>
      </w:r>
    </w:p>
    <w:p>
      <w:pPr>
        <w:autoSpaceDN w:val="0"/>
        <w:tabs>
          <w:tab w:pos="9924" w:val="left"/>
        </w:tabs>
        <w:autoSpaceDE w:val="0"/>
        <w:widowControl/>
        <w:spacing w:line="245" w:lineRule="auto" w:before="1194" w:after="0"/>
        <w:ind w:left="9790" w:right="288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8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type w:val="continuous"/>
          <w:pgSz w:w="11906" w:h="16838"/>
          <w:pgMar w:top="178" w:right="198" w:bottom="76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sectPr>
          <w:pgSz w:w="11906" w:h="16838"/>
          <w:pgMar w:top="178" w:right="198" w:bottom="76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2" w:lineRule="auto" w:before="294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11.5. Optique </w:t>
      </w:r>
    </w:p>
    <w:p>
      <w:pPr>
        <w:sectPr>
          <w:type w:val="continuous"/>
          <w:pgSz w:w="11906" w:h="16838"/>
          <w:pgMar w:top="178" w:right="198" w:bottom="76" w:left="566" w:header="720" w:footer="720" w:gutter="0"/>
          <w:cols w:num="2" w:equalWidth="0">
            <w:col w:w="4744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09" cy="94996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32"/>
        <w:sectPr>
          <w:type w:val="nextColumn"/>
          <w:pgSz w:w="11906" w:h="16838"/>
          <w:pgMar w:top="178" w:right="198" w:bottom="76" w:left="566" w:header="720" w:footer="720" w:gutter="0"/>
          <w:cols w:num="2" w:equalWidth="0">
            <w:col w:w="4744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forfaits mentionnés dans le tableau de garanties sont exprimés par an et par bénéficiaire et soumis à prise en charge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du régime obligatoire. Les montants indiqués comprennent la prise en charge de la monture dans la limite de  100€. </w:t>
      </w:r>
    </w:p>
    <w:p>
      <w:pPr>
        <w:autoSpaceDN w:val="0"/>
        <w:autoSpaceDE w:val="0"/>
        <w:widowControl/>
        <w:spacing w:line="192" w:lineRule="auto" w:before="208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11.6. Dentaire </w:t>
      </w:r>
    </w:p>
    <w:p>
      <w:pPr>
        <w:autoSpaceDN w:val="0"/>
        <w:autoSpaceDE w:val="0"/>
        <w:widowControl/>
        <w:spacing w:line="245" w:lineRule="auto" w:before="220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Pour les formules 3, 4 et 5 bénéficiant d’un plafond de remboursement, la prise en charge sera limitée au ticket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modérateur au-delà des plafonds indiqués. </w:t>
      </w:r>
    </w:p>
    <w:p>
      <w:pPr>
        <w:autoSpaceDN w:val="0"/>
        <w:autoSpaceDE w:val="0"/>
        <w:widowControl/>
        <w:spacing w:line="190" w:lineRule="auto" w:before="0" w:after="0"/>
        <w:ind w:left="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Ils s’appliquent sur tous vos actes dentaires hors soins, y compris ceux du panier 100% Santé. </w:t>
      </w:r>
    </w:p>
    <w:p>
      <w:pPr>
        <w:autoSpaceDN w:val="0"/>
        <w:autoSpaceDE w:val="0"/>
        <w:widowControl/>
        <w:spacing w:line="192" w:lineRule="auto" w:before="208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11.7. Prothèse auditives </w:t>
      </w:r>
    </w:p>
    <w:p>
      <w:pPr>
        <w:autoSpaceDN w:val="0"/>
        <w:autoSpaceDE w:val="0"/>
        <w:widowControl/>
        <w:spacing w:line="245" w:lineRule="auto" w:before="220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forfait appareillages et prothèse auditive s’entend pour les deux oreilles et par assuré. Celui-ci pourra être versés en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complément du remboursement effectué par le régime obligatoire et dans la limite des frais engagés. </w:t>
      </w:r>
    </w:p>
    <w:p>
      <w:pPr>
        <w:autoSpaceDN w:val="0"/>
        <w:autoSpaceDE w:val="0"/>
        <w:widowControl/>
        <w:spacing w:line="190" w:lineRule="auto" w:before="208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11.8. Options </w:t>
      </w:r>
    </w:p>
    <w:p>
      <w:pPr>
        <w:autoSpaceDN w:val="0"/>
        <w:autoSpaceDE w:val="0"/>
        <w:widowControl/>
        <w:spacing w:line="245" w:lineRule="auto" w:before="222" w:after="0"/>
        <w:ind w:left="0" w:right="324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L’adhérant à la possibilité de choisir de souscrire ou non aux options A et B afin de correspondre au mieux à son besoin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et à sa situation. Ces options sont disponibles de la formule 2 à la formule 5 et permettent de bénéficier d’une réduction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cotisation. </w:t>
      </w:r>
    </w:p>
    <w:p>
      <w:pPr>
        <w:autoSpaceDN w:val="0"/>
        <w:autoSpaceDE w:val="0"/>
        <w:widowControl/>
        <w:spacing w:line="245" w:lineRule="auto" w:before="228" w:after="0"/>
        <w:ind w:left="0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Option A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L’Option A concerne les garanties Chambre particulière et Médicaments prescrits et non pris en charge par le régime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obligatoire. Les garanties mentionnées ne sont plus prises en charge quel que soit la formule choisie par l’adhérent. </w:t>
      </w:r>
    </w:p>
    <w:p>
      <w:pPr>
        <w:autoSpaceDN w:val="0"/>
        <w:autoSpaceDE w:val="0"/>
        <w:widowControl/>
        <w:spacing w:line="245" w:lineRule="auto" w:before="228" w:after="0"/>
        <w:ind w:left="0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Option B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L’Option B concerne les garanties Chambre particulière et Médicaments prescrits et non pris en charge par le régime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obligatoire, l’ensemble des garanties optiques (hors 100% Santé), l’ensemble des garanties dentaires (hors orthodontie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prise en charge par le régime Obligatoire et hors soins et prothèses 100% Santé) et l’ensemble des garanties Prothèse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auditives (hors 100% Santé) Les garanties mentionnées ne sont plus pris en charge quel que soit la formule choisie par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l’adhérent. </w:t>
      </w:r>
    </w:p>
    <w:p>
      <w:pPr>
        <w:autoSpaceDN w:val="0"/>
        <w:tabs>
          <w:tab w:pos="284" w:val="left"/>
        </w:tabs>
        <w:autoSpaceDE w:val="0"/>
        <w:widowControl/>
        <w:spacing w:line="245" w:lineRule="auto" w:before="228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Selon les garanties, les montants de remboursements sont exprimés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Soit, en inclusion du tarif en vigueur fixé par le Régime Obligatoire (Base de remboursement de la Sécurité Sociale),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Soit, en pourcentage du tarif de responsabilité en vigueur fixé par le Régime Obligatoire : Tarif de Convention (TC) en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secteur conventionné ou Tarif d’Autorité (TA) en secteur non conventionné,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Soit en Frais réels (FR),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Soit par un forfait exprimé en euros. Ces montants représentent des plafonds de garantie qui incluent la prise en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charge du ticket modérateur. Sur la majorité des postes, les plafonds sont exprimés par année d’adhésion et par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bénéficiaire. Ils se renouvellent chaque année à la date d’échéance de l’adhésion et ne sont pas cumulables d’une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année sur l’autre. Si ce plafond est atteint, seuls les actes remboursés par le Régime Obligatoire seront pris en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charge à 100 % du tarif de responsabilité. </w:t>
      </w:r>
    </w:p>
    <w:p>
      <w:pPr>
        <w:autoSpaceDN w:val="0"/>
        <w:autoSpaceDE w:val="0"/>
        <w:widowControl/>
        <w:spacing w:line="245" w:lineRule="auto" w:before="228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Seuls les équipements « optique » s’apprécient sur une période de deux ans et les équipements « aides auditives »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s’apprécient sur une période de quatre ans. </w:t>
      </w:r>
    </w:p>
    <w:p>
      <w:pPr>
        <w:autoSpaceDN w:val="0"/>
        <w:autoSpaceDE w:val="0"/>
        <w:widowControl/>
        <w:spacing w:line="190" w:lineRule="auto" w:before="228" w:after="0"/>
        <w:ind w:left="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tarif en vigueur auquel se réfère l’Assureur pour le calcul des prestations est celui en vigueur à la date des soins. </w:t>
      </w:r>
    </w:p>
    <w:p>
      <w:pPr>
        <w:autoSpaceDN w:val="0"/>
        <w:autoSpaceDE w:val="0"/>
        <w:widowControl/>
        <w:spacing w:line="245" w:lineRule="auto" w:before="228" w:after="0"/>
        <w:ind w:left="0" w:right="326" w:firstLine="0"/>
        <w:jc w:val="both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Dans tous les cas, les remboursements sont limités au montant des frais réellement engagés. De convention expresse,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l’Assureur est de plein droit habilité à limiter ou contester sa prise en charge en cas de non-respect des règles du Code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de déontologie médicale. </w:t>
      </w:r>
    </w:p>
    <w:p>
      <w:pPr>
        <w:autoSpaceDN w:val="0"/>
        <w:tabs>
          <w:tab w:pos="9926" w:val="left"/>
        </w:tabs>
        <w:autoSpaceDE w:val="0"/>
        <w:widowControl/>
        <w:spacing w:line="245" w:lineRule="auto" w:before="1914" w:after="0"/>
        <w:ind w:left="9790" w:right="288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9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type w:val="continuous"/>
          <w:pgSz w:w="11906" w:h="16838"/>
          <w:pgMar w:top="178" w:right="198" w:bottom="76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5639"/>
        <w:gridCol w:w="5639"/>
      </w:tblGrid>
      <w:tr>
        <w:trPr>
          <w:trHeight w:hRule="exact" w:val="1482"/>
        </w:trPr>
        <w:tc>
          <w:tcPr>
            <w:tcW w:type="dxa" w:w="47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19250" cy="634999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6349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658109" cy="94996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09" cy="949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36"/>
        </w:trPr>
        <w:tc>
          <w:tcPr>
            <w:tcW w:type="dxa" w:w="11142"/>
            <w:gridSpan w:val="2"/>
            <w:tcBorders>
              <w:bottom w:sz="12.0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2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4"/>
              </w:rPr>
              <w:t xml:space="preserve">ARTICLE 12 - PRÉCONISATION SUR L’APPLICATION DU 100% SANTÉ </w:t>
            </w:r>
          </w:p>
        </w:tc>
      </w:tr>
    </w:tbl>
    <w:p>
      <w:pPr>
        <w:autoSpaceDN w:val="0"/>
        <w:autoSpaceDE w:val="0"/>
        <w:widowControl/>
        <w:spacing w:line="259" w:lineRule="auto" w:before="240" w:after="160"/>
        <w:ind w:left="136" w:right="936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12.1. Optique </w:t>
      </w:r>
      <w:r>
        <w:br/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>12.1.1. Généralités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5639"/>
        <w:gridCol w:w="5639"/>
      </w:tblGrid>
      <w:tr>
        <w:trPr>
          <w:trHeight w:hRule="exact" w:val="544"/>
        </w:trPr>
        <w:tc>
          <w:tcPr>
            <w:tcW w:type="dxa" w:w="1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86" w:right="4608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L’équipement optique est composé de deux verres et d’une monture.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Deux classes d’équipement optique sont ainsi définies : </w:t>
            </w:r>
          </w:p>
        </w:tc>
      </w:tr>
      <w:tr>
        <w:trPr>
          <w:trHeight w:hRule="exact" w:val="24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2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10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/>
                <w:i w:val="0"/>
                <w:color w:val="000000"/>
                <w:sz w:val="18"/>
              </w:rPr>
              <w:t>L’équipement optique de « classe A »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 est sans reste à charge pour l’assuré : cet équipement est remboursé aux </w:t>
            </w:r>
          </w:p>
        </w:tc>
      </w:tr>
      <w:tr>
        <w:trPr>
          <w:trHeight w:hRule="exact" w:val="480"/>
        </w:trPr>
        <w:tc>
          <w:tcPr>
            <w:tcW w:type="dxa" w:w="1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06" w:right="144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frais réels dans la limite des prix limites de vente qui s’imposent aux opticiens pour l’application du « 100% santé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». </w:t>
            </w:r>
          </w:p>
        </w:tc>
      </w:tr>
      <w:tr>
        <w:trPr>
          <w:trHeight w:hRule="exact" w:val="24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2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10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12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8"/>
              </w:rPr>
              <w:t>L’équipement optique de « classe B »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 : cet équipement est remboursé dans le respect des planchers et </w:t>
            </w:r>
          </w:p>
        </w:tc>
      </w:tr>
      <w:tr>
        <w:trPr>
          <w:trHeight w:hRule="exact" w:val="720"/>
        </w:trPr>
        <w:tc>
          <w:tcPr>
            <w:tcW w:type="dxa" w:w="1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06" w:right="288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plafonds prévus dans le cadre du contrat responsable et dans les limites des garanties mentionnées dans le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tableau de garanties. </w:t>
            </w:r>
          </w:p>
          <w:p>
            <w:pPr>
              <w:autoSpaceDN w:val="0"/>
              <w:autoSpaceDE w:val="0"/>
              <w:widowControl/>
              <w:spacing w:line="190" w:lineRule="auto" w:before="0" w:after="0"/>
              <w:ind w:left="8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8"/>
              </w:rPr>
              <w:t xml:space="preserve">Les éléments de ces équipements peuvent être mixés comme suit : </w:t>
            </w:r>
          </w:p>
        </w:tc>
      </w:tr>
      <w:tr>
        <w:trPr>
          <w:trHeight w:hRule="exact" w:val="24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2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10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12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8"/>
              </w:rPr>
              <w:t xml:space="preserve">Soit deux verres de « classe A » et une monture de « classe B », </w:t>
            </w:r>
          </w:p>
        </w:tc>
      </w:tr>
      <w:tr>
        <w:trPr>
          <w:trHeight w:hRule="exact" w:val="24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2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10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12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8"/>
              </w:rPr>
              <w:t xml:space="preserve">Soit deux verres de « classe B » et une monture de « classe A ». </w:t>
            </w:r>
          </w:p>
        </w:tc>
      </w:tr>
      <w:tr>
        <w:trPr>
          <w:trHeight w:hRule="exact" w:val="1750"/>
        </w:trPr>
        <w:tc>
          <w:tcPr>
            <w:tcW w:type="dxa" w:w="1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6" w:right="162" w:firstLine="0"/>
              <w:jc w:val="both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Si le tableau de garanties mentionne un forfait unique, le remboursement de l’élément de « classe B » se fera dans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8"/>
              </w:rPr>
              <w:t xml:space="preserve">la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8"/>
              </w:rPr>
              <w:t>limite du plafond de « classe B »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 correspondant à la correction visuelle du bénéficiaire de l’équipement, déduction faite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du remboursement de l’élément de « classe A ».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" w:right="152" w:firstLine="0"/>
              <w:jc w:val="both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Si le tableau de garanties mentionne un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8"/>
              </w:rPr>
              <w:t>forfait dédié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 à chaque composante de l’équipement (verres ou monture), alors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la prise en charge s’effectue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8"/>
              </w:rPr>
              <w:t>dans la limite de ces forfaits pour chaque composante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. Les verres neutres (c’est-à-dire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sans correction dont la dioptrie égale à 0) sont exclus hors condition d’appairage. </w:t>
            </w:r>
          </w:p>
          <w:p>
            <w:pPr>
              <w:autoSpaceDN w:val="0"/>
              <w:autoSpaceDE w:val="0"/>
              <w:widowControl/>
              <w:spacing w:line="190" w:lineRule="auto" w:before="0" w:after="0"/>
              <w:ind w:left="8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Les verres simples, complexes ou très complexes sont ainsi définis : </w:t>
            </w:r>
          </w:p>
        </w:tc>
      </w:tr>
    </w:tbl>
    <w:p>
      <w:pPr>
        <w:autoSpaceDN w:val="0"/>
        <w:autoSpaceDE w:val="0"/>
        <w:widowControl/>
        <w:spacing w:line="3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278"/>
      </w:tblGrid>
      <w:tr>
        <w:trPr>
          <w:trHeight w:hRule="exact" w:val="5830"/>
        </w:trPr>
        <w:tc>
          <w:tcPr>
            <w:tcW w:type="dxa" w:w="11018"/>
            <w:tcBorders>
              <w:start w:sz="11.199999999999989" w:val="single" w:color="#BAC500"/>
              <w:top w:sz="11.199999999999818" w:val="single" w:color="#BAC500"/>
              <w:end w:sz="11.199999999999818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7"/>
              </w:rPr>
              <w:t xml:space="preserve">VERRES SIMPLES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Verre unifocal sphérique dont la sphère est comprise entre – 6,00 et + 6,00 dioptries,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Verre unifocal sphéro-cylindrique dont la sphère est comprise entre – 6,00 et 0 dioptries et dont le cylindre est inférieur ou égal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à + 4,00 dioptries,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Verre unifocal sphéro-cylindrique dont la sphère est positive et dont la somme S (sphère + cylindre) est inférieure ou égale à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6,00 dioptries. </w:t>
            </w:r>
          </w:p>
          <w:p>
            <w:pPr>
              <w:autoSpaceDN w:val="0"/>
              <w:autoSpaceDE w:val="0"/>
              <w:widowControl/>
              <w:spacing w:line="245" w:lineRule="auto" w:before="2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7"/>
              </w:rPr>
              <w:t xml:space="preserve">VERRES COMPLEXES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Verre unifocal sphérique dont la sphère est hors zone de – 6,00 à + 6,00 dioptries,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Verre unifocal sphéro-cylindrique dont la sphère est comprise entre – 6,00 et 0 dioptries et dont le cylindre est supérieur à +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4,00 dioptries,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Verre unifocal sphéro-cylindrique dont la sphère est inférieure à – 6,00 dioptries et dont le cylindre est supérieur ou égal à 0,25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dioptrie,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Verre unifocal sphéro-cylindrique dont la sphère est positive et dont la somme S est supérieure à 6,00 dioptries, Verre multifocal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>ou progressif sphérique dont la sphère est comprise entre – 4,00 et + 4,00 dioptries, Verre multifocal ou progressif sphéro-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cylindrique dont la sphère est comprise entre – 8,00 et 0,00 dioptries et dont le cylindre est inférieur ou égal à + 4,00 dioptries,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Verre multifocal ou progressif sphéro-cylindrique dont la sphère est positive et dont la somme S est inférieure ou égale à 8,00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dioptries. </w:t>
            </w:r>
          </w:p>
          <w:p>
            <w:pPr>
              <w:autoSpaceDN w:val="0"/>
              <w:autoSpaceDE w:val="0"/>
              <w:widowControl/>
              <w:spacing w:line="245" w:lineRule="auto" w:before="2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7"/>
              </w:rPr>
              <w:t xml:space="preserve">VERRES TRÈS COMPLEXES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Verre multifocal ou progressif sphérique dont la sphère est hors zone de – 4,00 à + 4,00 dioptries, Verre multifocal ou progressif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sphéro-cylindrique dont la sphère est comprise entre – 8,00 et 0 dioptries et dont le cylindre est supérieur à + 4,00 dioptries,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Verre multifocal ou progressif sphéro-cylindrique dont la sphère est inférieure à – 8,00 dioptries et dont le cylindre est supérieur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ou égal à 0,25 dioptrie, *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Verre multifocal ou progressif sphéro-cylindrique dont la sphère est positive et dont la somme S est supérieure à 8,00 dioptries. </w:t>
            </w:r>
          </w:p>
          <w:p>
            <w:pPr>
              <w:autoSpaceDN w:val="0"/>
              <w:autoSpaceDE w:val="0"/>
              <w:widowControl/>
              <w:spacing w:line="190" w:lineRule="auto" w:before="2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>*Sphèr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>e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7"/>
              </w:rPr>
              <w:t xml:space="preserve"> supérieure à une dioptrie de I-8DI soit -9D </w:t>
            </w:r>
          </w:p>
        </w:tc>
      </w:tr>
    </w:tbl>
    <w:p>
      <w:pPr>
        <w:autoSpaceDN w:val="0"/>
        <w:tabs>
          <w:tab w:pos="10002" w:val="left"/>
        </w:tabs>
        <w:autoSpaceDE w:val="0"/>
        <w:widowControl/>
        <w:spacing w:line="245" w:lineRule="auto" w:before="2300" w:after="0"/>
        <w:ind w:left="9926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10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pgSz w:w="11906" w:h="16838"/>
          <w:pgMar w:top="178" w:right="198" w:bottom="76" w:left="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sectPr>
          <w:pgSz w:w="11906" w:h="16838"/>
          <w:pgMar w:top="178" w:right="198" w:bottom="76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78" w:right="198" w:bottom="76" w:left="566" w:header="720" w:footer="720" w:gutter="0"/>
          <w:cols w:num="2" w:equalWidth="0">
            <w:col w:w="4744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09" cy="94996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32"/>
        <w:sectPr>
          <w:type w:val="nextColumn"/>
          <w:pgSz w:w="11906" w:h="16838"/>
          <w:pgMar w:top="178" w:right="198" w:bottom="76" w:left="566" w:header="720" w:footer="720" w:gutter="0"/>
          <w:cols w:num="2" w:equalWidth="0">
            <w:col w:w="4744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auto" w:before="0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12.1.2. Les délais de renouvellement </w:t>
      </w:r>
    </w:p>
    <w:p>
      <w:pPr>
        <w:autoSpaceDN w:val="0"/>
        <w:autoSpaceDE w:val="0"/>
        <w:widowControl/>
        <w:spacing w:line="245" w:lineRule="auto" w:before="220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périodicité de renouvellement de l’équipement est appréciée à compter de la date de facturation du précédent </w:t>
      </w:r>
      <w:r>
        <w:rPr>
          <w:u w:val="single" w:color="bac500"/>
          <w:rFonts w:ascii="Poppins" w:hAnsi="Poppins" w:eastAsia="Poppins"/>
          <w:b w:val="0"/>
          <w:i w:val="0"/>
          <w:color w:val="000000"/>
          <w:sz w:val="18"/>
        </w:rPr>
        <w:t>équipement, ayant fait l’objet d’une pris</w:t>
      </w:r>
      <w:r>
        <w:rPr>
          <w:u w:val="single" w:color="bac500"/>
          <w:rFonts w:ascii="Poppins" w:hAnsi="Poppins" w:eastAsia="Poppins"/>
          <w:b w:val="0"/>
          <w:i w:val="0"/>
          <w:color w:val="000000"/>
          <w:sz w:val="18"/>
        </w:rPr>
        <w:t>e en charge par l’assurance maladie ob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ligatoire ou par l’organisme assureur.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14" w:type="dxa"/>
      </w:tblPr>
      <w:tblGrid>
        <w:gridCol w:w="3714"/>
        <w:gridCol w:w="3714"/>
        <w:gridCol w:w="3714"/>
      </w:tblGrid>
      <w:tr>
        <w:trPr>
          <w:trHeight w:hRule="exact" w:val="430"/>
        </w:trPr>
        <w:tc>
          <w:tcPr>
            <w:tcW w:type="dxa" w:w="3582"/>
            <w:tcBorders>
              <w:start w:sz="12.0" w:val="single" w:color="#BAC500"/>
              <w:end w:sz="12.0" w:val="single" w:color="#BAC500"/>
              <w:bottom w:sz="11.200000000000045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8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Bénéficiaires concernés </w:t>
            </w:r>
          </w:p>
        </w:tc>
        <w:tc>
          <w:tcPr>
            <w:tcW w:type="dxa" w:w="3582"/>
            <w:tcBorders>
              <w:start w:sz="12.0" w:val="single" w:color="#BAC500"/>
              <w:end w:sz="11.199999999999818" w:val="single" w:color="#BAC500"/>
              <w:bottom w:sz="11.200000000000045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8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Bénéficiaires de 16 ans et plus </w:t>
            </w:r>
          </w:p>
        </w:tc>
        <w:tc>
          <w:tcPr>
            <w:tcW w:type="dxa" w:w="3580"/>
            <w:tcBorders>
              <w:start w:sz="11.199999999999818" w:val="single" w:color="#BAC500"/>
              <w:top w:sz="11.200000000000045" w:val="single" w:color="#BAC500"/>
              <w:end w:sz="11.199999999999818" w:val="single" w:color="#BAC500"/>
              <w:bottom w:sz="11.200000000000045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4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Bénéficiaires de moins de 16 ans </w:t>
            </w:r>
          </w:p>
        </w:tc>
      </w:tr>
      <w:tr>
        <w:trPr>
          <w:trHeight w:hRule="exact" w:val="1278"/>
        </w:trPr>
        <w:tc>
          <w:tcPr>
            <w:tcW w:type="dxa" w:w="3582"/>
            <w:tcBorders>
              <w:start w:sz="12.0" w:val="single" w:color="#BAC500"/>
              <w:top w:sz="11.200000000000045" w:val="single" w:color="#BAC500"/>
              <w:end w:sz="12.0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94" w:right="288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Périodicité de renouvellement de droit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commun </w:t>
            </w:r>
          </w:p>
        </w:tc>
        <w:tc>
          <w:tcPr>
            <w:tcW w:type="dxa" w:w="3582"/>
            <w:tcBorders>
              <w:start w:sz="12.0" w:val="single" w:color="#BAC500"/>
              <w:top w:sz="11.200000000000045" w:val="single" w:color="#BAC500"/>
              <w:end w:sz="11.199999999999818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6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2 ans suivant la dernière facturation </w:t>
            </w:r>
          </w:p>
        </w:tc>
        <w:tc>
          <w:tcPr>
            <w:tcW w:type="dxa" w:w="3580"/>
            <w:tcBorders>
              <w:start w:sz="11.199999999999818" w:val="single" w:color="#BAC500"/>
              <w:top w:sz="11.200000000000045" w:val="single" w:color="#BAC500"/>
              <w:end w:sz="11.199999999999818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94" w:right="144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1 an suivant la dernière facturation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6 mois pour les enfants jusqu’à 6 ans en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cas de mauvaise adaptation de la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monture à la morphologie du visage 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14" w:type="dxa"/>
      </w:tblPr>
      <w:tblGrid>
        <w:gridCol w:w="3714"/>
        <w:gridCol w:w="3714"/>
        <w:gridCol w:w="3714"/>
      </w:tblGrid>
      <w:tr>
        <w:trPr>
          <w:trHeight w:hRule="exact" w:val="268"/>
        </w:trPr>
        <w:tc>
          <w:tcPr>
            <w:tcW w:type="dxa" w:w="10744"/>
            <w:gridSpan w:val="3"/>
            <w:tcBorders>
              <w:start w:sz="12.0" w:val="single" w:color="#BAC500"/>
              <w:top w:sz="11.200000000000045" w:val="single" w:color="#BAC500"/>
              <w:end w:sz="11.199999999999818" w:val="single" w:color="#BAC500"/>
              <w:bottom w:sz="11.199999999999818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6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Renouvellement anticipé en cas d’évolution de la vue </w:t>
            </w:r>
          </w:p>
        </w:tc>
      </w:tr>
      <w:tr>
        <w:trPr>
          <w:trHeight w:hRule="exact" w:val="794"/>
        </w:trPr>
        <w:tc>
          <w:tcPr>
            <w:tcW w:type="dxa" w:w="3580"/>
            <w:tcBorders>
              <w:start w:sz="12.0" w:val="single" w:color="#BAC500"/>
              <w:top w:sz="11.199999999999818" w:val="single" w:color="#BAC500"/>
              <w:end w:sz="11.200000000000045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94" w:right="1008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Périodicité de renouvellement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dérogatoire </w:t>
            </w:r>
          </w:p>
        </w:tc>
        <w:tc>
          <w:tcPr>
            <w:tcW w:type="dxa" w:w="3580"/>
            <w:tcBorders>
              <w:start w:sz="11.200000000000045" w:val="single" w:color="#BAC500"/>
              <w:top w:sz="11.199999999999818" w:val="single" w:color="#BAC500"/>
              <w:end w:sz="11.200000000000273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1 an pour le renouvellement de la prise en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charge d’un équipement complet (2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verres + la monture) </w:t>
            </w:r>
          </w:p>
        </w:tc>
        <w:tc>
          <w:tcPr>
            <w:tcW w:type="dxa" w:w="3584"/>
            <w:tcBorders>
              <w:start w:sz="11.200000000000273" w:val="single" w:color="#BAC500"/>
              <w:top w:sz="11.199999999999818" w:val="single" w:color="#BAC500"/>
              <w:end w:sz="11.199999999999818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94" w:right="144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Renouvellement de la prise en charge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possible sans délai pour l’acquisition de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verres. </w:t>
            </w:r>
          </w:p>
        </w:tc>
      </w:tr>
      <w:tr>
        <w:trPr>
          <w:trHeight w:hRule="exact" w:val="536"/>
        </w:trPr>
        <w:tc>
          <w:tcPr>
            <w:tcW w:type="dxa" w:w="3580"/>
            <w:tcBorders>
              <w:start w:sz="12.0" w:val="single" w:color="#BAC500"/>
              <w:top w:sz="12.0" w:val="single" w:color="#BAC500"/>
              <w:end w:sz="11.200000000000045" w:val="single" w:color="#BAC5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4"/>
            <w:gridSpan w:val="2"/>
            <w:tcBorders>
              <w:start w:sz="11.200000000000045" w:val="single" w:color="#BAC500"/>
              <w:top w:sz="12.0" w:val="single" w:color="#BAC500"/>
              <w:end w:sz="11.199999999999818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192" w:lineRule="auto" w:before="24" w:after="0"/>
              <w:ind w:left="45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Variation de la sphère ou du cylindre d’au moins 0,5 dioptrie d’un verre ou </w:t>
            </w:r>
          </w:p>
          <w:p>
            <w:pPr>
              <w:autoSpaceDN w:val="0"/>
              <w:autoSpaceDE w:val="0"/>
              <w:widowControl/>
              <w:spacing w:line="192" w:lineRule="auto" w:before="14" w:after="0"/>
              <w:ind w:left="81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d’au moins 0,25 dioptrie pour chacun des deux verres ;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14" w:type="dxa"/>
      </w:tblPr>
      <w:tblGrid>
        <w:gridCol w:w="3714"/>
        <w:gridCol w:w="3714"/>
        <w:gridCol w:w="3714"/>
      </w:tblGrid>
      <w:tr>
        <w:trPr>
          <w:trHeight w:hRule="exact" w:val="2822"/>
        </w:trPr>
        <w:tc>
          <w:tcPr>
            <w:tcW w:type="dxa" w:w="3580"/>
            <w:tcBorders>
              <w:start w:sz="12.0" w:val="single" w:color="#BAC500"/>
              <w:end w:sz="11.200000000000045" w:val="single" w:color="#BAC500"/>
              <w:bottom w:sz="11.20000000000027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10" w:after="0"/>
              <w:ind w:left="94" w:right="576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231F20"/>
                <w:sz w:val="16"/>
              </w:rPr>
              <w:t xml:space="preserve">Cas d’application de la périodicité </w:t>
            </w:r>
            <w:r>
              <w:rPr>
                <w:rFonts w:ascii="Poppins" w:hAnsi="Poppins" w:eastAsia="Poppins"/>
                <w:b w:val="0"/>
                <w:i w:val="0"/>
                <w:color w:val="231F20"/>
                <w:sz w:val="16"/>
              </w:rPr>
              <w:t xml:space="preserve">dérogatoire </w:t>
            </w:r>
          </w:p>
        </w:tc>
        <w:tc>
          <w:tcPr>
            <w:tcW w:type="dxa" w:w="7164"/>
            <w:gridSpan w:val="2"/>
            <w:tcBorders>
              <w:start w:sz="11.200000000000045" w:val="single" w:color="#BAC500"/>
              <w:end w:sz="11.199999999999818" w:val="single" w:color="#BAC500"/>
              <w:bottom w:sz="11.200000000000273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45" w:lineRule="auto" w:before="0" w:after="0"/>
              <w:ind w:left="45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Variation d’au moins 0,5 dioptrie de l’addition (pour un verre) ou d’au moins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0,25 dioptrie pour chacun des deux verres, en cas de presbytie et en </w:t>
            </w:r>
            <w:r>
              <w:br/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l’absence de variation de la vision de loin ;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Somme des variations (en valeur absolue) de loin et de près d’au moins 0,5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dioptrie (pour un verre), en cas de presbytie et en présence de variation de la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vision de loin ;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variation de l’axe du cylindre de plus de 20° pour un cylindre (+) inférieur ou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égal à 1,00 dioptrie ;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variation de l’axe du cylindre de plus de 10° pour un cylindre (+) de 1,25 à 4,00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dioptries ;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variation de l’axe du cylindre de plus de 5° pour un cylindre (+) &gt; 4,00 </w:t>
            </w:r>
            <w:r>
              <w:br/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dioptries. </w:t>
            </w:r>
          </w:p>
        </w:tc>
      </w:tr>
      <w:tr>
        <w:trPr>
          <w:trHeight w:hRule="exact" w:val="1634"/>
        </w:trPr>
        <w:tc>
          <w:tcPr>
            <w:tcW w:type="dxa" w:w="3580"/>
            <w:tcBorders>
              <w:start w:sz="12.0" w:val="single" w:color="#BAC500"/>
              <w:top w:sz="11.200000000000273" w:val="single" w:color="#BAC500"/>
              <w:end w:sz="11.200000000000045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4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Constatation de l’évolution de la vue </w:t>
            </w:r>
          </w:p>
        </w:tc>
        <w:tc>
          <w:tcPr>
            <w:tcW w:type="dxa" w:w="3580"/>
            <w:tcBorders>
              <w:start w:sz="11.200000000000045" w:val="single" w:color="#BAC500"/>
              <w:top w:sz="11.200000000000273" w:val="single" w:color="#BAC500"/>
              <w:end w:sz="11.200000000000273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94" w:right="144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Soit présentation à l’opticien d’une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nouvelle prescription médicale et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comparaison avec l’ancienne, soit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adaptation de la prescription médicale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par l’opticien-lunetier lors d’un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Renouvellement de délivrance. </w:t>
            </w:r>
          </w:p>
        </w:tc>
        <w:tc>
          <w:tcPr>
            <w:tcW w:type="dxa" w:w="3584"/>
            <w:tcBorders>
              <w:start w:sz="11.200000000000273" w:val="single" w:color="#BAC500"/>
              <w:top w:sz="11.200000000000273" w:val="single" w:color="#BAC500"/>
              <w:end w:sz="11.199999999999818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94" w:right="576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Sur présentation à l’opticien d’une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nouvelle prescription médicale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ophtalmologique. </w:t>
            </w:r>
          </w:p>
        </w:tc>
      </w:tr>
      <w:tr>
        <w:trPr>
          <w:trHeight w:hRule="exact" w:val="310"/>
        </w:trPr>
        <w:tc>
          <w:tcPr>
            <w:tcW w:type="dxa" w:w="10744"/>
            <w:gridSpan w:val="3"/>
            <w:tcBorders>
              <w:start w:sz="12.0" w:val="single" w:color="#BAC500"/>
              <w:top w:sz="12.0" w:val="single" w:color="#BAC500"/>
              <w:end w:sz="11.199999999999818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4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Renouvellement anticipé en cas d’évolution de la réfraction liée à des situations médicales particulières </w:t>
            </w:r>
          </w:p>
        </w:tc>
      </w:tr>
      <w:tr>
        <w:trPr>
          <w:trHeight w:hRule="exact" w:val="552"/>
        </w:trPr>
        <w:tc>
          <w:tcPr>
            <w:tcW w:type="dxa" w:w="3580"/>
            <w:tcBorders>
              <w:start w:sz="12.0" w:val="single" w:color="#BAC500"/>
              <w:top w:sz="12.0" w:val="single" w:color="#BAC500"/>
              <w:end w:sz="11.200000000000045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94" w:right="1008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Périodicité de renouvellement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dérogatoire </w:t>
            </w:r>
          </w:p>
        </w:tc>
        <w:tc>
          <w:tcPr>
            <w:tcW w:type="dxa" w:w="7164"/>
            <w:gridSpan w:val="2"/>
            <w:tcBorders>
              <w:start w:sz="11.200000000000045" w:val="single" w:color="#BAC500"/>
              <w:top w:sz="12.0" w:val="single" w:color="#BAC500"/>
              <w:end w:sz="11.199999999999818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4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Aucun délai de renouvellement des verres </w:t>
            </w:r>
          </w:p>
        </w:tc>
      </w:tr>
      <w:tr>
        <w:trPr>
          <w:trHeight w:hRule="exact" w:val="552"/>
        </w:trPr>
        <w:tc>
          <w:tcPr>
            <w:tcW w:type="dxa" w:w="3580"/>
            <w:tcBorders>
              <w:start w:sz="12.0" w:val="single" w:color="#BAC500"/>
              <w:top w:sz="12.0" w:val="single" w:color="#BAC500"/>
              <w:end w:sz="11.200000000000045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94" w:right="576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Cas d’application de la périodicité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dérogatoire </w:t>
            </w:r>
          </w:p>
        </w:tc>
        <w:tc>
          <w:tcPr>
            <w:tcW w:type="dxa" w:w="7164"/>
            <w:gridSpan w:val="2"/>
            <w:tcBorders>
              <w:start w:sz="11.200000000000045" w:val="single" w:color="#BAC500"/>
              <w:top w:sz="12.0" w:val="single" w:color="#BAC500"/>
              <w:end w:sz="11.199999999999818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Cf. liste des pathologies concernées dans l’arrêté du 3 décembre 2018 parue au JO du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13/12/2018. </w:t>
            </w:r>
          </w:p>
        </w:tc>
      </w:tr>
      <w:tr>
        <w:trPr>
          <w:trHeight w:hRule="exact" w:val="552"/>
        </w:trPr>
        <w:tc>
          <w:tcPr>
            <w:tcW w:type="dxa" w:w="3580"/>
            <w:tcBorders>
              <w:start w:sz="12.0" w:val="single" w:color="#BAC500"/>
              <w:top w:sz="12.0" w:val="single" w:color="#BAC500"/>
              <w:end w:sz="11.200000000000045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4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Constatation de l’évolution de la vue </w:t>
            </w:r>
          </w:p>
        </w:tc>
        <w:tc>
          <w:tcPr>
            <w:tcW w:type="dxa" w:w="7164"/>
            <w:gridSpan w:val="2"/>
            <w:tcBorders>
              <w:start w:sz="11.200000000000045" w:val="single" w:color="#BAC500"/>
              <w:top w:sz="12.0" w:val="single" w:color="#BAC500"/>
              <w:end w:sz="11.199999999999818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94" w:right="144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Présentation à l’opticien d’une nouvelle prescription médicale ophtalmologique avec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mention de l’existence d’une situation médicale particulière. </w:t>
            </w:r>
          </w:p>
        </w:tc>
      </w:tr>
    </w:tbl>
    <w:p>
      <w:pPr>
        <w:autoSpaceDN w:val="0"/>
        <w:autoSpaceDE w:val="0"/>
        <w:widowControl/>
        <w:spacing w:line="190" w:lineRule="auto" w:before="236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12.2. Dentaire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222" w:after="0"/>
        <w:ind w:left="0" w:right="432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Trois paniers de soins prothétiques sont ainsi définis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Un panier « 100% santé » (les soins prothétiques dentaires concernés sont définis dans l’arrêté du 24 mai 2019)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remboursé aux frais réels sans pouvoir excéder les honoraires limites de facturation qui s’imposent aux dentistes,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Un panier aux tarifs maîtrisés / modérés, remboursé sans pouvoir excéder les honoraires limites de facturation et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garanties prévues dans le tableau de garanties,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Un panier aux tarifs libres, permettant de choisir librement les techniques et les matériaux les plus sophistiqués,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remboursé dans la limite des garanties prévues dans le tableau de garanties. </w:t>
      </w:r>
    </w:p>
    <w:p>
      <w:pPr>
        <w:autoSpaceDN w:val="0"/>
        <w:tabs>
          <w:tab w:pos="9912" w:val="left"/>
        </w:tabs>
        <w:autoSpaceDE w:val="0"/>
        <w:widowControl/>
        <w:spacing w:line="245" w:lineRule="auto" w:before="978" w:after="0"/>
        <w:ind w:left="9790" w:right="288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11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type w:val="continuous"/>
          <w:pgSz w:w="11906" w:h="16838"/>
          <w:pgMar w:top="178" w:right="198" w:bottom="76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sectPr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2" w:lineRule="auto" w:before="294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12.3. Prothèse auditives </w:t>
      </w:r>
    </w:p>
    <w:p>
      <w:pPr>
        <w:sectPr>
          <w:type w:val="continuous"/>
          <w:pgSz w:w="11906" w:h="16838"/>
          <w:pgMar w:top="178" w:right="198" w:bottom="76" w:left="538" w:header="720" w:footer="720" w:gutter="0"/>
          <w:cols w:num="2" w:equalWidth="0">
            <w:col w:w="4772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09" cy="94996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32"/>
        <w:sectPr>
          <w:type w:val="nextColumn"/>
          <w:pgSz w:w="11906" w:h="16838"/>
          <w:pgMar w:top="178" w:right="198" w:bottom="76" w:left="538" w:header="720" w:footer="720" w:gutter="0"/>
          <w:cols w:num="2" w:equalWidth="0">
            <w:col w:w="4772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Deux classes d’équipement auditif sont ainsi définies :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L’équipement auditif de </w:t>
      </w:r>
      <w:r>
        <w:rPr>
          <w:rFonts w:ascii="Poppins" w:hAnsi="Poppins" w:eastAsia="Poppins"/>
          <w:b/>
          <w:i w:val="0"/>
          <w:color w:val="000000"/>
          <w:sz w:val="18"/>
        </w:rPr>
        <w:t>« classe I »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sans reste à charge :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cet équipement est remboursé aux frais réels sans pouvoir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excéder les prix limites de vente qui s’imposent aux audioprothésistes pour l’application du 100% santé. </w:t>
      </w:r>
    </w:p>
    <w:p>
      <w:pPr>
        <w:autoSpaceDN w:val="0"/>
        <w:autoSpaceDE w:val="0"/>
        <w:widowControl/>
        <w:spacing w:line="245" w:lineRule="auto" w:before="228" w:after="0"/>
        <w:ind w:left="28" w:right="32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L’équipement auditif de </w:t>
      </w:r>
      <w:r>
        <w:rPr>
          <w:rFonts w:ascii="Poppins" w:hAnsi="Poppins" w:eastAsia="Poppins"/>
          <w:b/>
          <w:i w:val="0"/>
          <w:color w:val="000000"/>
          <w:sz w:val="18"/>
        </w:rPr>
        <w:t>« classe II »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: cet équipement auditif est remboursé dans les conditions fixées dans le tableau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garanties, qui respectent le plafond de 1 700 euros prévu dans le cadre du contrat responsable.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Ce plafond n’inclut pas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les prestations annexes à l’aide auditive telles que le ticket modérateur des consommables, des piles ou des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>accessoires.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En revanche, ce plafond inclut systématiquement la prise en charge du ticket modérateur ainsi que la part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prise en charge par l’assurance maladie obligatoire. </w:t>
      </w:r>
    </w:p>
    <w:p>
      <w:pPr>
        <w:autoSpaceDN w:val="0"/>
        <w:autoSpaceDE w:val="0"/>
        <w:widowControl/>
        <w:spacing w:line="245" w:lineRule="auto" w:before="228" w:after="0"/>
        <w:ind w:left="28" w:right="322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prise en charge d’une aide auditive par oreille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>est limitée à une aide auditive tous les quatre (4) ans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suivant la date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facturation de l’aide auditive, ayant fait l’objet d’une prise en charge par l’assurance maladie obligatoire ou par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l’organisme assureur. </w:t>
      </w:r>
    </w:p>
    <w:p>
      <w:pPr>
        <w:autoSpaceDN w:val="0"/>
        <w:autoSpaceDE w:val="0"/>
        <w:widowControl/>
        <w:spacing w:line="190" w:lineRule="auto" w:before="0" w:after="0"/>
        <w:ind w:left="28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délai court indépendamment pour chaque équipement de chaque oreille. </w:t>
      </w:r>
    </w:p>
    <w:p>
      <w:pPr>
        <w:autoSpaceDN w:val="0"/>
        <w:autoSpaceDE w:val="0"/>
        <w:widowControl/>
        <w:spacing w:line="190" w:lineRule="auto" w:before="164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13 - CADRE JURIDIQUE DU CONTRAT DIT RESPONSABLE </w:t>
      </w:r>
    </w:p>
    <w:p>
      <w:pPr>
        <w:autoSpaceDN w:val="0"/>
        <w:autoSpaceDE w:val="0"/>
        <w:widowControl/>
        <w:spacing w:line="245" w:lineRule="auto" w:before="258" w:after="0"/>
        <w:ind w:left="28" w:right="32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Cette adhésion s’inscrit dans le cadre du dispositif législatif relatif aux contrats d’assurance complémentaire santé dits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« contrats responsables » (article 57 de la loi n°2004-810 du 13 août 2004 et différents décrets et arrêtés, modifiés par le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décret n°2019-21 du 11 janvier 2019 visant à garantir un accès sans reste à charge à certains équipements d’optique, aides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auditives et soins prothétiques dentaire). </w:t>
      </w:r>
    </w:p>
    <w:p>
      <w:pPr>
        <w:autoSpaceDN w:val="0"/>
        <w:autoSpaceDE w:val="0"/>
        <w:widowControl/>
        <w:spacing w:line="245" w:lineRule="auto" w:before="228" w:after="0"/>
        <w:ind w:left="28" w:right="324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Afin que le présent produit soit qualifié de « responsable », celui-ci ne prend pas en charge les conséquences financières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la baisse du taux de remboursement liées au non-respect du parcours de soins ainsi que les franchises médicales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laissées à la charge de l’adhérent pour les frais relatifs à certaines prestations et produits de santé pris en charge par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l’assurance maladie. </w:t>
      </w:r>
    </w:p>
    <w:p>
      <w:pPr>
        <w:autoSpaceDN w:val="0"/>
        <w:autoSpaceDE w:val="0"/>
        <w:widowControl/>
        <w:spacing w:line="190" w:lineRule="auto" w:before="228" w:after="0"/>
        <w:ind w:left="28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L’ensemble des actes de prévention prévu au titre de l’article R871-2 II du Code de la Sécurité sociale est pris en charge. </w:t>
      </w:r>
    </w:p>
    <w:p>
      <w:pPr>
        <w:autoSpaceDN w:val="0"/>
        <w:autoSpaceDE w:val="0"/>
        <w:widowControl/>
        <w:spacing w:line="245" w:lineRule="auto" w:before="228" w:after="0"/>
        <w:ind w:left="28" w:right="332" w:firstLine="0"/>
        <w:jc w:val="both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En cas d’évolution de la réglementation régissant les « contrats responsables », les garanties de la présente adhésion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feront l’objet de modifications pour rester en conformité avec ce cadre juridique, après information préalable de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l’adhérent. Le tarif pourra également être revu, à la hausse comme à la baisse, en fonction des modifications apportées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sur les garanties. </w:t>
      </w:r>
    </w:p>
    <w:p>
      <w:pPr>
        <w:autoSpaceDN w:val="0"/>
        <w:autoSpaceDE w:val="0"/>
        <w:widowControl/>
        <w:spacing w:line="190" w:lineRule="auto" w:before="406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14 - MODIFICATIONS DES GARANTIES </w:t>
      </w:r>
    </w:p>
    <w:p>
      <w:pPr>
        <w:autoSpaceDN w:val="0"/>
        <w:autoSpaceDE w:val="0"/>
        <w:widowControl/>
        <w:spacing w:line="192" w:lineRule="auto" w:before="23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14.1. A la demande de l’adhérent </w:t>
      </w:r>
    </w:p>
    <w:p>
      <w:pPr>
        <w:autoSpaceDN w:val="0"/>
        <w:autoSpaceDE w:val="0"/>
        <w:widowControl/>
        <w:spacing w:line="245" w:lineRule="auto" w:before="22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cours de vie de l’adhésion, l’adhérent peut demander la modification de son niveau de garantie, à la hausse ou à la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baisse, au plus tard TROIS (3) mois avant la date d’échéance de l’adhésion. </w:t>
      </w:r>
    </w:p>
    <w:p>
      <w:pPr>
        <w:autoSpaceDN w:val="0"/>
        <w:autoSpaceDE w:val="0"/>
        <w:widowControl/>
        <w:spacing w:line="190" w:lineRule="auto" w:before="228" w:after="0"/>
        <w:ind w:left="28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modification doit intervenir suivant la date d’effet de l’adhésion ou la date d’effet de l’avenant.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Au cours de la première année d’adhésion, l’adhérent a la faculté de modifier uniquement à la hausse ses choix de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garanties, ce choix devant nécessairement être maintenu jusqu’à la prochaine échéance de l’adhésion.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Au-delà de la première année d’adhésion, l’adhérent a la faculté de modifier uniquement à la baisse ses choix de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>garanties, ce choix devant nécessairement être maintenu jusqu’à la prochaine échéance de l’adhésion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Après acceptation par l’Adhérent, sous réserve, le cas échéant, du paiement effectif des cotisations correspondantes, la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modification des garanties prendra effet à la date mentionnée sur l’avenant correspondant.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tout état de cause, la modification du niveau de garantie s’appliquera à ses éventuels ayants droit.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Tout Accident ou Maladie, entraînant une Hospitalisation, ayant une date de survenance antérieure à la prise d’effet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de l’avenant, sera indemnisable, sous réserve de déclaration et d’acceptation par KIASSURE, sur la base des garanties </w:t>
      </w:r>
    </w:p>
    <w:p>
      <w:pPr>
        <w:autoSpaceDN w:val="0"/>
        <w:tabs>
          <w:tab w:pos="9904" w:val="left"/>
        </w:tabs>
        <w:autoSpaceDE w:val="0"/>
        <w:widowControl/>
        <w:spacing w:line="245" w:lineRule="auto" w:before="374" w:after="0"/>
        <w:ind w:left="981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12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type w:val="continuous"/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sectPr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78" w:right="198" w:bottom="76" w:left="538" w:header="720" w:footer="720" w:gutter="0"/>
          <w:cols w:num="2" w:equalWidth="0">
            <w:col w:w="4772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09" cy="94996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2"/>
        <w:sectPr>
          <w:type w:val="nextColumn"/>
          <w:pgSz w:w="11906" w:h="16838"/>
          <w:pgMar w:top="178" w:right="198" w:bottom="76" w:left="538" w:header="720" w:footer="720" w:gutter="0"/>
          <w:cols w:num="2" w:equalWidth="0">
            <w:col w:w="4772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acquises antérieurement à la prise d’effet de l’avenant, et ce pendant toute la durée du sinistre, y compris les rechutes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éventuelles (même pathologie). </w:t>
      </w:r>
    </w:p>
    <w:p>
      <w:pPr>
        <w:autoSpaceDN w:val="0"/>
        <w:autoSpaceDE w:val="0"/>
        <w:widowControl/>
        <w:spacing w:line="190" w:lineRule="auto" w:before="370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14.2. A l’initiative de l’assureur </w:t>
      </w:r>
    </w:p>
    <w:p>
      <w:pPr>
        <w:autoSpaceDN w:val="0"/>
        <w:autoSpaceDE w:val="0"/>
        <w:widowControl/>
        <w:spacing w:line="245" w:lineRule="auto" w:before="222" w:after="0"/>
        <w:ind w:left="28" w:right="32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cas d’évolution législative, règlementaire et/ou de l’intervention du régime de la Sécurité sociale, le contrat peut être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modifié en cours d’année. Les nouvelles conditions de garanties et/ou de cotisations prennent alors effet à la date d’effet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mentionnée sur la notification de la modification. </w:t>
      </w: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Jusqu’à la date d’effet de cette notification, les dispositions antérieures continuent à s’appliquer sauf si les nouvelles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dispositions sont d’ordre public et donc d’application immédiate. </w:t>
      </w: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même, si les résultats du contrat le nécessitent, l’organisme assureur propose un aménagement des garanties et/ou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une révision des cotisations. </w:t>
      </w: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L’organisme assureur adresse alors une notification au souscripteur au moins deux mois avant la date d’échéance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annuelle de l’adhésion. Les nouvelles conditions sont applicables au titre de la nouvelle échéance. </w:t>
      </w:r>
    </w:p>
    <w:p>
      <w:pPr>
        <w:autoSpaceDN w:val="0"/>
        <w:autoSpaceDE w:val="0"/>
        <w:widowControl/>
        <w:spacing w:line="245" w:lineRule="auto" w:before="0" w:after="0"/>
        <w:ind w:left="28" w:right="32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cas de modification des garanties et/ou de révision des cotisations telle que mentionnée aux alinéas précédents, le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souscripteur peut toujours refuser la proposition de l’organisme assureur dans les trente (30) jours qui suivent la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réception dudit courrier en envoyant sa demande de résiliation par l’un des moyens exposés à l’article 6 « Résiliation du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contrat ». Le contrat est alors résilié dans les dix (10) jours suivants. </w:t>
      </w:r>
    </w:p>
    <w:p>
      <w:pPr>
        <w:autoSpaceDN w:val="0"/>
        <w:autoSpaceDE w:val="0"/>
        <w:widowControl/>
        <w:spacing w:line="245" w:lineRule="auto" w:before="0" w:after="0"/>
        <w:ind w:left="28" w:right="334" w:firstLine="0"/>
        <w:jc w:val="both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En cas d’absence de réponse dans les trente (30) jours de la notification, l’organisme assureur considérera que le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souscripteur a accepté les nouvelles conditions. Elles prendront effet à la date de modification mentionnée sur le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courrier. </w:t>
      </w:r>
    </w:p>
    <w:p>
      <w:pPr>
        <w:autoSpaceDN w:val="0"/>
        <w:autoSpaceDE w:val="0"/>
        <w:widowControl/>
        <w:spacing w:line="190" w:lineRule="auto" w:before="0" w:after="0"/>
        <w:ind w:left="28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Jusqu’à la date d’effet de la modification du contrat, les dispositions antérieures continuent à s’appliquer au contrat. </w:t>
      </w:r>
    </w:p>
    <w:p>
      <w:pPr>
        <w:autoSpaceDN w:val="0"/>
        <w:autoSpaceDE w:val="0"/>
        <w:widowControl/>
        <w:spacing w:line="190" w:lineRule="auto" w:before="324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15 - AJOUT OU SORTIE DES AYANTS DROIT </w:t>
      </w:r>
    </w:p>
    <w:p>
      <w:pPr>
        <w:autoSpaceDN w:val="0"/>
        <w:autoSpaceDE w:val="0"/>
        <w:widowControl/>
        <w:spacing w:line="192" w:lineRule="auto" w:before="236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15.1. A l’échéance principale </w:t>
      </w:r>
    </w:p>
    <w:p>
      <w:pPr>
        <w:autoSpaceDN w:val="0"/>
        <w:autoSpaceDE w:val="0"/>
        <w:widowControl/>
        <w:spacing w:line="245" w:lineRule="auto" w:before="222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L’adhérent a la possibilité de demander l’ajout ou la sortie d’un ayant droit par écrit et 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au plus tard 2 (deux) mois avant </w:t>
      </w:r>
      <w:r>
        <w:rPr>
          <w:rFonts w:ascii="Poppins" w:hAnsi="Poppins" w:eastAsia="Poppins"/>
          <w:b/>
          <w:i w:val="0"/>
          <w:color w:val="000000"/>
          <w:sz w:val="18"/>
        </w:rPr>
        <w:t>l’échéance principale de l’adhésion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, en écrivant à l’adresse suivante : KIASSURE – 27 Place aux huiles - 13001 MARSEILLE.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modification de l’adhésion prendra effet à la date d’échéance du contrat, sous réserve de la production des pièces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justificatives. </w:t>
      </w:r>
    </w:p>
    <w:p>
      <w:pPr>
        <w:autoSpaceDN w:val="0"/>
        <w:autoSpaceDE w:val="0"/>
        <w:widowControl/>
        <w:spacing w:line="190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15.2. Hors échéance principale </w:t>
      </w:r>
    </w:p>
    <w:p>
      <w:pPr>
        <w:autoSpaceDN w:val="0"/>
        <w:autoSpaceDE w:val="0"/>
        <w:widowControl/>
        <w:spacing w:line="190" w:lineRule="auto" w:before="202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15.2.1. Ajout d’un ayant droit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222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Si un événement survient en cours d’année entraînant l’acquisition de la qualité d’ayant droit, d’une personne que l’assuré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souhaite assurer, il doit adresser une demande écrite (mail, fax, courrier) à cet effet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Dans un délai de 30 jours suivant cet événement s’il s’agit d’une naissance ou d’une adoption,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Dans un délai de 15 jours suivant cet événement pour les autres demandes.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20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Sous réserve des pièces justifiant de la date de l’événement et des conditions permettant d’être désigné comme ayant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droit, la modification du contrat prendra alors effet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À la date de naissance du nouveau-né,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À la date de réception de la demande pour les autres cas (adoption, union),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À la date de radiation d’un contrat de même nature prévoyant des garanties similaires (sous réserve de la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production d’un Certificat de radiation).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Si la demande est formulée au-delà des délais ci-dessus, la modification du contrat prendra effet à la date de réception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la demande, sous réserve de la production des pièces justificatives. </w:t>
      </w:r>
    </w:p>
    <w:p>
      <w:pPr>
        <w:autoSpaceDN w:val="0"/>
        <w:autoSpaceDE w:val="0"/>
        <w:widowControl/>
        <w:spacing w:line="190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15.2.2. Sortie d’un ayant droit </w:t>
      </w:r>
    </w:p>
    <w:p>
      <w:pPr>
        <w:autoSpaceDN w:val="0"/>
        <w:autoSpaceDE w:val="0"/>
        <w:widowControl/>
        <w:spacing w:line="245" w:lineRule="auto" w:before="222" w:after="0"/>
        <w:ind w:left="28" w:right="332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Si un événement survient en cours d’année entraînant la perte de la qualité d’ayant droit, l’adhérent doit le déclarer par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écrit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dans les QUINZE (15) jours suivant cet événement. En cas de déclaration tardive par l’Adhérent, une déchéance de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garantie est susceptible de lui être opposée dès lors qu’il est établi que ce retard a causé un préjudice à l’Assureur. </w:t>
      </w:r>
    </w:p>
    <w:p>
      <w:pPr>
        <w:autoSpaceDN w:val="0"/>
        <w:tabs>
          <w:tab w:pos="9902" w:val="left"/>
        </w:tabs>
        <w:autoSpaceDE w:val="0"/>
        <w:widowControl/>
        <w:spacing w:line="245" w:lineRule="auto" w:before="584" w:after="0"/>
        <w:ind w:left="981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13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type w:val="continuous"/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sectPr>
          <w:pgSz w:w="11906" w:h="16838"/>
          <w:pgMar w:top="178" w:right="198" w:bottom="76" w:left="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3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78" w:right="198" w:bottom="76" w:left="430" w:header="720" w:footer="720" w:gutter="0"/>
          <w:cols w:num="2" w:equalWidth="0">
            <w:col w:w="4880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09" cy="94996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2"/>
        <w:sectPr>
          <w:type w:val="nextColumn"/>
          <w:pgSz w:w="11906" w:h="16838"/>
          <w:pgMar w:top="178" w:right="198" w:bottom="76" w:left="430" w:header="720" w:footer="720" w:gutter="0"/>
          <w:cols w:num="2" w:equalWidth="0">
            <w:col w:w="4880" w:space="0"/>
            <w:col w:w="6398" w:space="0"/>
          </w:cols>
          <w:docGrid w:linePitch="360"/>
        </w:sectPr>
      </w:pPr>
    </w:p>
    <w:p>
      <w:pPr>
        <w:autoSpaceDN w:val="0"/>
        <w:tabs>
          <w:tab w:pos="420" w:val="left"/>
        </w:tabs>
        <w:autoSpaceDE w:val="0"/>
        <w:widowControl/>
        <w:spacing w:line="245" w:lineRule="auto" w:before="0" w:after="0"/>
        <w:ind w:left="136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modification du contrat prendra effet, sous réserve de la production des pièces justifiant de la date de l’événement et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la fin des conditions permettant d’être désigné comme ayant droit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cas de décès, au lendemain du décès,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À la date de réception de la déclaration pour les autres cas (séparation ou divorce, cessation ou changement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d’affiliation au Régime Obligatoire)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Si des prestations ont été versées au-delà de ce délai, l’Assureur pourra demander à l’Adhérent le remboursement des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prestations indûment réglées pour cet ayant droit. </w:t>
      </w:r>
    </w:p>
    <w:p>
      <w:pPr>
        <w:autoSpaceDN w:val="0"/>
        <w:autoSpaceDE w:val="0"/>
        <w:widowControl/>
        <w:spacing w:line="245" w:lineRule="auto" w:before="0" w:after="0"/>
        <w:ind w:left="136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Si un des ayants droit ne remplissait plus les conditions prévues pour être Bénéficiaire, les garanties cesseraient de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plein droit et sans formalité pour celui-ci. </w:t>
      </w:r>
    </w:p>
    <w:p>
      <w:pPr>
        <w:autoSpaceDN w:val="0"/>
        <w:autoSpaceDE w:val="0"/>
        <w:widowControl/>
        <w:spacing w:line="245" w:lineRule="auto" w:before="0" w:after="0"/>
        <w:ind w:left="136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En cas de déclaration tardive par l’Adhérent, une déchéance de garantie est susceptible de lui être opposée dès lors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qu’il est établi que ce retard a causé un préjudice à l’Assureur. </w:t>
      </w:r>
    </w:p>
    <w:p>
      <w:pPr>
        <w:autoSpaceDN w:val="0"/>
        <w:autoSpaceDE w:val="0"/>
        <w:widowControl/>
        <w:spacing w:line="192" w:lineRule="auto" w:before="208" w:after="0"/>
        <w:ind w:left="13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15.3. Ajustement de la cotisation</w:t>
      </w:r>
    </w:p>
    <w:p>
      <w:pPr>
        <w:autoSpaceDN w:val="0"/>
        <w:autoSpaceDE w:val="0"/>
        <w:widowControl/>
        <w:spacing w:line="245" w:lineRule="auto" w:before="222" w:after="0"/>
        <w:ind w:left="136" w:right="33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Pour donner suite à la demande d’ajout ou de sortie d’un ayant droit, l’adhérent recevra une notification ayant valeur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d’avenant. Sans retour de sa part dans le mois qui suit la réception de cette notification, la modification des ayants droit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prendra effet à la date d’effet de l’avenant. </w:t>
      </w:r>
    </w:p>
    <w:p>
      <w:pPr>
        <w:autoSpaceDN w:val="0"/>
        <w:autoSpaceDE w:val="0"/>
        <w:widowControl/>
        <w:spacing w:line="245" w:lineRule="auto" w:before="0" w:after="0"/>
        <w:ind w:left="136" w:right="32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cas d’ajout ou de sortie d’ayant droit, la cotisation sera ajustée en conséquence à compter de la date d’effet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l’avenant constatant cette modification. La différence de cotisation sera mentionnée dans l’avenant.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S’il s’agit d’un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supplément à acquitter, celui-ci devra être réglé à l’Assureur conformément aux dispositions de l’article 20. S’il s’agit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d’une ristourne en faveur de l’Adhérent, celle- ci lui sera réglée sous réserve de l’absence d’arriéré de prime à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>compenser.</w:t>
      </w:r>
    </w:p>
    <w:p>
      <w:pPr>
        <w:autoSpaceDN w:val="0"/>
        <w:autoSpaceDE w:val="0"/>
        <w:widowControl/>
        <w:spacing w:line="190" w:lineRule="auto" w:before="84" w:after="256"/>
        <w:ind w:left="13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16 - EXCLUSIONS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278"/>
      </w:tblGrid>
      <w:tr>
        <w:trPr>
          <w:trHeight w:hRule="exact" w:val="7988"/>
        </w:trPr>
        <w:tc>
          <w:tcPr>
            <w:tcW w:type="dxa" w:w="11018"/>
            <w:tcBorders>
              <w:start w:sz="11.199999999999989" w:val="single" w:color="#BAC500"/>
              <w:top w:sz="11.199999999999818" w:val="single" w:color="#BAC500"/>
              <w:end w:sz="11.199999999999818" w:val="single" w:color="#BAC500"/>
              <w:bottom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10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Les actes ne figurant pas sur la Nomenclature Générale des Actes Professionnels (NGAP) ou dans la Classification Commune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des Actes Médicaux (CCAM) ne sont pas remboursés, sauf cas particuliers prévus à l’adhésion.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Les exclusions ci-dessous s’appliquent à toutes les garanties d’assurance à l’exception des garanties minimum et maximum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des contrats responsables.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Les garanties ne s’exercent pas en cas :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• De guerre civile ou étrangère, d’émeutes et mouvement populaires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• De désintégration du noyau atomique ou de radiations ionisantes,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• De traitements ou interventions chirurgicales dans un but de rajeunissement ou esthétique, sauf les actes remboursés par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le Régime Obligatoire qui seront pris en charge à 100% du tarif de responsabilité, de cures d’amaigrissement, de sommeil, de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désintoxication, de séjours en institut médico-pédagogique et établissements similaires,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• D’une aggravation due à l’inobservation intentionnelle par l’Assuré des prescriptions du médecin. 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0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>Sont également applicables les exclusions imposées par le dispositif législatif des contrats dits « responsables ». 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̂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me si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votre Régime Obligatoire est intervenu, ne donnent pas lieu à prestation pour les hospitalisations, actes chirurgicaux, soins et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prothèses dentaires, actes de kinésithérapie :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• Les conséquences de l’éthylisme aigu ou chronique de la personne assurée, l’usage de stupéfiants ou de tranquillisants non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prescrits médicalement,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• Les frais de séjour climatique à la campagne, à la mer, à la montagne et en colonie sanitaire (sauf en Sanatorium ou en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Préventorium),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• Les cures d'amaigrissement, de rajeunissement, de désintoxication et de thalassothérapie,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• Les traitements à visée esthétique, à l’exception de ceux consécutifs à un accident garanti,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• Les traitements psychanalytiques,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• Les interventions chirurgicales à visée reconstructrice, esthétique ou plastique à l'exception de celles consécutives à un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accident garanti, les interventions comportant une réduction de la masse graisseuse, ainsi que les interventions pour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rhinoplastie et septoplastie nasale. Restent néanmoins garanties les rhinoplasties justifiées par un traumatisme nasal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survenu pendant la période de garantie,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• Les interventions chirurgicales pour hypertrophie ou hypotrophie mammaires, ainsi que les interventions comportant une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lipectomie, une liposuccion, une lipoaspiration, une liposculpture, une plastie abdominale,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• Les traitements, hospitalisations et interventions chirurgicales pour les troubles de l'identité sexuelle,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• Les séjours en centres, services ou établissements dits de longs séjours, de gérontologie, de gériatrie,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• Les séjours psychopédagogiques, pédagogiques, à visée diététique ou de rééducation alimentaire,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• Les différentes étapes de la Procréation Médicalement Assistée (PMA),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• Maisons d’accueil spécialisé (MAS),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>• Etabl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>is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7"/>
              </w:rPr>
              <w:t xml:space="preserve">sement d'hébergement pour personnes âgées dépendantes (EPHAD). </w:t>
            </w:r>
          </w:p>
        </w:tc>
      </w:tr>
    </w:tbl>
    <w:p>
      <w:pPr>
        <w:autoSpaceDN w:val="0"/>
        <w:tabs>
          <w:tab w:pos="10000" w:val="left"/>
        </w:tabs>
        <w:autoSpaceDE w:val="0"/>
        <w:widowControl/>
        <w:spacing w:line="245" w:lineRule="auto" w:before="182" w:after="0"/>
        <w:ind w:left="9926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14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type w:val="continuous"/>
          <w:pgSz w:w="11906" w:h="16838"/>
          <w:pgMar w:top="178" w:right="198" w:bottom="76" w:left="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85"/>
        <w:gridCol w:w="5585"/>
      </w:tblGrid>
      <w:tr>
        <w:trPr>
          <w:trHeight w:hRule="exact" w:val="1482"/>
        </w:trPr>
        <w:tc>
          <w:tcPr>
            <w:tcW w:type="dxa" w:w="47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19250" cy="634999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6349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658109" cy="94996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09" cy="949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76"/>
        </w:trPr>
        <w:tc>
          <w:tcPr>
            <w:tcW w:type="dxa" w:w="11142"/>
            <w:gridSpan w:val="2"/>
            <w:tcBorders>
              <w:bottom w:sz="12.0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" w:right="288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4"/>
              </w:rPr>
              <w:t xml:space="preserve">ARTICLE 17 - ADAPTATION DE L'ADHÉSION PAR SUITE DE MODIFICATIONS DU RÉGIME DE BASE </w:t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4"/>
              </w:rPr>
              <w:t>DE LA</w:t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4"/>
              </w:rPr>
              <w:t xml:space="preserve">SÉCURITÉ SOCIALE </w:t>
            </w:r>
          </w:p>
        </w:tc>
      </w:tr>
    </w:tbl>
    <w:p>
      <w:pPr>
        <w:autoSpaceDN w:val="0"/>
        <w:autoSpaceDE w:val="0"/>
        <w:widowControl/>
        <w:spacing w:line="245" w:lineRule="auto" w:before="260" w:after="0"/>
        <w:ind w:left="28" w:right="324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garanties de la présente adhésion, sa tarification et les modalités de mise en jeu de l’assurance ont été fixées compte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tenu des dispositions du régime obligatoire d’assurance maladie en vigueur lors de sa prise d’effet. Si ces dispositions ou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règles d’indemnisation de l’assurance maladie venaient à être modifiées, l’Assureur se réserve la faculté de procéder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à une révision du contrat, à compter du premier jour du mois suivant l’application par cet organisme des dispositions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nouvelles. </w:t>
      </w: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L’Adhérent conserve, dans ce cas, la possibilité de demander un aménagement des garanties ou la résiliation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l’adhésion, sans application du délai de préavis. </w:t>
      </w:r>
    </w:p>
    <w:p>
      <w:pPr>
        <w:autoSpaceDN w:val="0"/>
        <w:autoSpaceDE w:val="0"/>
        <w:widowControl/>
        <w:spacing w:line="190" w:lineRule="auto" w:before="324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18 - PRESTATIONS </w:t>
      </w:r>
    </w:p>
    <w:p>
      <w:pPr>
        <w:autoSpaceDN w:val="0"/>
        <w:autoSpaceDE w:val="0"/>
        <w:widowControl/>
        <w:spacing w:line="190" w:lineRule="auto" w:before="400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18.1. Remboursement des prestations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222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dépenses de prestations sont remboursées en fonction de l’offre et du niveau de garanties auquel l’Adhérent a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adhéré, qui figurent au certificat d’adhésion. Elles ne peuvent en aucun cas être supérieures aux dépenses réelles. </w:t>
      </w:r>
      <w:r>
        <w:rPr>
          <w:rFonts w:ascii="Poppins" w:hAnsi="Poppins" w:eastAsia="Poppins"/>
          <w:b w:val="0"/>
          <w:i w:val="0"/>
          <w:color w:val="000000"/>
          <w:sz w:val="18"/>
        </w:rPr>
        <w:t>Les demandes de remboursement d</w:t>
      </w:r>
      <w:r>
        <w:rPr>
          <w:rFonts w:ascii="Poppins" w:hAnsi="Poppins" w:eastAsia="Poppins"/>
          <w:b w:val="0"/>
          <w:i w:val="0"/>
          <w:color w:val="000000"/>
          <w:sz w:val="18"/>
        </w:rPr>
        <w:hyperlink r:id="rId15" w:history="1">
          <w:r>
            <w:rPr>
              <w:rStyle w:val="Hyperlink"/>
            </w:rPr>
            <w:t xml:space="preserve">e prestations sont 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à adresser à : CPMS - Gestion KIASSURE - TSA 10516 - 75427 PARIS </w:t>
      </w:r>
      <w:r>
        <w:rPr>
          <w:rFonts w:ascii="Poppins" w:hAnsi="Poppins" w:eastAsia="Poppins"/>
          <w:b w:val="0"/>
          <w:i w:val="0"/>
          <w:color w:val="000000"/>
          <w:sz w:val="18"/>
        </w:rPr>
        <w:t>cedex 09 ou à l’adresse électronique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</w:t>
      </w:r>
      <w:r>
        <w:rPr>
          <w:u w:val="single" w:color="0462c1"/>
          <w:rFonts w:ascii="Poppins" w:hAnsi="Poppins" w:eastAsia="Poppins"/>
          <w:b w:val="0"/>
          <w:i w:val="0"/>
          <w:color w:val="0563C1"/>
          <w:sz w:val="18"/>
        </w:rPr>
        <w:hyperlink r:id="rId15" w:history="1">
          <w:r>
            <w:rPr>
              <w:rStyle w:val="Hyperlink"/>
            </w:rPr>
            <w:t xml:space="preserve">kiassure@cpms.fr </w:t>
          </w:r>
        </w:hyperlink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Dans les conditions et limites de remboursement du niveau de garanties choisi et mentionné au certificat d’adhésion,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l’assureur peut prendre en charge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frais ayant préalablement donné lieu à un remboursement par le Régime français d’assurance maladie,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frais non remboursés par le régime obligatoire mais prescrits médicalement, faisant l’objet d’une prise en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charge,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frais non remboursés par le régime obligatoire et non prescrits. </w:t>
      </w: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remboursement est appliqué séparément pour chaque poste de frais pris en charge par le Régime d’assurance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maladie. </w:t>
      </w: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Il est toujours subordonné au remboursement préalable par le Régime d’assurance maladie, sauf dispositions contraires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figurant au tableau des garanties.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prestations sont réglées dans les 15 jours entre la réception du dossier complet et l’expédition du titre de paiement,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sauf cas fortuit ou de force majeure, soit l’accord amiable, soit la décision judiciaire exécutoire.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prestations sont réglées en euros sur un compte ouvert auprès d’un établissement bancaire français ou d’un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établissement situé dans l’un des Etats composant l’Espace Économique Européen.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décomptes seront adressés chaque mois par mail ou par courrier et seront disponibles en ligne dans l’espace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personnel des assurés géré par </w:t>
      </w:r>
      <w:r>
        <w:rPr>
          <w:rFonts w:ascii="Poppins" w:hAnsi="Poppins" w:eastAsia="Poppins"/>
          <w:b/>
          <w:i w:val="0"/>
          <w:color w:val="000000"/>
          <w:sz w:val="18"/>
        </w:rPr>
        <w:t>CPMS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. </w:t>
      </w:r>
    </w:p>
    <w:p>
      <w:pPr>
        <w:autoSpaceDN w:val="0"/>
        <w:autoSpaceDE w:val="0"/>
        <w:widowControl/>
        <w:spacing w:line="190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18.2. Télétransmission </w:t>
      </w:r>
    </w:p>
    <w:p>
      <w:pPr>
        <w:autoSpaceDN w:val="0"/>
        <w:autoSpaceDE w:val="0"/>
        <w:widowControl/>
        <w:spacing w:line="245" w:lineRule="auto" w:before="222" w:after="0"/>
        <w:ind w:left="28" w:right="32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transmission des décomptes de remboursements des assurés bénéficiaires peut être effectuée directement par les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caisses d’assurance maladie, sous forme d’échange de données informatiques. Si l’adhérent ne souhaite pas bénéficier </w:t>
      </w:r>
      <w:r>
        <w:rPr>
          <w:rFonts w:ascii="Poppins" w:hAnsi="Poppins" w:eastAsia="Poppins"/>
          <w:b w:val="0"/>
          <w:i w:val="0"/>
          <w:color w:val="000000"/>
          <w:sz w:val="18"/>
        </w:rPr>
        <w:t>du service de la télétransmi</w:t>
      </w:r>
      <w:r>
        <w:rPr>
          <w:rFonts w:ascii="Poppins" w:hAnsi="Poppins" w:eastAsia="Poppins"/>
          <w:b w:val="0"/>
          <w:i w:val="0"/>
          <w:color w:val="000000"/>
          <w:sz w:val="18"/>
        </w:rPr>
        <w:hyperlink r:id="rId14" w:history="1">
          <w:r>
            <w:rPr>
              <w:rStyle w:val="Hyperlink"/>
            </w:rPr>
            <w:t xml:space="preserve">ssion automatique, 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il peut fait connaître son refus à tout moment en ligne, depuis son espace </w:t>
      </w:r>
      <w:r>
        <w:rPr>
          <w:rFonts w:ascii="Poppins" w:hAnsi="Poppins" w:eastAsia="Poppins"/>
          <w:b w:val="0"/>
          <w:i w:val="0"/>
          <w:color w:val="000000"/>
          <w:sz w:val="18"/>
        </w:rPr>
        <w:t>client accessible sur le site :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</w:t>
      </w:r>
      <w:r>
        <w:rPr>
          <w:u w:val="single" w:color="0462c1"/>
          <w:rFonts w:ascii="Poppins" w:hAnsi="Poppins" w:eastAsia="Poppins"/>
          <w:b w:val="0"/>
          <w:i w:val="0"/>
          <w:color w:val="0563C1"/>
          <w:sz w:val="18"/>
        </w:rPr>
        <w:hyperlink r:id="rId14" w:history="1">
          <w:r>
            <w:rPr>
              <w:rStyle w:val="Hyperlink"/>
            </w:rPr>
            <w:t>www.kiassure.com</w:t>
          </w:r>
        </w:hyperlink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L’assuré bénéficiant de la télétransmission de ses décomptes de remboursements pourra envoyer ses justificatifs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complémentaires, avant même le remboursement de la Sécurité sociale.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cas de rejet de la télétransmission, l’assuré sera amené à transmettre l’original de son décompte. Seuls les décomptes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pour lesquels un remboursement n’a pas été traité automatiquement devront être envoyés. </w:t>
      </w:r>
    </w:p>
    <w:p>
      <w:pPr>
        <w:autoSpaceDN w:val="0"/>
        <w:autoSpaceDE w:val="0"/>
        <w:widowControl/>
        <w:spacing w:line="190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18.3. Cumul d’organismes assureurs</w:t>
      </w:r>
    </w:p>
    <w:p>
      <w:pPr>
        <w:autoSpaceDN w:val="0"/>
        <w:autoSpaceDE w:val="0"/>
        <w:widowControl/>
        <w:spacing w:line="245" w:lineRule="auto" w:before="222" w:after="0"/>
        <w:ind w:left="28" w:right="334" w:firstLine="0"/>
        <w:jc w:val="both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Les garanties de même nature contractées auprès de plusieurs organismes assureurs produisent leurs effets dans la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limite de chaque garantie quelle que soit sa date de souscription et de la dépense engagée. Dans cette limite, le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bénéficiaire peut obtenir l’indemnisation en s’adressant à l’organisme de son choix. </w:t>
      </w:r>
    </w:p>
    <w:p>
      <w:pPr>
        <w:autoSpaceDN w:val="0"/>
        <w:tabs>
          <w:tab w:pos="9894" w:val="left"/>
        </w:tabs>
        <w:autoSpaceDE w:val="0"/>
        <w:widowControl/>
        <w:spacing w:line="245" w:lineRule="auto" w:before="294" w:after="0"/>
        <w:ind w:left="981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15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sectPr>
          <w:pgSz w:w="11906" w:h="16838"/>
          <w:pgMar w:top="178" w:right="198" w:bottom="76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2" w:lineRule="auto" w:before="294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18.4. Tiers payant</w:t>
      </w:r>
    </w:p>
    <w:p>
      <w:pPr>
        <w:sectPr>
          <w:type w:val="continuous"/>
          <w:pgSz w:w="11906" w:h="16838"/>
          <w:pgMar w:top="178" w:right="198" w:bottom="76" w:left="566" w:header="720" w:footer="720" w:gutter="0"/>
          <w:cols w:num="2" w:equalWidth="0">
            <w:col w:w="4744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09" cy="94996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32"/>
        <w:sectPr>
          <w:type w:val="nextColumn"/>
          <w:pgSz w:w="11906" w:h="16838"/>
          <w:pgMar w:top="178" w:right="198" w:bottom="76" w:left="566" w:header="720" w:footer="720" w:gutter="0"/>
          <w:cols w:num="2" w:equalWidth="0">
            <w:col w:w="4744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auto" w:before="0" w:after="0"/>
        <w:ind w:left="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L’adhésion au contrat </w:t>
      </w:r>
      <w:r>
        <w:rPr>
          <w:rFonts w:ascii="Poppins" w:hAnsi="Poppins" w:eastAsia="Poppins"/>
          <w:b/>
          <w:i w:val="0"/>
          <w:color w:val="000000"/>
          <w:sz w:val="18"/>
        </w:rPr>
        <w:t>GOLDEN SANTÉ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permet de bénéficier des avantages d’une carte de tiers payant. 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Pour les dépenses de pharmacie remboursables par le régime d’assurance maladie, l’assuré est dispensé du paiement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du ticket modérateur. 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Cet avantage est étendu aux autres dépenses de santé auprès de tous les professionnels de santé conventionnés, qui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acceptent le dispositif. </w:t>
      </w:r>
    </w:p>
    <w:p>
      <w:pPr>
        <w:autoSpaceDN w:val="0"/>
        <w:autoSpaceDE w:val="0"/>
        <w:widowControl/>
        <w:spacing w:line="245" w:lineRule="auto" w:before="0" w:after="0"/>
        <w:ind w:left="0" w:right="33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carte de Tiers payant permet également de bénéficier d’une prise en charge dans la limite de la garantie souscrite,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cas d’hospitalisation en France par l’intermédiaire de l’établissement hospitalier auprès de l’organisme de Tiers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payant 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Viamedis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ou sur simple demande à </w:t>
      </w:r>
      <w:r>
        <w:rPr>
          <w:rFonts w:ascii="Poppins" w:hAnsi="Poppins" w:eastAsia="Poppins"/>
          <w:b/>
          <w:i w:val="0"/>
          <w:color w:val="000000"/>
          <w:sz w:val="18"/>
        </w:rPr>
        <w:t>KIASSURE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. </w:t>
      </w:r>
    </w:p>
    <w:p>
      <w:pPr>
        <w:autoSpaceDN w:val="0"/>
        <w:autoSpaceDE w:val="0"/>
        <w:widowControl/>
        <w:spacing w:line="245" w:lineRule="auto" w:before="0" w:after="0"/>
        <w:ind w:left="0" w:right="328" w:firstLine="0"/>
        <w:jc w:val="both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En cas de suspension ou de résiliation du contrat, l’adhérent s’engage à restituer immédiatement la carte de Tiers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payant. Il s’engage également à rembourser à l’Assureur les prestations indûment réglées aux praticiens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postérieurement à cette suspension ou cette résiliation. </w:t>
      </w:r>
    </w:p>
    <w:p>
      <w:pPr>
        <w:autoSpaceDN w:val="0"/>
        <w:autoSpaceDE w:val="0"/>
        <w:widowControl/>
        <w:spacing w:line="190" w:lineRule="auto" w:before="370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18.5. Pièces nécessaires au paiement des prestations </w:t>
      </w:r>
    </w:p>
    <w:p>
      <w:pPr>
        <w:autoSpaceDN w:val="0"/>
        <w:autoSpaceDE w:val="0"/>
        <w:widowControl/>
        <w:spacing w:line="245" w:lineRule="auto" w:before="222" w:after="0"/>
        <w:ind w:left="0" w:right="324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>Pour obtenir le règlement de ses prestatio</w:t>
      </w:r>
      <w:r>
        <w:rPr>
          <w:rFonts w:ascii="Poppins" w:hAnsi="Poppins" w:eastAsia="Poppins"/>
          <w:b w:val="0"/>
          <w:i w:val="0"/>
          <w:color w:val="000000"/>
          <w:sz w:val="18"/>
        </w:rPr>
        <w:hyperlink r:id="rId15" w:history="1">
          <w:r>
            <w:rPr>
              <w:rStyle w:val="Hyperlink"/>
            </w:rPr>
            <w:t xml:space="preserve">ns, l’adhérent doit 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envoyer à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CPMS - Gestion KIASSURE - TSA 10516 - 75427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>PARIS cedex 09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ou à l’adresse électronique</w:t>
      </w:r>
      <w:r>
        <w:rPr>
          <w:u w:val="single" w:color="0462c1"/>
          <w:rFonts w:ascii="Poppins" w:hAnsi="Poppins" w:eastAsia="Poppins"/>
          <w:b w:val="0"/>
          <w:i w:val="0"/>
          <w:color w:val="0563C1"/>
          <w:sz w:val="18"/>
        </w:rPr>
        <w:hyperlink r:id="rId15" w:history="1">
          <w:r>
            <w:rPr>
              <w:rStyle w:val="Hyperlink"/>
            </w:rPr>
            <w:t>kiassure@cpms.fr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8"/>
        </w:rPr>
        <w:hyperlink r:id="rId15" w:history="1">
          <w:r>
            <w:rPr>
              <w:rStyle w:val="Hyperlink"/>
            </w:rPr>
            <w:t>,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dans les TROIS (3) mois qui suivent la fin du traitement, les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pièces justificatives accompagnées d’une demande datée et signée comportant le numéro d’adhésion. </w:t>
      </w:r>
    </w:p>
    <w:p>
      <w:pPr>
        <w:autoSpaceDN w:val="0"/>
        <w:tabs>
          <w:tab w:pos="284" w:val="left"/>
        </w:tabs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liste des pièces justificatives à fournir est la suivante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décomptes originaux des remboursements du Régime Obligatoire justifiant les prestations qui ont été servies. </w:t>
      </w:r>
    </w:p>
    <w:p>
      <w:pPr>
        <w:autoSpaceDN w:val="0"/>
        <w:tabs>
          <w:tab w:pos="284" w:val="left"/>
        </w:tabs>
        <w:autoSpaceDE w:val="0"/>
        <w:widowControl/>
        <w:spacing w:line="245" w:lineRule="auto" w:before="0" w:after="0"/>
        <w:ind w:left="0" w:right="288" w:firstLine="0"/>
        <w:jc w:val="left"/>
      </w:pP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(Dans les départements dans lesquels un accord a été passé avec les organismes de Régimes Obligatoires, une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telle formalité ne sera pas nécessaire),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notes d’honoraires et factures détaillées justifiant des frais réellement engagés, notamment pour le transport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hospitalier,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factures d’hospitalisation si celle-ci n’a pas donné lieu à prise en charge préalable, notamment pour la chambre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particulière, le forfait journalier hospitalier et le lit d’accompagnant,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factures des pharmaciens lorsque la garantie Tiers payant n’a pu être mise en jeu ou en cas de dépassement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du tarif de responsabilité,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facture détaillée des frais engagés pour les prothèses dentaires,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Pour les frais d’optique, la demande de prise en charge et la facture de l’opticien distinguant le prix de la monture de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celui des verres ou indiquant les frais de lentilles. Pour les lentilles non remboursées par le Régime Obligatoire,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joindre également une ordonnance de moins de deux ans. L’évolution de la vue devra être justifiée soit par la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présentation d’une nouvelle prescription médicale portant une correction différente de la précédente ou soit sur la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présentation de la prescription initiale comportant des mentions de l’opticien en application de l’article R165-1 du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code de la Sécurité Sociale. </w:t>
      </w:r>
    </w:p>
    <w:p>
      <w:pPr>
        <w:autoSpaceDN w:val="0"/>
        <w:tabs>
          <w:tab w:pos="284" w:val="left"/>
        </w:tabs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Pour les cures thermales, la facture détaillée des frais engagés, ainsi que le décompte du remboursement du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Régime Obligatoire,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Lorsque l’Adhérent ou ses ayants droit bénéficient d’une autre couverture complémentaire, les originaux des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décomptes établis par l’organisme en cause,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cas d’accident mettant en cause un tiers responsable identifié, les coordonnées du tiers responsable ou de son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Assureur, afin de pouvoir engager les recours,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facture détaillée du praticien diplômé d’État si l’assuré consulte un ostéopathe, un chiropracteur, un acupuncteur,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un étiopathe, un homéopathe, un psychologue, un podologue, un pédicure ou un diététicien au titre du poste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prévention &amp; bien-être,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factures originales pour tous les actes et frais non remboursés par le Régime Obligatoire mais dont les garanties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sont couvertes par ce contrat. </w:t>
      </w:r>
    </w:p>
    <w:p>
      <w:pPr>
        <w:autoSpaceDN w:val="0"/>
        <w:tabs>
          <w:tab w:pos="284" w:val="left"/>
        </w:tabs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cas de naissance, un certificat de naissance ou une copie certifiée conforme du livret de famille établissant la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filiation avec l’Adhérent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cas d’adoption, une copie du jugement d’adoption, établissant la filiation avec l’Adhérent, </w:t>
      </w:r>
    </w:p>
    <w:p>
      <w:pPr>
        <w:autoSpaceDN w:val="0"/>
        <w:autoSpaceDE w:val="0"/>
        <w:widowControl/>
        <w:spacing w:line="190" w:lineRule="auto" w:before="206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Seuls les décomptes originaux ou sur support durable tiennent lieu de justificatifs. 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Si les renseignements fournis sont insuffisants pour le règlement des prestations, l’Assureur pourra demander de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fournir des justificatifs complémentaires. 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En tout état de cause, tout justificatif produit plus de 2 ans après la date de soin ne pourra pas faire l’objet de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remboursement. 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L’Adhérent qui emploie ou produit intentionnellement des documents inexacts ou frauduleux sera déchu de tout droit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à garantie pour le sinistre dont il s’agit. </w:t>
      </w:r>
    </w:p>
    <w:p>
      <w:pPr>
        <w:autoSpaceDN w:val="0"/>
        <w:tabs>
          <w:tab w:pos="9866" w:val="left"/>
        </w:tabs>
        <w:autoSpaceDE w:val="0"/>
        <w:widowControl/>
        <w:spacing w:line="245" w:lineRule="auto" w:before="312" w:after="0"/>
        <w:ind w:left="9790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16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type w:val="continuous"/>
          <w:pgSz w:w="11906" w:h="16838"/>
          <w:pgMar w:top="178" w:right="198" w:bottom="76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85"/>
        <w:gridCol w:w="5585"/>
      </w:tblGrid>
      <w:tr>
        <w:trPr>
          <w:trHeight w:hRule="exact" w:val="1482"/>
        </w:trPr>
        <w:tc>
          <w:tcPr>
            <w:tcW w:type="dxa" w:w="47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19250" cy="634999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6349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658109" cy="94996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09" cy="949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36"/>
        </w:trPr>
        <w:tc>
          <w:tcPr>
            <w:tcW w:type="dxa" w:w="11142"/>
            <w:gridSpan w:val="2"/>
            <w:tcBorders>
              <w:bottom w:sz="12.0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2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4"/>
              </w:rPr>
              <w:t xml:space="preserve">ARTICLE 19 - CONTROLE, PROCÉDURE D’EXPERTISE ET ARBITRAGE </w:t>
            </w:r>
          </w:p>
        </w:tc>
      </w:tr>
    </w:tbl>
    <w:p>
      <w:pPr>
        <w:autoSpaceDN w:val="0"/>
        <w:autoSpaceDE w:val="0"/>
        <w:widowControl/>
        <w:spacing w:line="192" w:lineRule="auto" w:before="240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19.1. Contrôle des dépenses </w:t>
      </w:r>
    </w:p>
    <w:p>
      <w:pPr>
        <w:autoSpaceDN w:val="0"/>
        <w:autoSpaceDE w:val="0"/>
        <w:widowControl/>
        <w:spacing w:line="245" w:lineRule="auto" w:before="220" w:after="0"/>
        <w:ind w:left="28" w:right="32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médecin-conseil peut demander à l’adhérent tout renseignement ou document complémentaire qu’il juge utile et le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cas échéant demander une expertise médicale, afin de permettre l’appréciation du droit aux prestations, notamment en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 qui concerne le principe et la fréquence de l’engagement des dépenses et leur montant. </w:t>
      </w: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Sous peine de déchéance, l’adhérent doit lui communiquer ces informations, soit directement sous pli confidentiel soit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par l’intermédiaire de son médecin, et se soumettre à toute expertise médicale éventuelle. </w:t>
      </w: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fonction du résultat de ces contrôles, l’Assureur se réserve le droit de contester au regard des dispositions du présent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contrat, la prise en charge des frais dont le remboursement est demandé ou le montant de sa prise en charge.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De convention expresse, l’Adhérent reconnaît le droit de subordonner la mise en jeu de la garantie au respect de ces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conditions. En cas de refus de l’assuré, l’Assureur pourra, de convention expresse, s’opposer à la mise en jeu de la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garantie. </w:t>
      </w:r>
    </w:p>
    <w:p>
      <w:pPr>
        <w:autoSpaceDN w:val="0"/>
        <w:autoSpaceDE w:val="0"/>
        <w:widowControl/>
        <w:spacing w:line="190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19.2. Procédure d’expertise </w:t>
      </w:r>
    </w:p>
    <w:p>
      <w:pPr>
        <w:autoSpaceDN w:val="0"/>
        <w:autoSpaceDE w:val="0"/>
        <w:widowControl/>
        <w:spacing w:line="245" w:lineRule="auto" w:before="222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>Les médecins et délégués missionnés par l’Assureur auront le droit de venir constater l’état de santé de l’Adhérent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.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Dans le cas où l’adhérent ne peut se déplacer, le médecin missionné doit avoir accès à son lieu de résidence. </w:t>
      </w:r>
    </w:p>
    <w:p>
      <w:pPr>
        <w:autoSpaceDN w:val="0"/>
        <w:autoSpaceDE w:val="0"/>
        <w:widowControl/>
        <w:spacing w:line="190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19.3. Arbitrage</w:t>
      </w:r>
    </w:p>
    <w:p>
      <w:pPr>
        <w:autoSpaceDN w:val="0"/>
        <w:autoSpaceDE w:val="0"/>
        <w:widowControl/>
        <w:spacing w:line="245" w:lineRule="auto" w:before="222" w:after="0"/>
        <w:ind w:left="28" w:right="32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cas de persistance d’un désaccord sur les conclusions du médecin expert que l’Assureur a désigné, le différend est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soumis à une expertise amiable avant tout recours à la voie judiciaire. Chacune des parties choisit un médecin expert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devant régler le différend. À défaut d’accord entre eux, ceux-ci s’adjoignent un troisième expert et tous trois opèrent en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commun et à la majorité des voix. </w:t>
      </w:r>
    </w:p>
    <w:p>
      <w:pPr>
        <w:autoSpaceDN w:val="0"/>
        <w:autoSpaceDE w:val="0"/>
        <w:widowControl/>
        <w:spacing w:line="245" w:lineRule="auto" w:before="0" w:after="0"/>
        <w:ind w:left="28" w:right="32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 défaut d’accord entre les médecins sur le nom du tiers expert, la désignation est effectuée par le Président du Tribunal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Grande Instance du domicile de l’assuré. Cette nomination est faite sur simple requête signée des deux parties ou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d’une seule, l’autre partie ayant été convoquée par lettre recommandée. Les trois médecins opèrent en commun et à la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majorité des voix. </w:t>
      </w: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Chaque partie paie les frais et honoraires de son représentant. Les honoraires du tiers médecin sont supportés à charge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égale par les deux parties. </w:t>
      </w:r>
    </w:p>
    <w:p>
      <w:pPr>
        <w:autoSpaceDN w:val="0"/>
        <w:autoSpaceDE w:val="0"/>
        <w:widowControl/>
        <w:spacing w:line="190" w:lineRule="auto" w:before="164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20 - COTISATIONS </w:t>
      </w:r>
    </w:p>
    <w:p>
      <w:pPr>
        <w:autoSpaceDN w:val="0"/>
        <w:autoSpaceDE w:val="0"/>
        <w:widowControl/>
        <w:spacing w:line="192" w:lineRule="auto" w:before="23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20.1. Montant de la cotisation </w:t>
      </w:r>
    </w:p>
    <w:p>
      <w:pPr>
        <w:autoSpaceDN w:val="0"/>
        <w:autoSpaceDE w:val="0"/>
        <w:widowControl/>
        <w:spacing w:line="245" w:lineRule="auto" w:before="220" w:after="0"/>
        <w:ind w:left="28" w:right="32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cotisation est fixée au Certificat d’Adhésion. Elle est exprimée en Euros, tous frais et taxes inclus. Elle tient compte d’un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certain nombre de paramètres tels que le régime obligatoire de l’adhérent, les garanties choisies, l’âge des assurés, la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composition familiale et la zone géographique. Elle ne dépend pas de l’état de santé des assurés. </w:t>
      </w:r>
    </w:p>
    <w:p>
      <w:pPr>
        <w:autoSpaceDN w:val="0"/>
        <w:autoSpaceDE w:val="0"/>
        <w:widowControl/>
        <w:spacing w:line="190" w:lineRule="auto" w:before="0" w:after="0"/>
        <w:ind w:left="28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cotisation totale due par l’adhérent correspond au cumul des cotisations de chaque assuré. </w:t>
      </w:r>
    </w:p>
    <w:p>
      <w:pPr>
        <w:autoSpaceDN w:val="0"/>
        <w:autoSpaceDE w:val="0"/>
        <w:widowControl/>
        <w:spacing w:line="192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20.2. Variation de la cotisation</w:t>
      </w:r>
    </w:p>
    <w:p>
      <w:pPr>
        <w:autoSpaceDN w:val="0"/>
        <w:autoSpaceDE w:val="0"/>
        <w:widowControl/>
        <w:spacing w:line="190" w:lineRule="auto" w:before="220" w:after="0"/>
        <w:ind w:left="28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cotisation évolue en fonction de l’âge atteint de l’adhérent et de ses ayants droit à l’échéance de l’adhésion.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0" w:after="0"/>
        <w:ind w:left="28" w:right="446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cours de contrat, la cotisation peut varier en cas de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Modification de la législation sociale et/ou fiscale,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Changement de garanties,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Ajout ou sortie d’ayant droit,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Changement ou modification du régime d’assurance maladie,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Changement de domicile entraînant un changement de zone tarifaire. </w:t>
      </w:r>
    </w:p>
    <w:p>
      <w:pPr>
        <w:autoSpaceDN w:val="0"/>
        <w:autoSpaceDE w:val="0"/>
        <w:widowControl/>
        <w:spacing w:line="245" w:lineRule="auto" w:before="206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>Par ailleurs, en cas de modification du taux de taxe sur les conventions d’assurance ou d’un prélèvement indirect, celle-</w:t>
      </w:r>
      <w:r>
        <w:rPr>
          <w:rFonts w:ascii="Poppins" w:hAnsi="Poppins" w:eastAsia="Poppins"/>
          <w:b w:val="0"/>
          <w:i w:val="0"/>
          <w:color w:val="000000"/>
          <w:sz w:val="18"/>
        </w:rPr>
        <w:t>ci sera appliquée conformément aux dispositions réglementaires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. </w:t>
      </w:r>
    </w:p>
    <w:p>
      <w:pPr>
        <w:autoSpaceDN w:val="0"/>
        <w:autoSpaceDE w:val="0"/>
        <w:widowControl/>
        <w:spacing w:line="192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20.3. Révision de la cotisation </w:t>
      </w:r>
    </w:p>
    <w:p>
      <w:pPr>
        <w:autoSpaceDN w:val="0"/>
        <w:autoSpaceDE w:val="0"/>
        <w:widowControl/>
        <w:spacing w:line="245" w:lineRule="auto" w:before="220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L’Assureur peut être amené à réévaluer le montant des cotisations, notamment en fonction des résultats techniques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des garanties de même nature et/ou de l’évolution prévisionnelle des dépenses de santé. </w:t>
      </w:r>
    </w:p>
    <w:p>
      <w:pPr>
        <w:autoSpaceDN w:val="0"/>
        <w:tabs>
          <w:tab w:pos="9908" w:val="left"/>
        </w:tabs>
        <w:autoSpaceDE w:val="0"/>
        <w:widowControl/>
        <w:spacing w:line="245" w:lineRule="auto" w:before="132" w:after="0"/>
        <w:ind w:left="981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17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sectPr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78" w:right="198" w:bottom="76" w:left="538" w:header="720" w:footer="720" w:gutter="0"/>
          <w:cols w:num="2" w:equalWidth="0">
            <w:col w:w="4772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09" cy="94996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92"/>
        <w:sectPr>
          <w:type w:val="nextColumn"/>
          <w:pgSz w:w="11906" w:h="16838"/>
          <w:pgMar w:top="178" w:right="198" w:bottom="76" w:left="538" w:header="720" w:footer="720" w:gutter="0"/>
          <w:cols w:num="2" w:equalWidth="0">
            <w:col w:w="4772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augmentations de cotisations ont généralement lieu chaque année à la date d’échéance du contrat. Le nouveau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montant de cotisation sera communiqué à l’avis d’échéance annuelle.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augmentations de cotisations seront notifiées à l’adhérent par écrit au moins deux mois avant la date prévue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l’entrée en vigueur, à moins que les délais réglementaires ne permettent pas de respecter ce délai. </w:t>
      </w:r>
    </w:p>
    <w:p>
      <w:pPr>
        <w:autoSpaceDN w:val="0"/>
        <w:autoSpaceDE w:val="0"/>
        <w:widowControl/>
        <w:spacing w:line="245" w:lineRule="auto" w:before="228" w:after="0"/>
        <w:ind w:left="28" w:right="33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L’adhérent pourra être informé par notification. L’adhérent ne pourra exiger comme moyen de preuve de cette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information l’envoi d’un courrier recommandé. L’adhérent pourra refuser cette modification en résiliant le contrat dans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mois qui suit la réception du courrier. </w:t>
      </w:r>
    </w:p>
    <w:p>
      <w:pPr>
        <w:autoSpaceDN w:val="0"/>
        <w:autoSpaceDE w:val="0"/>
        <w:widowControl/>
        <w:spacing w:line="192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20.4. Modalités de paiement de la cotisation</w:t>
      </w:r>
    </w:p>
    <w:p>
      <w:pPr>
        <w:autoSpaceDN w:val="0"/>
        <w:autoSpaceDE w:val="0"/>
        <w:widowControl/>
        <w:spacing w:line="245" w:lineRule="auto" w:before="220" w:after="0"/>
        <w:ind w:left="28" w:right="332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cotisation est payable d’avance, selon le fractionnement choisi à l’adhésion par l’adhérent : périodicité annuelle ou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mensuelle.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Le paiement et l’encaissement de cotisations inexactes ou partielles ne sauraient valoir délivrance ou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>maintien des garanties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>Le prélèvement automatique est obligatoire pour les paiements mensuels.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Le prélèvement s’effectue pour chaque mois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quittance au plus tard le 15 du mois précédant la quittance.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En cas de rejet de prélèvement bancaire, les frais de représentation et les frais financiers sont mis à la charge de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l’adhérent. </w:t>
      </w:r>
    </w:p>
    <w:p>
      <w:pPr>
        <w:autoSpaceDN w:val="0"/>
        <w:autoSpaceDE w:val="0"/>
        <w:widowControl/>
        <w:spacing w:line="190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20.5. Défaut de paiement</w:t>
      </w:r>
    </w:p>
    <w:p>
      <w:pPr>
        <w:autoSpaceDN w:val="0"/>
        <w:autoSpaceDE w:val="0"/>
        <w:widowControl/>
        <w:spacing w:line="245" w:lineRule="auto" w:before="222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Si l’adhérent ne paie pas la cotisation dans les dix (10) jours de son échéance, l’assureur peut – indépendamment de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son droit de poursuite en justice – adresser à l’adhérent une lettre recommandée valant mise en demeure.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Conformément à l’article L.113-3 du Code des Assurances, les garanties seront suspendues TRENTE (30) jours après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l’envoi de cette mise en demeure.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La suspension de garanties entraîne, pour chaque assuré, la perte de tout droit aux garanties prévues par la présente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adhésion pour des événements survenus pendant la période de suspension. </w:t>
      </w:r>
    </w:p>
    <w:p>
      <w:pPr>
        <w:autoSpaceDN w:val="0"/>
        <w:autoSpaceDE w:val="0"/>
        <w:widowControl/>
        <w:spacing w:line="245" w:lineRule="auto" w:before="228" w:after="0"/>
        <w:ind w:left="28" w:right="332" w:firstLine="0"/>
        <w:jc w:val="both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En cas de paiement de l’intégralité de la cotisation restant due dans les dix jours suivant la suspension des garanties,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celles-ci seront remises en vigueur le lendemain midi du jour du paiement. À défaut, l’adhésion sera automatiquement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résiliée dix jours après l’expiration du délai de trente jours précités. Dans ce cas, la portion de cotisation relative à la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période postérieure à la date d’effet de la résiliation sera acquise à titre de dommages et intérêts et l’assureur pourra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en poursuivre le recouvrement. S’y ajouteront les frais de recouvrement et les intérêts de retard qui seront à la charge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de l’adhérent. </w:t>
      </w:r>
    </w:p>
    <w:p>
      <w:pPr>
        <w:autoSpaceDN w:val="0"/>
        <w:autoSpaceDE w:val="0"/>
        <w:widowControl/>
        <w:spacing w:line="190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20.6. Loi Madelin </w:t>
      </w:r>
    </w:p>
    <w:p>
      <w:pPr>
        <w:autoSpaceDN w:val="0"/>
        <w:autoSpaceDE w:val="0"/>
        <w:widowControl/>
        <w:spacing w:line="245" w:lineRule="auto" w:before="222" w:after="0"/>
        <w:ind w:left="28" w:right="324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cotisations de l’adhésion sont éligibles à la loi N°94-126 du 11 février 1994 dite « loi Madelin » au bénéfice des Travailleurs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Non-Salariés. Toutefois, pour bénéficier des avantages de la loi, l’adhérent doit, chaque année, fournir une attestation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paiement de ses cotisations au Régime Obligatoire de retraite et de prévoyance. </w:t>
      </w:r>
    </w:p>
    <w:p>
      <w:pPr>
        <w:autoSpaceDN w:val="0"/>
        <w:autoSpaceDE w:val="0"/>
        <w:widowControl/>
        <w:spacing w:line="190" w:lineRule="auto" w:before="166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21 - SUBROGATION </w:t>
      </w:r>
    </w:p>
    <w:p>
      <w:pPr>
        <w:autoSpaceDN w:val="0"/>
        <w:autoSpaceDE w:val="0"/>
        <w:widowControl/>
        <w:spacing w:line="245" w:lineRule="auto" w:before="256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vertu du Code des assurances, l’assureur est subrogé dans les droits et actions des assurés envers tout responsable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jusqu’à concurrence de l’indemnité qu’il a versée. </w:t>
      </w: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L’Adhérent ou l’ayant droit atteint d’une blessure imputable à un tiers doit en informer l’organisme assureur lors de sa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demande de prestation. </w:t>
      </w:r>
    </w:p>
    <w:p>
      <w:pPr>
        <w:autoSpaceDN w:val="0"/>
        <w:tabs>
          <w:tab w:pos="9894" w:val="left"/>
        </w:tabs>
        <w:autoSpaceDE w:val="0"/>
        <w:widowControl/>
        <w:spacing w:line="245" w:lineRule="auto" w:before="1624" w:after="0"/>
        <w:ind w:left="981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18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type w:val="continuous"/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85"/>
        <w:gridCol w:w="5585"/>
      </w:tblGrid>
      <w:tr>
        <w:trPr>
          <w:trHeight w:hRule="exact" w:val="1482"/>
        </w:trPr>
        <w:tc>
          <w:tcPr>
            <w:tcW w:type="dxa" w:w="47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19250" cy="634999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6349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658109" cy="94996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09" cy="949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36"/>
        </w:trPr>
        <w:tc>
          <w:tcPr>
            <w:tcW w:type="dxa" w:w="11142"/>
            <w:gridSpan w:val="2"/>
            <w:tcBorders>
              <w:bottom w:sz="12.0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2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4"/>
              </w:rPr>
              <w:t xml:space="preserve">ARTICLE 22 - PRESCRIPTION </w:t>
            </w:r>
          </w:p>
        </w:tc>
      </w:tr>
      <w:tr>
        <w:trPr>
          <w:trHeight w:hRule="exact" w:val="4414"/>
        </w:trPr>
        <w:tc>
          <w:tcPr>
            <w:tcW w:type="dxa" w:w="11142"/>
            <w:gridSpan w:val="2"/>
            <w:tcBorders>
              <w:top w:sz="12.0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28" w:right="288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8"/>
              </w:rPr>
              <w:t xml:space="preserve">Conformément au code des assurances :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Article L114-1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Toutes actions dérivant d’un contrat d’assurance sont prescrites par deux ans à compter de l’événement qui y donne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naissance. Par exception, les actions dérivant d'un contrat d'assurance relatives à des dommages résultant de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mouvements de terrain consécutifs à la sécheresse-réhydratation des sols, reconnus comme une catastrophe naturelle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dans les conditions prévues à l'article L. 125-1, sont prescrites par cinq ans à compter de l'événement qui y donne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naissance. </w:t>
            </w:r>
          </w:p>
          <w:p>
            <w:pPr>
              <w:autoSpaceDN w:val="0"/>
              <w:tabs>
                <w:tab w:pos="96" w:val="left"/>
                <w:tab w:pos="456" w:val="left"/>
              </w:tabs>
              <w:autoSpaceDE w:val="0"/>
              <w:widowControl/>
              <w:spacing w:line="245" w:lineRule="auto" w:before="0" w:after="0"/>
              <w:ind w:left="28" w:right="288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Toutefois, ce délai ne court :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4"/>
              </w:rPr>
              <w:t>∙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En cas de réticence, omission, déclaration fausse ou inexacte sur le risque couru, que du jour où l’assureur en a eu </w:t>
            </w:r>
            <w:r>
              <w:tab/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connaissance ;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4"/>
              </w:rPr>
              <w:t>∙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En cas de sinistre, que du jour où les intéressés en ont eu connaissance, s’ils prouvent qu’ils l’ont ignoré jusque-là.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Quand l’action de l’Adhérent contre l’assureur a pour cause le recours d’un tiers, le délai de la prescription ne court que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du jour où ce tiers a exercé une action en justice contre l’Adhérent ou a été indemnisé par ce dernier. La prescription est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portée à dix ans dans les contrats d’assurance sur la vie lorsque le bénéficiaire est une personne distincte du souscripteur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et, dans les contrats d’assurance contre les accidents atteignant les personnes, lorsque les bénéficiaires sont les ayants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droit de l’adhérent décédé. Pour les contrats d’assurance sur la vie, nonobstant les dispositions du 2°, les actions du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bénéficiaire sont prescrites au plus tard trente ans à compter du décès de l’Adhérent. </w:t>
            </w:r>
          </w:p>
        </w:tc>
      </w:tr>
    </w:tbl>
    <w:p>
      <w:pPr>
        <w:autoSpaceDN w:val="0"/>
        <w:autoSpaceDE w:val="0"/>
        <w:widowControl/>
        <w:spacing w:line="245" w:lineRule="auto" w:before="168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L114-2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prescription est interrompue par une des causes ordinaires d’interruption de la prescription et par la désignation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d’experts à la suite d’un sinistre. L’interruption de la prescription de l’action peut, en outre, résulter de l’envoi d’une lettre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recommandée avec accusé de réception adressée par l’assureur à l’Adhérent en ce qui concerne l’action en paiement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la prime et par l’Adhérent à l’assureur en ce qui concerne le règlement de l’indemnité.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L114-3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Par dérogation à l’article 2254 du code civil, les parties au contrat d’assurance ne peuvent, même d’un commun accord,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ni modifier la durée de la prescription, ni ajouter aux causes de suspension ou d’interruption de celle-ci. </w:t>
      </w:r>
    </w:p>
    <w:p>
      <w:pPr>
        <w:autoSpaceDN w:val="0"/>
        <w:autoSpaceDE w:val="0"/>
        <w:widowControl/>
        <w:spacing w:line="245" w:lineRule="auto" w:before="228" w:after="0"/>
        <w:ind w:left="28" w:right="100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Conformément au Code civil (Section 3 : Des causes d’interruption de la prescription)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2240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reconnaissance par le débiteur du droit de celui contre lequel il prescrivait interrompt le délai de prescription.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2241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demande en justice, même en référé, interrompt le délai de prescription ainsi que le délai de forclusion. Il en est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même lorsqu’elle est portée devant une juridiction incompétente ou lorsque l’acte de saisine de la juridiction est annulé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par l’effet d’un vice de procédure. </w:t>
      </w:r>
    </w:p>
    <w:p>
      <w:pPr>
        <w:autoSpaceDN w:val="0"/>
        <w:autoSpaceDE w:val="0"/>
        <w:widowControl/>
        <w:spacing w:line="245" w:lineRule="auto" w:before="228" w:after="0"/>
        <w:ind w:left="28" w:right="216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2242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L’interruption résultant de la demande en justice produit ses effets jusqu’à l’extinction de l’instance.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2243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L’interruption est non avenue si le demandeur se désiste de sa demande ou laisse périmer l’instance, ou si sa demande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est définitivement rejetée.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2244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délai de prescription ou le délai de forclusion est également interrompu par une mesure conservatoire prise en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application du code des procédures civiles d’exécution ou un acte d’exécution forcée.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2245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L’interpellation faite à l’un des débiteurs solidaires par une demande en justice ou par un acte d’exécution forcée ou la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reconnaissance par le débiteur du droit de celui contre lequel il prescrivait interrompt le délai de prescription contre tous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autres, même contre leurs héritiers. En revanche, l’interpellation faite à l’un des héritiers d’un débiteur solidaire ou la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reconnaissance de cet héritier n’interrompt pas le délai de prescription à l’égard des autres cohéritiers, même en cas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créance hypothécaire, si l’obligation est divisible. Cette interpellation ou cette reconnaissance n’interrompt le délai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prescription, à l’égard des autres codébiteurs, que pour la part dont cet héritier est tenu. Pour interrompre le délai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prescription pour le tout, à l’égard des autres codébiteurs, il faut l’interpellation faite à tous les héritiers du débiteur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décédé ou la reconnaissance de tous ces héritiers. </w:t>
      </w:r>
    </w:p>
    <w:p>
      <w:pPr>
        <w:autoSpaceDN w:val="0"/>
        <w:tabs>
          <w:tab w:pos="9896" w:val="left"/>
        </w:tabs>
        <w:autoSpaceDE w:val="0"/>
        <w:widowControl/>
        <w:spacing w:line="245" w:lineRule="auto" w:before="184" w:after="0"/>
        <w:ind w:left="981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19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sectPr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78" w:right="198" w:bottom="76" w:left="538" w:header="720" w:footer="720" w:gutter="0"/>
          <w:cols w:num="2" w:equalWidth="0">
            <w:col w:w="4772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09" cy="94996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92"/>
        <w:sectPr>
          <w:type w:val="nextColumn"/>
          <w:pgSz w:w="11906" w:h="16838"/>
          <w:pgMar w:top="178" w:right="198" w:bottom="76" w:left="538" w:header="720" w:footer="720" w:gutter="0"/>
          <w:cols w:num="2" w:equalWidth="0">
            <w:col w:w="4772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" w:right="576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2246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L’interpellation faite au débiteur principal ou sa reconnaissance interrompt le délai de prescription contre la caution. </w:t>
      </w:r>
    </w:p>
    <w:p>
      <w:pPr>
        <w:autoSpaceDN w:val="0"/>
        <w:autoSpaceDE w:val="0"/>
        <w:widowControl/>
        <w:spacing w:line="190" w:lineRule="auto" w:before="166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23 - EXAMENS DES RÉCLAMATIONS ET PROCEDURE DE MEDIATION </w:t>
      </w:r>
    </w:p>
    <w:p>
      <w:pPr>
        <w:autoSpaceDN w:val="0"/>
        <w:autoSpaceDE w:val="0"/>
        <w:widowControl/>
        <w:spacing w:line="192" w:lineRule="auto" w:before="236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23.1. Réclamations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22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Pour toute réclamation relative à la gestion de son adhésion, de la vie du contrat et de ses cotisations, l’adhérent doit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s’adresser, par écrit, prioritairement à son interlocuteur habituel qui est en mesure de lui fournir toutes informations et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explications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>Par courr</w:t>
      </w:r>
      <w:r>
        <w:rPr>
          <w:rFonts w:ascii="Poppins" w:hAnsi="Poppins" w:eastAsia="Poppins"/>
          <w:b w:val="0"/>
          <w:i w:val="0"/>
          <w:color w:val="000000"/>
          <w:sz w:val="18"/>
        </w:rPr>
        <w:hyperlink r:id="rId16" w:history="1">
          <w:r>
            <w:rPr>
              <w:rStyle w:val="Hyperlink"/>
            </w:rPr>
            <w:t>ier recommandé : KIASSURE – 27 Place a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ux huiles - 13001 MARSEILLE,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>Par mail :</w:t>
      </w:r>
      <w:r>
        <w:rPr>
          <w:u w:val="single" w:color="0462c1"/>
          <w:rFonts w:ascii="Poppins" w:hAnsi="Poppins" w:eastAsia="Poppins"/>
          <w:b w:val="0"/>
          <w:i w:val="0"/>
          <w:color w:val="0563C1"/>
          <w:sz w:val="18"/>
        </w:rPr>
        <w:hyperlink r:id="rId16" w:history="1">
          <w:r>
            <w:rPr>
              <w:rStyle w:val="Hyperlink"/>
            </w:rPr>
            <w:t>relationclients-gestions@kiassure.com</w:t>
          </w:r>
        </w:hyperlink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20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Pour toute réclamation relative à la gestion de ses prestations, l’adhérent doit s’adresser, par écrit, prioritairement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à CPMS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>Par courri</w:t>
      </w:r>
      <w:r>
        <w:rPr>
          <w:rFonts w:ascii="Poppins" w:hAnsi="Poppins" w:eastAsia="Poppins"/>
          <w:b w:val="0"/>
          <w:i w:val="0"/>
          <w:color w:val="000000"/>
          <w:sz w:val="18"/>
        </w:rPr>
        <w:t>er : Ser</w:t>
      </w:r>
      <w:r>
        <w:rPr>
          <w:rFonts w:ascii="Poppins" w:hAnsi="Poppins" w:eastAsia="Poppins"/>
          <w:b w:val="0"/>
          <w:i w:val="0"/>
          <w:color w:val="000000"/>
          <w:sz w:val="18"/>
        </w:rPr>
        <w:hyperlink r:id="rId17" w:history="1">
          <w:r>
            <w:rPr>
              <w:rStyle w:val="Hyperlink"/>
            </w:rPr>
            <w:t>vice Récla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mations – 4 rue auber 75009 PARIS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>Par mail :</w:t>
      </w:r>
      <w:r>
        <w:rPr>
          <w:rFonts w:ascii="Poppins" w:hAnsi="Poppins" w:eastAsia="Poppins"/>
          <w:b w:val="0"/>
          <w:i w:val="0"/>
          <w:color w:val="0563C1"/>
          <w:sz w:val="18"/>
        </w:rPr>
        <w:t>qualite</w:t>
      </w:r>
      <w:r>
        <w:rPr>
          <w:u w:val="single" w:color="1154cc"/>
          <w:rFonts w:ascii="Poppins" w:hAnsi="Poppins" w:eastAsia="Poppins"/>
          <w:b w:val="0"/>
          <w:i w:val="0"/>
          <w:color w:val="1155CC"/>
          <w:sz w:val="18"/>
        </w:rPr>
        <w:hyperlink r:id="rId17" w:history="1">
          <w:r>
            <w:rPr>
              <w:rStyle w:val="Hyperlink"/>
            </w:rPr>
            <w:t>@cpms.fr</w:t>
          </w:r>
        </w:hyperlink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208" w:after="0"/>
        <w:ind w:left="28" w:right="432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délais de traitement de la réclamation de l’Adhérent ne peuvent excéder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>Dix jours ouvrables à compter de la réception de la réclamation, pour en accuser réception, sauf si la réponse elle-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même est apportée à l’Adhérent dans ce délai,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Deux mois entre la date de réception de la réclamation et la date d’envoi de la réponse définitive apportée à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l’Adhérent, quelle que soit l’organisation interne de l’entité ou du groupe auquel elle appartient. </w:t>
      </w:r>
    </w:p>
    <w:p>
      <w:pPr>
        <w:autoSpaceDN w:val="0"/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tout état de cause, l’Adhérent est informé qu’il peut soumettre sa réclamation écrite à l’assureur à l’adresse suivante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: Acheel - Service Réclamation - 128 rue La Boétie, 75008 Paris. </w:t>
      </w:r>
    </w:p>
    <w:p>
      <w:pPr>
        <w:autoSpaceDN w:val="0"/>
        <w:autoSpaceDE w:val="0"/>
        <w:widowControl/>
        <w:spacing w:line="190" w:lineRule="auto" w:before="44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23.2. Médiation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222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Si le litige persiste, l’Adhérent peut, après un délai de 2 mois à compter de sa première réclamation écrite, saisir le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Médiateur en écrivant à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hyperlink r:id="rId18" w:history="1">
          <w:r>
            <w:rPr>
              <w:rStyle w:val="Hyperlink"/>
            </w:rPr>
            <w:t>par voie électronique, en complé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tant un formulaire de saisine sur le site de la Médiation de l’Assurance : </w:t>
      </w:r>
      <w:r>
        <w:br/>
      </w:r>
      <w:r>
        <w:tab/>
      </w:r>
      <w:r>
        <w:rPr>
          <w:u w:val="single" w:color="1154cc"/>
          <w:rFonts w:ascii="Poppins" w:hAnsi="Poppins" w:eastAsia="Poppins"/>
          <w:b w:val="0"/>
          <w:i w:val="0"/>
          <w:color w:val="1155CC"/>
          <w:sz w:val="18"/>
        </w:rPr>
        <w:hyperlink r:id="rId18" w:history="1">
          <w:r>
            <w:rPr>
              <w:rStyle w:val="Hyperlink"/>
            </w:rPr>
            <w:t>www.mediatio</w:t>
          </w:r>
        </w:hyperlink>
      </w:r>
      <w:r>
        <w:rPr>
          <w:u w:val="single" w:color="1154cc"/>
          <w:rFonts w:ascii="Poppins" w:hAnsi="Poppins" w:eastAsia="Poppins"/>
          <w:b w:val="0"/>
          <w:i w:val="0"/>
          <w:color w:val="1155CC"/>
          <w:sz w:val="18"/>
        </w:rPr>
        <w:hyperlink r:id="rId18" w:history="1">
          <w:r>
            <w:rPr>
              <w:rStyle w:val="Hyperlink"/>
            </w:rPr>
            <w:t>n-a</w:t>
          </w:r>
        </w:hyperlink>
      </w:r>
      <w:r>
        <w:rPr>
          <w:u w:val="single" w:color="1154cc"/>
          <w:rFonts w:ascii="Poppins" w:hAnsi="Poppins" w:eastAsia="Poppins"/>
          <w:b w:val="0"/>
          <w:i w:val="0"/>
          <w:color w:val="1155CC"/>
          <w:sz w:val="18"/>
        </w:rPr>
        <w:hyperlink r:id="rId18" w:history="1">
          <w:r>
            <w:rPr>
              <w:rStyle w:val="Hyperlink"/>
            </w:rPr>
            <w:t>ssurance.org/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8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Rubrique : je saisis le Médiateur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par courrier à l’adresse suivante : M. le Médiateur de l’Assurance, TSA 50110 - 75441 Paris Cedex 09. </w:t>
      </w:r>
    </w:p>
    <w:p>
      <w:pPr>
        <w:autoSpaceDN w:val="0"/>
        <w:autoSpaceDE w:val="0"/>
        <w:widowControl/>
        <w:spacing w:line="245" w:lineRule="auto" w:before="208" w:after="0"/>
        <w:ind w:left="2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Cependant, il est précisé que le Médiateur ne peut être saisi qu’après que le Service réclamations ait été saisi d’une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demande de l’Adhérent. </w:t>
      </w:r>
    </w:p>
    <w:p>
      <w:pPr>
        <w:autoSpaceDN w:val="0"/>
        <w:autoSpaceDE w:val="0"/>
        <w:widowControl/>
        <w:spacing w:line="190" w:lineRule="auto" w:before="166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24 - INFORMATIQUE ET LIBERTÉS </w:t>
      </w:r>
    </w:p>
    <w:p>
      <w:pPr>
        <w:autoSpaceDN w:val="0"/>
        <w:autoSpaceDE w:val="0"/>
        <w:widowControl/>
        <w:spacing w:line="192" w:lineRule="auto" w:before="23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24.1. Identification du responsable de traitement </w:t>
      </w:r>
    </w:p>
    <w:p>
      <w:pPr>
        <w:autoSpaceDN w:val="0"/>
        <w:autoSpaceDE w:val="0"/>
        <w:widowControl/>
        <w:spacing w:line="245" w:lineRule="auto" w:before="22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Cette clause a pour objet d’informer l’Adhérent de manière plus détaillée des traitements de données à caractère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personnel le concernant mis en œuvre par les responsables de traitement mentionnés ci-après.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données à caractère personnel recueillies dans le cadre de cette adhésion font l’objet d’un traitement dont le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responsable de traitement est ACHEEL en tant qu’Assureur, à l’exception des opérations suivantes, dont le responsable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traitement concernant les moyens techniques et essentiels est </w:t>
      </w:r>
      <w:r>
        <w:rPr>
          <w:rFonts w:ascii="Poppins" w:hAnsi="Poppins" w:eastAsia="Poppins"/>
          <w:b/>
          <w:i w:val="0"/>
          <w:color w:val="000000"/>
          <w:sz w:val="18"/>
        </w:rPr>
        <w:t>KIASSURE ou CPMS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, en tant que Délégataires :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Souscription des contrats,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Gestion de la vie du contrat,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Encaissement et recouvrement des primes,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>Gestion et règlement des sinistres (</w:t>
      </w:r>
      <w:r>
        <w:rPr>
          <w:rFonts w:ascii="Poppins" w:hAnsi="Poppins" w:eastAsia="Poppins"/>
          <w:b/>
          <w:i w:val="0"/>
          <w:color w:val="000000"/>
          <w:sz w:val="18"/>
        </w:rPr>
        <w:t>CPMS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)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Gestion des réclamations dites de niveau 1 </w:t>
      </w:r>
      <w:r>
        <w:rPr>
          <w:rFonts w:ascii="Poppins" w:hAnsi="Poppins" w:eastAsia="Poppins"/>
          <w:b/>
          <w:i w:val="0"/>
          <w:color w:val="000000"/>
          <w:sz w:val="18"/>
        </w:rPr>
        <w:t>(KIASSURE ou CPMS)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;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Archivage des pièces de gestion et documents comptables </w:t>
      </w:r>
      <w:r>
        <w:rPr>
          <w:rFonts w:ascii="Poppins" w:hAnsi="Poppins" w:eastAsia="Poppins"/>
          <w:b/>
          <w:i w:val="0"/>
          <w:color w:val="000000"/>
          <w:sz w:val="18"/>
        </w:rPr>
        <w:t>(KIASSURE).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</w:p>
    <w:p>
      <w:pPr>
        <w:autoSpaceDN w:val="0"/>
        <w:autoSpaceDE w:val="0"/>
        <w:widowControl/>
        <w:spacing w:line="245" w:lineRule="auto" w:before="1072" w:after="0"/>
        <w:ind w:left="9792" w:right="288" w:firstLine="0"/>
        <w:jc w:val="center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20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type w:val="continuous"/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sectPr>
          <w:pgSz w:w="11906" w:h="16838"/>
          <w:pgMar w:top="178" w:right="198" w:bottom="76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78" w:right="198" w:bottom="76" w:left="566" w:header="720" w:footer="720" w:gutter="0"/>
          <w:cols w:num="2" w:equalWidth="0">
            <w:col w:w="4744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09" cy="94996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32"/>
        <w:sectPr>
          <w:type w:val="nextColumn"/>
          <w:pgSz w:w="11906" w:h="16838"/>
          <w:pgMar w:top="178" w:right="198" w:bottom="76" w:left="566" w:header="720" w:footer="720" w:gutter="0"/>
          <w:cols w:num="2" w:equalWidth="0">
            <w:col w:w="4744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auto" w:before="0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24.2. Les finalités de ce traitement</w:t>
      </w:r>
    </w:p>
    <w:p>
      <w:pPr>
        <w:autoSpaceDN w:val="0"/>
        <w:autoSpaceDE w:val="0"/>
        <w:widowControl/>
        <w:spacing w:line="245" w:lineRule="auto" w:before="220" w:after="0"/>
        <w:ind w:left="0" w:right="32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données ont pour finalité de satisfaire à la demande de l’Adhérent et de permettre la réalisation de mesures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précontractuelles, d’actes de souscription, de gestion et d’exécution ultérieure du contrat y compris de profilage. A ce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titre, elles pourront être utilisées à des fins de recouvrement, d’études statistiques et actuarielles, d’exercice des recours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et de gestion des réclamations et contentieux, d’examen, d’appréciation, de contrôle et de surveillance du risque, et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respect des obligations légales, réglementaires et administratives. Ces informations pourront également être utilisées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comme explicité ci- dessous pour des besoins de prospection commerciale y compris de profilage sous réserve du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consentement de l’Adhérent ou de son droit d’opposition, ainsi que pour permettre la lutte contre la fraude à l’assurance.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co-responsables de traitement s’engagent à ne pas exploiter les données personnelles de l’Adhérent et des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bénéficiaires pour d’autres finalités que celles précitées. </w:t>
      </w:r>
    </w:p>
    <w:p>
      <w:pPr>
        <w:autoSpaceDN w:val="0"/>
        <w:autoSpaceDE w:val="0"/>
        <w:widowControl/>
        <w:spacing w:line="245" w:lineRule="auto" w:before="0" w:after="0"/>
        <w:ind w:left="0" w:right="32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Sont notamment nécessaires à la passation, la gestion et à l’exécution du contrat d’assurance, les données à caractère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personnel suivantes : des données d’identification, des données relatives à sa situation familiale, économique,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patrimoniale et financière, professionnelle, à sa vie personnelle, à sa santé, à l’appréciation du risque, à la gestion du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contrat, etc. De plus, en sa qualité d’organisme d’assurance, ACHEEL utilise le NIR (dénommé couramment « numéro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Sécurité sociale ») de l’Adhérent et des bénéficiaires pour la passation, la gestion et l’exécution des contrats d’assurance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et la mise en œuvre des échanges ou traitements intéressant plusieurs acteurs de la protection sociale. 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Par ailleurs, certaines données peuvent émaner d’organismes sociaux de base ou complémentaires, d’organismes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professionnels contribuant à la gestion des contrats d’assurance et de toute autorité administrative habilitée.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informations collectées seront conservées dans des bases de données sécurisées pour toute la durée nécessaire à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l’exécution du contrat d’assurance en référence aux délais de prescriptions légales et sous réserve des obligations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légales et réglementaires. </w:t>
      </w:r>
    </w:p>
    <w:p>
      <w:pPr>
        <w:autoSpaceDN w:val="0"/>
        <w:autoSpaceDE w:val="0"/>
        <w:widowControl/>
        <w:spacing w:line="190" w:lineRule="auto" w:before="368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24.3. Clause spécifique relative à la fraude </w:t>
      </w:r>
    </w:p>
    <w:p>
      <w:pPr>
        <w:autoSpaceDN w:val="0"/>
        <w:autoSpaceDE w:val="0"/>
        <w:widowControl/>
        <w:spacing w:line="245" w:lineRule="auto" w:before="222" w:after="0"/>
        <w:ind w:left="0" w:right="32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L’Adhérent est également informé de la mise en œuvre d’un dispositif ayant pour finalité la lutte contre la fraude à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l’assurance pouvant, notamment, conduire à l’inscription sur une liste de personnes présentant un risque de fraude,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inscription pouvant avoir pour effet un allongement de l’étude du dossier de l’Adhérent, voire la réduction ou le refus du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bénéfice d’un droit, d’une prestation, d’un contrat ou service proposés. Dans ce cadre, des données personnelles le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concernant (ou concernant les personnes parties ou intéressées au contrat) peuvent être traitées par toutes personnes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habilitées intervenant au sein des services des Co-responsables de traitement. Ces données peuvent également être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destinées au personnel habilité des organismes directement concernés par une fraude (autres organismes d’assurance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ou intermédiaires ; organismes sociaux ou professionnels ; autorités judiciaires, médiateurs, arbitres, auxiliaires de justice,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officiers ministériels ; organismes tiers autorisés par une disposition légale et, le cas échéant, les victimes d’actes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fraude ou leurs représentants). </w:t>
      </w:r>
    </w:p>
    <w:p>
      <w:pPr>
        <w:autoSpaceDN w:val="0"/>
        <w:autoSpaceDE w:val="0"/>
        <w:widowControl/>
        <w:spacing w:line="192" w:lineRule="auto" w:before="126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24.5. Les destinataires ou les catégories de destinataires </w:t>
      </w:r>
    </w:p>
    <w:p>
      <w:pPr>
        <w:autoSpaceDN w:val="0"/>
        <w:autoSpaceDE w:val="0"/>
        <w:widowControl/>
        <w:spacing w:line="245" w:lineRule="auto" w:before="382" w:after="0"/>
        <w:ind w:left="0" w:right="32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données concernant l’Adhérent pourront être communiquées en tant que de besoin et au regard des finalités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mentionnées ci-dessus, aux entités des Co-responsables de traitement, ainsi qu’à des partenaires, intermédiaires,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réassureurs et assureurs concernés, et organismes professionnels, organismes sociaux des personnes impliquées sous-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traitants et prestataires, dans la limite nécessaire des tâches leur incombant ou qui leur sont confiées. Par ailleurs, en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vue de satisfaire aux obligations légales et réglementaires les responsables de traitement pourront communiquer des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données à caractère personnel à des autorités administratives et judiciaires légalement habilitées. </w:t>
      </w:r>
    </w:p>
    <w:p>
      <w:pPr>
        <w:autoSpaceDN w:val="0"/>
        <w:autoSpaceDE w:val="0"/>
        <w:widowControl/>
        <w:spacing w:line="190" w:lineRule="auto" w:before="208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24.6. Localisation de traitement des données personnelles </w:t>
      </w:r>
    </w:p>
    <w:p>
      <w:pPr>
        <w:autoSpaceDN w:val="0"/>
        <w:autoSpaceDE w:val="0"/>
        <w:widowControl/>
        <w:spacing w:line="245" w:lineRule="auto" w:before="222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Co-responsables de traitement ont adopté des normes internes en matière de protection des données et de sécurité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informatique afin de garantir la protection et la sécurité des données de l’Adhérent. </w:t>
      </w:r>
    </w:p>
    <w:p>
      <w:pPr>
        <w:autoSpaceDN w:val="0"/>
        <w:autoSpaceDE w:val="0"/>
        <w:widowControl/>
        <w:spacing w:line="245" w:lineRule="auto" w:before="0" w:after="0"/>
        <w:ind w:left="0" w:right="33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Si des données à caractère personnel de l’Adhérent et des bénéficiaires venaient à être traitées chez un tiers situé dans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un pays hors de l’Union européenne et ne présentant pas un niveau de protection des données personnelles reconnu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adéquat par la Commission européenne, ACHEEL s’assurera que le tiers s’est engagé par contrat, via les clauses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contractuelles types de la Commission européenne, au respect de la réglementation européenne en matière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protection des données à caractère personnel. </w:t>
      </w:r>
    </w:p>
    <w:p>
      <w:pPr>
        <w:autoSpaceDN w:val="0"/>
        <w:autoSpaceDE w:val="0"/>
        <w:widowControl/>
        <w:spacing w:line="245" w:lineRule="auto" w:before="228" w:after="0"/>
        <w:ind w:left="0" w:right="32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S’agissant des traitements réalisés par des partenaires externes, une vigilance toute particulière est apportée quant à la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localisation des traitements, leur niveau de sécurisation (opérationnel et technique) et le niveau de protection des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données personnelles du pays destinataire, afin de garantir un niveau de protection optimal. </w:t>
      </w:r>
    </w:p>
    <w:p>
      <w:pPr>
        <w:autoSpaceDN w:val="0"/>
        <w:tabs>
          <w:tab w:pos="9876" w:val="left"/>
        </w:tabs>
        <w:autoSpaceDE w:val="0"/>
        <w:widowControl/>
        <w:spacing w:line="245" w:lineRule="auto" w:before="234" w:after="0"/>
        <w:ind w:left="9790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21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type w:val="continuous"/>
          <w:pgSz w:w="11906" w:h="16838"/>
          <w:pgMar w:top="178" w:right="198" w:bottom="76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sectPr>
          <w:pgSz w:w="11906" w:h="16838"/>
          <w:pgMar w:top="178" w:right="198" w:bottom="76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78" w:right="198" w:bottom="76" w:left="566" w:header="720" w:footer="720" w:gutter="0"/>
          <w:cols w:num="2" w:equalWidth="0">
            <w:col w:w="4744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09" cy="94996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2"/>
        <w:sectPr>
          <w:type w:val="nextColumn"/>
          <w:pgSz w:w="11906" w:h="16838"/>
          <w:pgMar w:top="178" w:right="198" w:bottom="76" w:left="566" w:header="720" w:footer="720" w:gutter="0"/>
          <w:cols w:num="2" w:equalWidth="0">
            <w:col w:w="4744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32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traitements réalisés aujourd’hui hors de l’Espace Économique Européen concernent des traitements de supervision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d’infrastructures (surveillance des plateformes informatiques, surveillance de l’opérabilité des solutions ou gestion des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sauvegardes), principalement opérés par nos partenaires bancaires et les éditeurs de logiciel. Ces traitements opérés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depuis des pays tiers font l’objet d’un encadrement juridique (Clauses contractuelles types, Binding Corporate Rules). Les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traitements des Co-responsables de traitement afférents aux opérations de gestion sont également susceptibles d’être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réalisés hors EEE. </w:t>
      </w:r>
    </w:p>
    <w:p>
      <w:pPr>
        <w:autoSpaceDN w:val="0"/>
        <w:autoSpaceDE w:val="0"/>
        <w:widowControl/>
        <w:spacing w:line="192" w:lineRule="auto" w:before="208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24.7. Les durées de conservation</w:t>
      </w:r>
    </w:p>
    <w:p>
      <w:pPr>
        <w:autoSpaceDN w:val="0"/>
        <w:autoSpaceDE w:val="0"/>
        <w:widowControl/>
        <w:spacing w:line="245" w:lineRule="auto" w:before="382" w:after="0"/>
        <w:ind w:left="0" w:right="32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durées de conservation des données à caractère personnel traitées dans le cadre de la gestion des contrats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d’assurance et de la relation clients avec l’Adhérent et les bénéficiaires varient en fonction des finalités susvisées et sont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conformes aux recommandations de la CNIL. En tout état de cause, le calcul de ces durées est réalisé en fonction des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finalités pour lesquelles les données sont collectées, de la durée de la relation contractuelle, des obligations légales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d’ACHEEL et des prescriptions légales applicables. </w:t>
      </w:r>
    </w:p>
    <w:p>
      <w:pPr>
        <w:autoSpaceDN w:val="0"/>
        <w:autoSpaceDE w:val="0"/>
        <w:widowControl/>
        <w:spacing w:line="190" w:lineRule="auto" w:before="208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24.8. L’exercice des droits </w:t>
      </w:r>
    </w:p>
    <w:p>
      <w:pPr>
        <w:autoSpaceDN w:val="0"/>
        <w:tabs>
          <w:tab w:pos="284" w:val="left"/>
        </w:tabs>
        <w:autoSpaceDE w:val="0"/>
        <w:widowControl/>
        <w:spacing w:line="245" w:lineRule="auto" w:before="380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Dans le cadre du traitement que nous effectuons l’Adhérent dispose dans les conditions prévues par la réglementation :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D’un droit d’accès : Il dispose du droit de prendre connaissance des données personnelles le concernant dont nous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disposons et demander que l’on lui en communique l’intégralité. </w:t>
      </w:r>
    </w:p>
    <w:p>
      <w:pPr>
        <w:autoSpaceDN w:val="0"/>
        <w:tabs>
          <w:tab w:pos="284" w:val="left"/>
        </w:tabs>
        <w:autoSpaceDE w:val="0"/>
        <w:widowControl/>
        <w:spacing w:line="245" w:lineRule="auto" w:before="0" w:after="0"/>
        <w:ind w:left="0" w:right="144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D’un droit de rectification : Il peut demander à corriger ses données personnelles notamment en cas de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changement de situation. </w:t>
      </w:r>
    </w:p>
    <w:p>
      <w:pPr>
        <w:autoSpaceDN w:val="0"/>
        <w:tabs>
          <w:tab w:pos="284" w:val="left"/>
        </w:tabs>
        <w:autoSpaceDE w:val="0"/>
        <w:widowControl/>
        <w:spacing w:line="245" w:lineRule="auto" w:before="0" w:after="0"/>
        <w:ind w:left="0" w:right="288" w:firstLine="0"/>
        <w:jc w:val="left"/>
      </w:pP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D’un droit de suppression : Il peut nous demander la suppression de ses données personnelles notamment lorsque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ces dernières ne sont plus nécessaires ou lorsqu’il retire son consentement au traitement de certaines données sauf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s’il existe un autre fondement juridique à ce traitement ;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Du droit de définir des directives relatives au sort de ses données personnelles en cas de décès. </w:t>
      </w:r>
    </w:p>
    <w:p>
      <w:pPr>
        <w:autoSpaceDN w:val="0"/>
        <w:tabs>
          <w:tab w:pos="284" w:val="left"/>
        </w:tabs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D’un droit à la limitation du traitement : Il peut nous demander de limiter le traitement de ses données personnelles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D’un droit à la portabilité des données : Il peut récupérer dans un format structuré les données qu’il nous a fournies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lorsque ces dernières sont nécessaires au contrat ou lorsqu’il a consenti à l’utilisation de ces données. </w:t>
      </w:r>
    </w:p>
    <w:p>
      <w:pPr>
        <w:autoSpaceDN w:val="0"/>
        <w:autoSpaceDE w:val="0"/>
        <w:widowControl/>
        <w:spacing w:line="245" w:lineRule="auto" w:before="228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Ces données peuvent être transmises directement au responsable du traitement de son choix lorsque cela est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techniquement possible. </w:t>
      </w:r>
    </w:p>
    <w:p>
      <w:pPr>
        <w:autoSpaceDN w:val="0"/>
        <w:tabs>
          <w:tab w:pos="284" w:val="left"/>
        </w:tabs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Droit de retrait : L’Adhérent a le droit de retirer le consentement donné pour un traitement fondé sur cette base. Ce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retrait vaut pour l’avenir et ne remet pas en cause la licéité des traitements déjà effectués. Il est susceptible de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rendre l’exécution du contrat impossible sans être pour autant une cause de résiliation reconnue par le droit des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assurances. </w:t>
      </w:r>
    </w:p>
    <w:p>
      <w:pPr>
        <w:autoSpaceDN w:val="0"/>
        <w:autoSpaceDE w:val="0"/>
        <w:widowControl/>
        <w:spacing w:line="245" w:lineRule="auto" w:before="0" w:after="0"/>
        <w:ind w:left="0" w:right="32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Cependant, le retrait de données nécessaires à l’exécution du contrat et notamment au contrôle de la pertinence des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engagements réciproques, est susceptible de rendre impossible l’exécution du contrat, dès lors que ces données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participent du consentement des parties à la contractualisation. Dans une telle hypothèse, cette impossibilité d’exécution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peut être une cause contractuellement définie de déchéance de garantie. </w:t>
      </w:r>
    </w:p>
    <w:p>
      <w:pPr>
        <w:autoSpaceDN w:val="0"/>
        <w:tabs>
          <w:tab w:pos="284" w:val="left"/>
        </w:tabs>
        <w:autoSpaceDE w:val="0"/>
        <w:widowControl/>
        <w:spacing w:line="245" w:lineRule="auto" w:before="166" w:after="0"/>
        <w:ind w:left="0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Droit d’opposition : L’Adhérent peut s’opposer au traitement de ses données personnelles notamment concernant la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prospection commerciale. </w:t>
      </w:r>
    </w:p>
    <w:p>
      <w:pPr>
        <w:autoSpaceDN w:val="0"/>
        <w:autoSpaceDE w:val="0"/>
        <w:widowControl/>
        <w:spacing w:line="190" w:lineRule="auto" w:before="208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24.9. Coordonnées du délégué à la protection des données personnelles</w:t>
      </w:r>
    </w:p>
    <w:p>
      <w:pPr>
        <w:autoSpaceDN w:val="0"/>
        <w:tabs>
          <w:tab w:pos="284" w:val="left"/>
        </w:tabs>
        <w:autoSpaceDE w:val="0"/>
        <w:widowControl/>
        <w:spacing w:line="245" w:lineRule="auto" w:before="222" w:after="0"/>
        <w:ind w:left="0" w:right="216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L’Adhérent peut exercer ses droits sur simple demande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par mail à l’adresse électronique suivante : dpo@kiassure.com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par courrier papier à l’adresse suivante : KIASSURE – DPO – 27 Place aux huiles - 13001 MARSEILLE. </w:t>
      </w:r>
    </w:p>
    <w:p>
      <w:pPr>
        <w:autoSpaceDN w:val="0"/>
        <w:autoSpaceDE w:val="0"/>
        <w:widowControl/>
        <w:spacing w:line="190" w:lineRule="auto" w:before="208" w:after="0"/>
        <w:ind w:left="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>Ou après de l’assureur à l’adresse électronique suivante :</w:t>
      </w:r>
      <w:r>
        <w:rPr>
          <w:u w:val="single" w:color="bac500"/>
          <w:rFonts w:ascii="Poppins" w:hAnsi="Poppins" w:eastAsia="Poppins"/>
          <w:b w:val="0"/>
          <w:i w:val="0"/>
          <w:color w:val="BBC500"/>
          <w:sz w:val="18"/>
        </w:rPr>
        <w:hyperlink r:id="rId19" w:history="1">
          <w:r>
            <w:rPr>
              <w:rStyle w:val="Hyperlink"/>
            </w:rPr>
            <w:t>dpo@acheel.com</w:t>
          </w:r>
        </w:hyperlink>
      </w:r>
    </w:p>
    <w:p>
      <w:pPr>
        <w:autoSpaceDN w:val="0"/>
        <w:autoSpaceDE w:val="0"/>
        <w:widowControl/>
        <w:spacing w:line="190" w:lineRule="auto" w:before="208" w:after="0"/>
        <w:ind w:left="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24.10. Droit d’introduire une réclamation </w:t>
      </w:r>
    </w:p>
    <w:p>
      <w:pPr>
        <w:autoSpaceDN w:val="0"/>
        <w:autoSpaceDE w:val="0"/>
        <w:widowControl/>
        <w:spacing w:line="245" w:lineRule="auto" w:before="222" w:after="0"/>
        <w:ind w:left="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Par ailleurs, l’Adhérent peut introduire une réclamation auprès de la Commission Nationale de l’Informatique et des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Libertés, 3 Place de de Fontenoy- TSA 80715-75334 PARIS CEDEX 07 </w:t>
      </w:r>
    </w:p>
    <w:p>
      <w:pPr>
        <w:autoSpaceDN w:val="0"/>
        <w:tabs>
          <w:tab w:pos="9842" w:val="left"/>
        </w:tabs>
        <w:autoSpaceDE w:val="0"/>
        <w:widowControl/>
        <w:spacing w:line="245" w:lineRule="auto" w:before="634" w:after="0"/>
        <w:ind w:left="9790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22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type w:val="continuous"/>
          <w:pgSz w:w="11906" w:h="16838"/>
          <w:pgMar w:top="178" w:right="198" w:bottom="76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sectPr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78" w:right="198" w:bottom="76" w:left="538" w:header="720" w:footer="720" w:gutter="0"/>
          <w:cols w:num="2" w:equalWidth="0">
            <w:col w:w="4772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09" cy="94996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32"/>
        <w:sectPr>
          <w:type w:val="nextColumn"/>
          <w:pgSz w:w="11906" w:h="16838"/>
          <w:pgMar w:top="178" w:right="198" w:bottom="76" w:left="538" w:header="720" w:footer="720" w:gutter="0"/>
          <w:cols w:num="2" w:equalWidth="0">
            <w:col w:w="4772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auto" w:before="0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24.11. Clause spécifique relative aux obligations réglementaires </w:t>
      </w:r>
    </w:p>
    <w:p>
      <w:pPr>
        <w:autoSpaceDN w:val="0"/>
        <w:autoSpaceDE w:val="0"/>
        <w:widowControl/>
        <w:spacing w:line="245" w:lineRule="auto" w:before="220" w:after="0"/>
        <w:ind w:left="28" w:right="324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Dans le cadre de l’application des dispositions du code monétaire et financier, le recueil d’un certain nombre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d’informations à caractère personnel est obligatoire à des fins de lutte contre le blanchiment des capitaux et le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financement du terrorisme. </w:t>
      </w: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Dans ce cadre, l’Adhérent peut exercer son droit d’accès auprès de la Commission Nationale de l’Informatique et des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Libertés, 3 Place de Fontenoy – TSA 80715 – 75334 PARIS CEDEX 07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22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L’Adhérent et les bénéficiaires disposent également du droit de s’inscrire sur la liste d’opposition au démarchage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téléphonique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Soit par voie postale, en écrivant à :  BLOCTEL – 6, rue Nicolas Siret – 10000 TROYES ;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Soit par connexion au site internet de la société : bloctel.gouv.fr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Cette inscription permet à l’Adhérent de ne pas être sollicité par démarchage téléphonique. </w:t>
      </w: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tout état de cause, l’inscription sur cette liste n’interdit pas à </w:t>
      </w:r>
      <w:r>
        <w:rPr>
          <w:rFonts w:ascii="Poppins" w:hAnsi="Poppins" w:eastAsia="Poppins"/>
          <w:b/>
          <w:i w:val="0"/>
          <w:color w:val="000000"/>
          <w:sz w:val="18"/>
        </w:rPr>
        <w:t>KIASSURE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ou l’Assureur de joindre téléphoniquement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l’Adhérent en cas de relations contractuelles préexistantes. </w:t>
      </w:r>
    </w:p>
    <w:p>
      <w:pPr>
        <w:autoSpaceDN w:val="0"/>
        <w:autoSpaceDE w:val="0"/>
        <w:widowControl/>
        <w:spacing w:line="190" w:lineRule="auto" w:before="20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24.12. Profilage et prise de décision automatisée</w:t>
      </w:r>
    </w:p>
    <w:p>
      <w:pPr>
        <w:autoSpaceDN w:val="0"/>
        <w:autoSpaceDE w:val="0"/>
        <w:widowControl/>
        <w:spacing w:line="245" w:lineRule="auto" w:before="222" w:after="0"/>
        <w:ind w:left="28" w:right="33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Dans le cadre de la souscription et l’exécution du contrat, les risques à assurer peuvent, à partir d’informations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concernant l’Adhérent ou concernant ses biens, être appréciés et quantifiés suivant des traitements automatisés ou faire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intervenir des éléments de profilage le concernant. </w:t>
      </w:r>
    </w:p>
    <w:p>
      <w:pPr>
        <w:autoSpaceDN w:val="0"/>
        <w:autoSpaceDE w:val="0"/>
        <w:widowControl/>
        <w:spacing w:line="190" w:lineRule="auto" w:before="0" w:after="0"/>
        <w:ind w:left="28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tels traitements peuvent avoir un impact sur la tarification ou l'ajustement des garanties. </w:t>
      </w:r>
    </w:p>
    <w:p>
      <w:pPr>
        <w:autoSpaceDN w:val="0"/>
        <w:autoSpaceDE w:val="0"/>
        <w:widowControl/>
        <w:spacing w:line="245" w:lineRule="auto" w:before="0" w:after="0"/>
        <w:ind w:left="28" w:right="33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L’Adhérent dispose du droit d’obtenir une intervention humaine de la part du responsable du traitement, d’exprimer son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point de point de vue et de contester la décision. Il peut exercer ses droits à l’adresse mentionnée pour l’exercice de ces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droits. </w:t>
      </w:r>
    </w:p>
    <w:p>
      <w:pPr>
        <w:autoSpaceDN w:val="0"/>
        <w:autoSpaceDE w:val="0"/>
        <w:widowControl/>
        <w:spacing w:line="190" w:lineRule="auto" w:before="128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24.13. Prospection</w:t>
      </w:r>
    </w:p>
    <w:p>
      <w:pPr>
        <w:autoSpaceDN w:val="0"/>
        <w:autoSpaceDE w:val="0"/>
        <w:widowControl/>
        <w:spacing w:line="245" w:lineRule="auto" w:before="222" w:after="0"/>
        <w:ind w:left="28" w:right="32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Dans le cadre d’opérations de prospection et afin de permettre à l’Adhérent de bénéficier d’une couverture d’assurance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aussi complète que possible et de bénéficier de produits ou services contribuant à ses besoins de protection en matière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d’assurance, certaines données le concernant ou concernant les risques à assurer, peuvent ou pourront entraîner des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décisions automatisées ou fondées sur le profilage, consistant notamment à lui adresser certaines offres commerciales.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L’Adhérent dispose d’un droit d’opposition à recevoir des offres commerciales ainsi que du droit de s’opposer au profilage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ses données lié à la prospection qu’il peut exercer à l’adresse ci-dessus. </w:t>
      </w:r>
    </w:p>
    <w:p>
      <w:pPr>
        <w:autoSpaceDN w:val="0"/>
        <w:autoSpaceDE w:val="0"/>
        <w:widowControl/>
        <w:spacing w:line="190" w:lineRule="auto" w:before="324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25 - AUTORITE DE CONTRÔLE </w:t>
      </w:r>
    </w:p>
    <w:p>
      <w:pPr>
        <w:autoSpaceDN w:val="0"/>
        <w:autoSpaceDE w:val="0"/>
        <w:widowControl/>
        <w:spacing w:line="245" w:lineRule="auto" w:before="258" w:after="0"/>
        <w:ind w:left="28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L’autorité chargée du contrôle des entreprises d’assurances qui accordent les garanties prévues par la présente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adhésion est : l’Autorité de Contrôle Prudentiel et de Résolution (ACPR) – 4 place de Budapest 75436 Paris Cedex 09. </w:t>
      </w:r>
    </w:p>
    <w:p>
      <w:pPr>
        <w:autoSpaceDN w:val="0"/>
        <w:autoSpaceDE w:val="0"/>
        <w:widowControl/>
        <w:spacing w:line="190" w:lineRule="auto" w:before="164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26 - OPPOSITION AU DEMARCHAGE TELEPHONIQUE </w:t>
      </w:r>
    </w:p>
    <w:p>
      <w:pPr>
        <w:autoSpaceDN w:val="0"/>
        <w:autoSpaceDE w:val="0"/>
        <w:widowControl/>
        <w:spacing w:line="245" w:lineRule="auto" w:before="258" w:after="0"/>
        <w:ind w:left="28" w:right="322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Conformément aux dispositions des articles L. 223-1 et L. 223-2 du Code de la consommation, l’Adhérent est informé qu’il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existe une liste d’opposition gratuite au démarchage téléphonique sur laquelle il peut s’inscrire par connexion au site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internet bloctel.gouv.fr. </w:t>
      </w:r>
    </w:p>
    <w:p>
      <w:pPr>
        <w:autoSpaceDN w:val="0"/>
        <w:autoSpaceDE w:val="0"/>
        <w:widowControl/>
        <w:spacing w:line="245" w:lineRule="auto" w:before="228" w:after="0"/>
        <w:ind w:left="28" w:right="32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Cette inscription permet à l’Adhérent de ne pas être sollicité par démarchage téléphonique sur des produits d’assurance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auxquels il n’aurait pas souscrit. En tout état de cause l’inscription sur cette liste n’interdit pas de joindre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téléphoniquement l’Adhérent dans le cadre de l’exécution d’un contrat en cours et ayant un rapport avec l'objet de son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contrat, y compris lorsqu'il s'agit de lui proposer des produits ou des services afférents ou complémentaires à l'objet du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contrat en cours ou de nature à améliorer ses performances ou sa qualité. </w:t>
      </w:r>
    </w:p>
    <w:p>
      <w:pPr>
        <w:autoSpaceDN w:val="0"/>
        <w:tabs>
          <w:tab w:pos="9868" w:val="left"/>
        </w:tabs>
        <w:autoSpaceDE w:val="0"/>
        <w:widowControl/>
        <w:spacing w:line="245" w:lineRule="auto" w:before="1974" w:after="0"/>
        <w:ind w:left="9818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23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type w:val="continuous"/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5639"/>
        <w:gridCol w:w="5639"/>
      </w:tblGrid>
      <w:tr>
        <w:trPr>
          <w:trHeight w:hRule="exact" w:val="1818"/>
        </w:trPr>
        <w:tc>
          <w:tcPr>
            <w:tcW w:type="dxa" w:w="5762"/>
            <w:tcBorders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19250" cy="634999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6349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0" w:lineRule="auto" w:before="232" w:after="0"/>
              <w:ind w:left="2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4"/>
              </w:rPr>
              <w:t xml:space="preserve">ARTICLE 27 - DROIT DE RENONCIATION </w:t>
            </w:r>
          </w:p>
        </w:tc>
        <w:tc>
          <w:tcPr>
            <w:tcW w:type="dxa" w:w="5380"/>
            <w:tcBorders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58109" cy="94996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09" cy="949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0" w:lineRule="auto" w:before="260" w:after="0"/>
        <w:ind w:left="136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L'Adhérent dispose d'un délai pour renoncer à son adhésion aux conditions et selon les modalités décrites ci-après. </w:t>
      </w:r>
    </w:p>
    <w:p>
      <w:pPr>
        <w:autoSpaceDN w:val="0"/>
        <w:autoSpaceDE w:val="0"/>
        <w:widowControl/>
        <w:spacing w:line="192" w:lineRule="auto" w:before="208" w:after="0"/>
        <w:ind w:left="13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27.1. Si le contrat est vendu à distance : </w:t>
      </w:r>
    </w:p>
    <w:p>
      <w:pPr>
        <w:autoSpaceDN w:val="0"/>
        <w:autoSpaceDE w:val="0"/>
        <w:widowControl/>
        <w:spacing w:line="245" w:lineRule="auto" w:before="220" w:after="0"/>
        <w:ind w:left="136" w:right="324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On entend par vente à distance le contrat conclu au moyen d’une ou plusieurs techniques de commercialisation à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distance (cf. notamment de vente par internet). Conformément à l’article L112- 2-1 du code des assurances, un délai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renonciation de quatorze (14) jours calendaires révolus s’applique en cas de vente à distance. </w:t>
      </w:r>
    </w:p>
    <w:p>
      <w:pPr>
        <w:autoSpaceDN w:val="0"/>
        <w:autoSpaceDE w:val="0"/>
        <w:widowControl/>
        <w:spacing w:line="245" w:lineRule="auto" w:before="228" w:after="0"/>
        <w:ind w:left="136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 délai commence à courir soit à compter de la date de signature de son contrat, soit à compter du jour où l’Adhérent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 reçu les conditions contractuelles et les informations particulières si cette dernière date est postérieure. </w:t>
      </w:r>
    </w:p>
    <w:p>
      <w:pPr>
        <w:autoSpaceDN w:val="0"/>
        <w:autoSpaceDE w:val="0"/>
        <w:widowControl/>
        <w:spacing w:line="245" w:lineRule="auto" w:before="230" w:after="0"/>
        <w:ind w:left="136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Si un sinistre survient pendant ce délai de quatorze (14) jours, la cotisation doit avoir été réglée au plus tard lors de la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déclaration du sinistre. </w:t>
      </w:r>
    </w:p>
    <w:p>
      <w:pPr>
        <w:autoSpaceDN w:val="0"/>
        <w:autoSpaceDE w:val="0"/>
        <w:widowControl/>
        <w:spacing w:line="245" w:lineRule="auto" w:before="228" w:after="228"/>
        <w:ind w:left="136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>La demande de renonciation doit être adressée</w:t>
      </w:r>
      <w:r>
        <w:rPr>
          <w:rFonts w:ascii="Poppins" w:hAnsi="Poppins" w:eastAsia="Poppins"/>
          <w:b w:val="0"/>
          <w:i w:val="0"/>
          <w:color w:val="000000"/>
          <w:sz w:val="18"/>
        </w:rPr>
        <w:hyperlink r:id="rId13" w:history="1">
          <w:r>
            <w:rPr>
              <w:rStyle w:val="Hyperlink"/>
            </w:rPr>
            <w:t xml:space="preserve"> par courrier à l'adresse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suivante : KIASSURE – 27 Place aux huiles - 13001 </w:t>
      </w:r>
      <w:r>
        <w:rPr>
          <w:rFonts w:ascii="Poppins" w:hAnsi="Poppins" w:eastAsia="Poppins"/>
          <w:b w:val="0"/>
          <w:i w:val="0"/>
          <w:color w:val="000000"/>
          <w:sz w:val="18"/>
        </w:rPr>
        <w:t>MARSEILLE ou par mail électronique à l’adresse :</w:t>
      </w:r>
      <w:r>
        <w:rPr>
          <w:u w:val="single" w:color="0462c1"/>
          <w:rFonts w:ascii="Poppins" w:hAnsi="Poppins" w:eastAsia="Poppins"/>
          <w:b w:val="0"/>
          <w:i w:val="0"/>
          <w:color w:val="0563C1"/>
          <w:sz w:val="18"/>
        </w:rPr>
        <w:hyperlink r:id="rId13" w:history="1">
          <w:r>
            <w:rPr>
              <w:rStyle w:val="Hyperlink"/>
            </w:rPr>
            <w:t>contact@kiassure.com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8"/>
        </w:rPr>
        <w:hyperlink r:id="rId13" w:history="1">
          <w:r>
            <w:rPr>
              <w:rStyle w:val="Hyperlink"/>
            </w:rPr>
            <w:t>.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278"/>
      </w:tblGrid>
      <w:tr>
        <w:trPr>
          <w:trHeight w:hRule="exact" w:val="3186"/>
        </w:trPr>
        <w:tc>
          <w:tcPr>
            <w:tcW w:type="dxa" w:w="11018"/>
            <w:tcBorders>
              <w:start w:sz="11.199999999999989" w:val="single" w:color="#BAC500"/>
              <w:top w:sz="11.200000000000273" w:val="single" w:color="#BAC500"/>
              <w:end w:sz="11.199999999999818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66" w:val="left"/>
              </w:tabs>
              <w:autoSpaceDE w:val="0"/>
              <w:widowControl/>
              <w:spacing w:line="245" w:lineRule="auto" w:before="42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Modèle de lettre de renonciation en cas de Vente à Distance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Nom, prénom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Adresse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N° du contrat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Mode de paiement choisi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Montant de la cotisation déjà acquitté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Madame, Monsieur,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Conformément aux dispositions de l’article L 112-2-1 II du Code des assurances, j’entends par la présente renoncer au contrat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d’assurance cité en références que j’ai souscrit en date du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45" w:lineRule="auto" w:before="14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Je souhaite donc qu’il soit résilié à compter de la date de réception de la présente lettre. Je vous prie d’agréer, Madame, Monsieur,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l’expression de mes salutations distinguées. 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5" w:lineRule="auto" w:before="14" w:after="0"/>
              <w:ind w:left="108" w:right="8928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Fait le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à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Signatu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re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 de l’Adhérent </w:t>
            </w:r>
          </w:p>
        </w:tc>
      </w:tr>
    </w:tbl>
    <w:p>
      <w:pPr>
        <w:autoSpaceDN w:val="0"/>
        <w:autoSpaceDE w:val="0"/>
        <w:widowControl/>
        <w:spacing w:line="192" w:lineRule="auto" w:before="224" w:after="0"/>
        <w:ind w:left="13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27.2. Si le Contrat est vendu par démarchage : </w:t>
      </w:r>
    </w:p>
    <w:p>
      <w:pPr>
        <w:autoSpaceDN w:val="0"/>
        <w:autoSpaceDE w:val="0"/>
        <w:widowControl/>
        <w:spacing w:line="245" w:lineRule="auto" w:before="220" w:after="0"/>
        <w:ind w:left="136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vente par démarchage est la sollicitation d’un client, même à sa demande, à son domicile, sa résidence ou sur son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lieu de travail, en vue de lui proposer la souscription d’un contrat. </w:t>
      </w:r>
    </w:p>
    <w:p>
      <w:pPr>
        <w:autoSpaceDN w:val="0"/>
        <w:autoSpaceDE w:val="0"/>
        <w:widowControl/>
        <w:spacing w:line="245" w:lineRule="auto" w:before="228" w:after="0"/>
        <w:ind w:left="136" w:right="32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vertu de l’article L112-9 alinéa 1er du code des assurances, “toute personne physique qui fait l’objet d’un démarchage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à son domicile, à sa résidence ou à son lieu de travail même à sa demande, et qui signe dans ce cadre une proposition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d’assurance ou un contrat à des fins qui n’entrent pas dans le cadre de son activité commerciale ou professionnelle, a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faculté d’y renoncer par lettre recommandée avec demande d’avis de réception pendant un délai de 14 jours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calendaires révolus à compter de la date d’adhésion, sans avoir à justifier de motif ni à supporter de pénalités». </w:t>
      </w:r>
    </w:p>
    <w:p>
      <w:pPr>
        <w:autoSpaceDN w:val="0"/>
        <w:autoSpaceDE w:val="0"/>
        <w:widowControl/>
        <w:spacing w:line="245" w:lineRule="auto" w:before="228" w:after="0"/>
        <w:ind w:left="136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Si les conditions précitées sont réunies et sous réserve des autres dispositions de l’article L 112-9 du Code des assurances,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l’Adhérent peut renoncer au présent contrat. </w:t>
      </w:r>
    </w:p>
    <w:p>
      <w:pPr>
        <w:autoSpaceDN w:val="0"/>
        <w:autoSpaceDE w:val="0"/>
        <w:widowControl/>
        <w:spacing w:line="245" w:lineRule="auto" w:before="226" w:after="0"/>
        <w:ind w:left="136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>La demande de renonciation doit être adressée</w:t>
      </w:r>
      <w:r>
        <w:rPr>
          <w:rFonts w:ascii="Poppins" w:hAnsi="Poppins" w:eastAsia="Poppins"/>
          <w:b w:val="0"/>
          <w:i w:val="0"/>
          <w:color w:val="000000"/>
          <w:sz w:val="18"/>
        </w:rPr>
        <w:hyperlink r:id="rId13" w:history="1">
          <w:r>
            <w:rPr>
              <w:rStyle w:val="Hyperlink"/>
            </w:rPr>
            <w:t xml:space="preserve"> par courrier à l’adresse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suivante : KIASSURE – 27 Place aux huiles - 13001 </w:t>
      </w:r>
      <w:r>
        <w:rPr>
          <w:rFonts w:ascii="Poppins" w:hAnsi="Poppins" w:eastAsia="Poppins"/>
          <w:b w:val="0"/>
          <w:i w:val="0"/>
          <w:color w:val="000000"/>
          <w:sz w:val="18"/>
        </w:rPr>
        <w:t>MARSEILLE ou par mail électronique à l’adresse :</w:t>
      </w:r>
      <w:r>
        <w:rPr>
          <w:u w:val="single" w:color="0462c1"/>
          <w:rFonts w:ascii="Poppins" w:hAnsi="Poppins" w:eastAsia="Poppins"/>
          <w:b w:val="0"/>
          <w:i w:val="0"/>
          <w:color w:val="0563C1"/>
          <w:sz w:val="18"/>
        </w:rPr>
        <w:hyperlink r:id="rId13" w:history="1">
          <w:r>
            <w:rPr>
              <w:rStyle w:val="Hyperlink"/>
            </w:rPr>
            <w:t>contact@kiassure.com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8"/>
        </w:rPr>
        <w:hyperlink r:id="rId13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245" w:lineRule="auto" w:before="2484" w:after="0"/>
        <w:ind w:left="9792" w:right="288" w:firstLine="0"/>
        <w:jc w:val="center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24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pgSz w:w="11906" w:h="16838"/>
          <w:pgMar w:top="178" w:right="198" w:bottom="76" w:left="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sectPr>
          <w:pgSz w:w="11906" w:h="16838"/>
          <w:pgMar w:top="178" w:right="198" w:bottom="76" w:left="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3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78" w:right="198" w:bottom="76" w:left="430" w:header="720" w:footer="720" w:gutter="0"/>
          <w:cols w:num="2" w:equalWidth="0">
            <w:col w:w="4880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09" cy="94996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2"/>
        <w:sectPr>
          <w:type w:val="nextColumn"/>
          <w:pgSz w:w="11906" w:h="16838"/>
          <w:pgMar w:top="178" w:right="198" w:bottom="76" w:left="430" w:header="720" w:footer="720" w:gutter="0"/>
          <w:cols w:num="2" w:equalWidth="0">
            <w:col w:w="4880" w:space="0"/>
            <w:col w:w="639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278"/>
      </w:tblGrid>
      <w:tr>
        <w:trPr>
          <w:trHeight w:hRule="exact" w:val="3188"/>
        </w:trPr>
        <w:tc>
          <w:tcPr>
            <w:tcW w:type="dxa" w:w="11018"/>
            <w:tcBorders>
              <w:start w:sz="11.199999999999989" w:val="single" w:color="#BAC500"/>
              <w:top w:sz="11.200000000000045" w:val="single" w:color="#BAC500"/>
              <w:end w:sz="11.199999999999818" w:val="single" w:color="#BAC500"/>
              <w:bottom w:sz="11.20000000000027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5" w:lineRule="auto" w:before="44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Modèle de lettre de renonciation en cas de démarchage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Nom, prénom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Adresse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N° du contrat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Mode de paiement choisi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Montant de la cotisation déjà acquitté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Madame, Monsieur,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Conformément aux dispositions de l’article L 112-9 du Code des assurances, j’entends par la présente renoncer au contrat d’assurance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cité en références que j’ai souscrit en date du </w:t>
            </w:r>
            <w:r>
              <w:br/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190" w:lineRule="auto" w:before="16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Je souhaite donc qu’il soit résilié à compter de la date de réception de la présente lettre. </w:t>
            </w:r>
          </w:p>
          <w:p>
            <w:pPr>
              <w:autoSpaceDN w:val="0"/>
              <w:autoSpaceDE w:val="0"/>
              <w:widowControl/>
              <w:spacing w:line="190" w:lineRule="auto" w:before="16" w:after="6"/>
              <w:ind w:left="10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Je vous prie d’agréer, Madame, Monsieur, l’expression de mes salutations distinguées.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3673"/>
              <w:gridCol w:w="3673"/>
              <w:gridCol w:w="3673"/>
            </w:tblGrid>
            <w:tr>
              <w:trPr>
                <w:trHeight w:hRule="exact" w:val="226"/>
              </w:trPr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 xml:space="preserve">Fait le 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" w:after="0"/>
                    <w:ind w:left="114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>à</w:t>
                  </w:r>
                </w:p>
              </w:tc>
              <w:tc>
                <w:tcPr>
                  <w:tcW w:type="dxa" w:w="6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" w:after="0"/>
                    <w:ind w:left="302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 xml:space="preserve">Signature de l’Adhérent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5" w:lineRule="auto" w:before="246" w:after="0"/>
        <w:ind w:left="136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L’assureur rembourse la cotisation perçue de l’adhérent en application de l’adhésion, à l’exception du montant qui lui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est dû en contrepartie du commencement d’exécution dans les conditions ci-dessus évoquées. </w:t>
      </w:r>
    </w:p>
    <w:p>
      <w:pPr>
        <w:autoSpaceDN w:val="0"/>
        <w:autoSpaceDE w:val="0"/>
        <w:widowControl/>
        <w:spacing w:line="245" w:lineRule="auto" w:before="0" w:after="0"/>
        <w:ind w:left="136" w:right="33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 remboursement intervient au plus tard dans les trente (30) jours suivant la réception par l’assureur de la notification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la renonciation. Toutefois,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si des prestations ont été versées, l’adhérent devra les restituer intégralement,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préalablement à la restitution des cotisations. </w:t>
      </w:r>
    </w:p>
    <w:p>
      <w:pPr>
        <w:autoSpaceDN w:val="0"/>
        <w:autoSpaceDE w:val="0"/>
        <w:widowControl/>
        <w:spacing w:line="190" w:lineRule="auto" w:before="324" w:after="0"/>
        <w:ind w:left="13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28 - TAUX DE REDISTRIBUTION ET DE FRAIS DE GESTION </w:t>
      </w:r>
    </w:p>
    <w:p>
      <w:pPr>
        <w:autoSpaceDN w:val="0"/>
        <w:autoSpaceDE w:val="0"/>
        <w:widowControl/>
        <w:spacing w:line="245" w:lineRule="auto" w:before="256" w:after="0"/>
        <w:ind w:left="136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application de l’arrêté du 6 mai 2020 précisant les modalités de communication liées aux frais de gestion, ACHEEL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communique à l’Adhérent le détail des taux relatifs à ses contrats frais de santé au titre de l’année 2022. </w:t>
      </w:r>
    </w:p>
    <w:p>
      <w:pPr>
        <w:autoSpaceDN w:val="0"/>
        <w:tabs>
          <w:tab w:pos="420" w:val="left"/>
        </w:tabs>
        <w:autoSpaceDE w:val="0"/>
        <w:widowControl/>
        <w:spacing w:line="245" w:lineRule="auto" w:before="166" w:after="0"/>
        <w:ind w:left="136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taux de redistribution s’élève à 63% :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 ratio entre le montant des prestations versées pour le remboursement et l’indemnisation des frais occasionnés par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une maladie, une maternité ou un accident et le montant des cotisations ou primes afférentes à ces garanties représente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la part des cotisations ou primes collectées, hors taxes, par l’organisme assureur au titre de l’ensemble des garanties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couvrant le remboursement ou l’indemnisation des frais précités, qui est utilisée pour le versement des prestations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correspondant à ces garanties. </w:t>
      </w:r>
    </w:p>
    <w:p>
      <w:pPr>
        <w:autoSpaceDN w:val="0"/>
        <w:tabs>
          <w:tab w:pos="420" w:val="left"/>
        </w:tabs>
        <w:autoSpaceDE w:val="0"/>
        <w:widowControl/>
        <w:spacing w:line="245" w:lineRule="auto" w:before="164" w:after="0"/>
        <w:ind w:left="136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montant total des frais de gestion, exprimé en pourcentage des cotisations hors taxes, s’élève à 35% :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 ratio entre le montant total des frais de gestion au titre du remboursement et de l’indemnisation des frais occasionnés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par une maladie, une maternité ou un accident et le montant des cotisations ou primes afférentes à ces garanties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représente la part des cotisations ou primes collectées, hors taxes, par l’organisme assureur au titre de l’ensemble des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garanties couvrant le remboursement ou l’indemnisation des frais précités, qui est utilisée pour le financement des frais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de gestion. </w:t>
      </w:r>
    </w:p>
    <w:p>
      <w:pPr>
        <w:autoSpaceDN w:val="0"/>
        <w:autoSpaceDE w:val="0"/>
        <w:widowControl/>
        <w:spacing w:line="245" w:lineRule="auto" w:before="228" w:after="0"/>
        <w:ind w:left="136" w:right="322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Ces frais de gestion recouvrent l’ensemble des sommes engagées pour concevoir les contrats, les commercialiser (dont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 réseau commercial, le marketing, les commissions des intermédiaires), les souscrire (dont l’encaissement des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cotisations, la gestion des résiliations, le suivi comptable et juridique) et les gérer (dont le remboursement, la gestion du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tiers payant, l’information client, l’assistance, les services, les prestations complémentaires), c’est-à-dire accomplir </w:t>
      </w:r>
      <w:r>
        <w:rPr>
          <w:rFonts w:ascii="Poppins" w:hAnsi="Poppins" w:eastAsia="Poppins"/>
          <w:b w:val="0"/>
          <w:i w:val="0"/>
          <w:color w:val="000000"/>
          <w:sz w:val="18"/>
        </w:rPr>
        <w:t>toutes les tâches incombant à l’organisme assureur dans le respect des garanties contractuelles.</w:t>
      </w:r>
    </w:p>
    <w:p>
      <w:pPr>
        <w:autoSpaceDN w:val="0"/>
        <w:autoSpaceDE w:val="0"/>
        <w:widowControl/>
        <w:spacing w:line="190" w:lineRule="auto" w:before="530" w:after="0"/>
        <w:ind w:left="13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29 - FAUSSE DÉCLARATION </w:t>
      </w:r>
    </w:p>
    <w:p>
      <w:pPr>
        <w:autoSpaceDN w:val="0"/>
        <w:autoSpaceDE w:val="0"/>
        <w:widowControl/>
        <w:spacing w:line="190" w:lineRule="auto" w:before="292" w:after="0"/>
        <w:ind w:left="136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Les déclarations du souscripteur et de l’adhérent servent de base à l’application des garanties. </w:t>
      </w:r>
    </w:p>
    <w:p>
      <w:pPr>
        <w:autoSpaceDN w:val="0"/>
        <w:autoSpaceDE w:val="0"/>
        <w:widowControl/>
        <w:spacing w:line="245" w:lineRule="auto" w:before="228" w:after="0"/>
        <w:ind w:left="136" w:right="324" w:firstLine="0"/>
        <w:jc w:val="both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L’assurance est nulle en cas de réticence ou fausse déclaration intentionnelle de la part de l’adhérent de nature à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>changer l’objet du risque garanti ou à en fausser l’appréciation.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L’organisme assureur doit justifier par tous moyens de 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l’existence du caractère intentionnel de la fausse déclaration. </w:t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>Les cotisations payées restent acquises</w:t>
      </w:r>
      <w:r>
        <w:rPr>
          <w:rFonts w:ascii="Poppins" w:hAnsi="Poppins" w:eastAsia="Poppins"/>
          <w:b/>
          <w:i w:val="0"/>
          <w:color w:val="000000"/>
          <w:sz w:val="18"/>
        </w:rPr>
        <w:t xml:space="preserve">. </w:t>
      </w:r>
    </w:p>
    <w:p>
      <w:pPr>
        <w:autoSpaceDN w:val="0"/>
        <w:autoSpaceDE w:val="0"/>
        <w:widowControl/>
        <w:spacing w:line="245" w:lineRule="auto" w:before="1154" w:after="0"/>
        <w:ind w:left="9792" w:right="288" w:firstLine="0"/>
        <w:jc w:val="center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25 | 26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p>
      <w:pPr>
        <w:sectPr>
          <w:type w:val="continuous"/>
          <w:pgSz w:w="11906" w:h="16838"/>
          <w:pgMar w:top="178" w:right="198" w:bottom="76" w:left="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sectPr>
          <w:pgSz w:w="11906" w:h="16838"/>
          <w:pgMar w:top="178" w:right="198" w:bottom="76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634999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78" w:right="198" w:bottom="76" w:left="538" w:header="720" w:footer="720" w:gutter="0"/>
          <w:cols w:num="2" w:equalWidth="0">
            <w:col w:w="4772" w:space="0"/>
            <w:col w:w="6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09" cy="94996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0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2"/>
        <w:sectPr>
          <w:type w:val="nextColumn"/>
          <w:pgSz w:w="11906" w:h="16838"/>
          <w:pgMar w:top="178" w:right="198" w:bottom="76" w:left="538" w:header="720" w:footer="720" w:gutter="0"/>
          <w:cols w:num="2" w:equalWidth="0">
            <w:col w:w="4772" w:space="0"/>
            <w:col w:w="6398" w:space="0"/>
          </w:cols>
          <w:docGrid w:linePitch="360"/>
        </w:sectPr>
      </w:pPr>
    </w:p>
    <w:p>
      <w:pPr>
        <w:autoSpaceDN w:val="0"/>
        <w:tabs>
          <w:tab w:pos="312" w:val="left"/>
        </w:tabs>
        <w:autoSpaceDE w:val="0"/>
        <w:widowControl/>
        <w:spacing w:line="245" w:lineRule="auto" w:before="0" w:after="0"/>
        <w:ind w:left="28" w:right="72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En cas d’omission ou de déclaration inexacte non intentionnelle, l’organisme assureur peut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Si elle est constatée avant tout sinistre : augmenter la cotisation ou résilier le contrat ;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Si elle est constatée après tout sinistre : réduire le montant de l’indemnité proportionnellement à la cotisation </w:t>
      </w:r>
    </w:p>
    <w:p>
      <w:pPr>
        <w:autoSpaceDN w:val="0"/>
        <w:autoSpaceDE w:val="0"/>
        <w:widowControl/>
        <w:spacing w:line="190" w:lineRule="auto" w:before="0" w:after="0"/>
        <w:ind w:left="312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payée par rapport à celle qui aurait été due si l’organisme assureur avait eu en sa possession la déclaration </w:t>
      </w:r>
    </w:p>
    <w:p>
      <w:pPr>
        <w:autoSpaceDN w:val="0"/>
        <w:autoSpaceDE w:val="0"/>
        <w:widowControl/>
        <w:spacing w:line="190" w:lineRule="auto" w:before="0" w:after="0"/>
        <w:ind w:left="312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exacte et complète. </w:t>
      </w:r>
    </w:p>
    <w:p>
      <w:pPr>
        <w:autoSpaceDN w:val="0"/>
        <w:autoSpaceDE w:val="0"/>
        <w:widowControl/>
        <w:spacing w:line="190" w:lineRule="auto" w:before="166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30 - DÉCHÉANCE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256" w:after="0"/>
        <w:ind w:left="28" w:right="576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L’Adhérent ou le bénéficiaire de la prestation est déchu de tout droit à indemnisation au titre du sinistre concerné: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S’il fait volontairement une fausse déclaration de sinistre ou à l’occasion d’un sinistre, portant sur la date, la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0" w:after="0"/>
        <w:ind w:left="28" w:right="720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nature, les causes, les circonstances ou les conséquences du sinistre,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S’il fournit ou utilise sciemment des renseignements ou des documents inexacts, fabriqués ou falsifiés comme </w:t>
      </w:r>
    </w:p>
    <w:p>
      <w:pPr>
        <w:autoSpaceDN w:val="0"/>
        <w:tabs>
          <w:tab w:pos="312" w:val="left"/>
        </w:tabs>
        <w:autoSpaceDE w:val="0"/>
        <w:widowControl/>
        <w:spacing w:line="245" w:lineRule="auto" w:before="0" w:after="0"/>
        <w:ind w:left="28" w:right="2160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justificatifs ou use d’autres moyens frauduleux en vue d’obtenir le versement des prestations. 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∙</w:t>
      </w:r>
      <w:r>
        <w:tab/>
      </w: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Il s’expose également à ce titre à des poursuites pénales de la part de l’organisme assureur. </w:t>
      </w:r>
    </w:p>
    <w:p>
      <w:pPr>
        <w:autoSpaceDN w:val="0"/>
        <w:autoSpaceDE w:val="0"/>
        <w:widowControl/>
        <w:spacing w:line="190" w:lineRule="auto" w:before="144" w:after="0"/>
        <w:ind w:left="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ARTICLE 31 - JURIDICTION COMPÉTENTE </w:t>
      </w:r>
    </w:p>
    <w:p>
      <w:pPr>
        <w:autoSpaceDN w:val="0"/>
        <w:autoSpaceDE w:val="0"/>
        <w:widowControl/>
        <w:spacing w:line="190" w:lineRule="auto" w:before="258" w:after="0"/>
        <w:ind w:left="28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A défaut de règlement amiable, toute difficulté entre les parties liées à l’exécution ou à l’interprétation du contrat sera </w:t>
      </w:r>
    </w:p>
    <w:p>
      <w:pPr>
        <w:autoSpaceDN w:val="0"/>
        <w:autoSpaceDE w:val="0"/>
        <w:widowControl/>
        <w:spacing w:line="190" w:lineRule="auto" w:before="0" w:after="0"/>
        <w:ind w:left="28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portée devant le tribunal français compétent. </w:t>
      </w:r>
    </w:p>
    <w:p>
      <w:pPr>
        <w:autoSpaceDN w:val="0"/>
        <w:autoSpaceDE w:val="0"/>
        <w:widowControl/>
        <w:spacing w:line="192" w:lineRule="auto" w:before="9734" w:after="0"/>
        <w:ind w:left="0" w:right="306" w:firstLine="0"/>
        <w:jc w:val="righ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26 | 26 </w:t>
      </w:r>
    </w:p>
    <w:p>
      <w:pPr>
        <w:autoSpaceDN w:val="0"/>
        <w:autoSpaceDE w:val="0"/>
        <w:widowControl/>
        <w:spacing w:line="190" w:lineRule="auto" w:before="6" w:after="0"/>
        <w:ind w:left="0" w:right="342" w:firstLine="0"/>
        <w:jc w:val="right"/>
      </w:pP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GOLDENSNI-2024/01 </w:t>
      </w:r>
    </w:p>
    <w:sectPr w:rsidR="00FC693F" w:rsidRPr="0006063C" w:rsidSect="00034616">
      <w:type w:val="continuous"/>
      <w:pgSz w:w="11906" w:h="16838"/>
      <w:pgMar w:top="178" w:right="198" w:bottom="76" w:left="53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mailto:contact@kiassure.com" TargetMode="External"/><Relationship Id="rId14" Type="http://schemas.openxmlformats.org/officeDocument/2006/relationships/hyperlink" Target="http://www.kiassure.com/" TargetMode="External"/><Relationship Id="rId15" Type="http://schemas.openxmlformats.org/officeDocument/2006/relationships/hyperlink" Target="mailto:kiassure@cpms.fr" TargetMode="External"/><Relationship Id="rId16" Type="http://schemas.openxmlformats.org/officeDocument/2006/relationships/hyperlink" Target="mailto:relationclients-gestions@kiassure.com" TargetMode="External"/><Relationship Id="rId17" Type="http://schemas.openxmlformats.org/officeDocument/2006/relationships/hyperlink" Target="mailto:servicereclamation@vivens.fr" TargetMode="External"/><Relationship Id="rId18" Type="http://schemas.openxmlformats.org/officeDocument/2006/relationships/hyperlink" Target="http://www.mediation-assurance.org/" TargetMode="External"/><Relationship Id="rId19" Type="http://schemas.openxmlformats.org/officeDocument/2006/relationships/hyperlink" Target="mailto:dpo@ache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