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02"/>
      </w:tblGrid>
      <w:tr>
        <w:trPr>
          <w:trHeight w:hRule="exact" w:val="466"/>
        </w:trPr>
        <w:tc>
          <w:tcPr>
            <w:tcW w:type="dxa" w:w="10180"/>
            <w:tcBorders/>
            <w:shd w:fill="5b9a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0" w:after="0"/>
              <w:ind w:left="2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FFFFFF"/>
                <w:sz w:val="34"/>
              </w:rPr>
              <w:t xml:space="preserve">Assurance Complémentaire Santé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10202"/>
      </w:tblGrid>
      <w:tr>
        <w:trPr>
          <w:trHeight w:hRule="exact" w:val="298"/>
        </w:trPr>
        <w:tc>
          <w:tcPr>
            <w:tcW w:type="dxa" w:w="6720"/>
            <w:tcBorders/>
            <w:shd w:fill="5b9a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6" w:after="0"/>
              <w:ind w:left="3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FFFFFF"/>
                <w:sz w:val="15"/>
              </w:rPr>
              <w:t xml:space="preserve">Document d'informations sur le produit d'assurance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10202"/>
      </w:tblGrid>
      <w:tr>
        <w:trPr>
          <w:trHeight w:hRule="exact" w:val="664"/>
        </w:trPr>
        <w:tc>
          <w:tcPr>
            <w:tcW w:type="dxa" w:w="10180"/>
            <w:tcBorders/>
            <w:shd w:fill="5b9a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8" w:after="0"/>
              <w:ind w:left="32" w:right="0" w:firstLine="0"/>
              <w:jc w:val="both"/>
            </w:pPr>
            <w:r>
              <w:rPr>
                <w:rFonts w:ascii="CIDFont+F1" w:hAnsi="CIDFont+F1" w:eastAsia="CIDFont+F1"/>
                <w:b w:val="0"/>
                <w:i w:val="0"/>
                <w:color w:val="FFFFFF"/>
                <w:sz w:val="15"/>
              </w:rPr>
              <w:t xml:space="preserve">Produit assuré par ACHEEL SA – 128 rue La Boétie – 75008 Paris – SA au capital de 46 812,48 € - RCS 879 605 350 Paris – Entreprise régie par le Code des assurances. </w:t>
            </w:r>
            <w:r>
              <w:rPr>
                <w:rFonts w:ascii="CIDFont+F1" w:hAnsi="CIDFont+F1" w:eastAsia="CIDFont+F1"/>
                <w:b w:val="0"/>
                <w:i w:val="0"/>
                <w:color w:val="FFFFFF"/>
                <w:sz w:val="15"/>
              </w:rPr>
              <w:t xml:space="preserve">Distribué par KIASSURE – 515, avenue du Prado 13008 Marseille – SARL au capital de 20 000 € - RCS de Marseille 825 261 522 – Intermédiaire en assurance immatriculé </w:t>
            </w:r>
            <w:r>
              <w:rPr>
                <w:rFonts w:ascii="CIDFont+F1" w:hAnsi="CIDFont+F1" w:eastAsia="CIDFont+F1"/>
                <w:b w:val="0"/>
                <w:i w:val="0"/>
                <w:color w:val="FFFFFF"/>
                <w:sz w:val="15"/>
              </w:rPr>
              <w:t xml:space="preserve">en France auprès de l’ORIAS sous le n°17 001 652. Entreprise régie par le Code des assurances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10202"/>
      </w:tblGrid>
      <w:tr>
        <w:trPr>
          <w:trHeight w:hRule="exact" w:val="360"/>
        </w:trPr>
        <w:tc>
          <w:tcPr>
            <w:tcW w:type="dxa" w:w="5980"/>
            <w:tcBorders/>
            <w:shd w:fill="5b9a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6" w:after="0"/>
              <w:ind w:left="32" w:right="0" w:firstLine="0"/>
              <w:jc w:val="left"/>
            </w:pPr>
            <w:r>
              <w:rPr>
                <w:w w:val="97.90630340576172"/>
                <w:rFonts w:ascii="CIDFont+F1" w:hAnsi="CIDFont+F1" w:eastAsia="CIDFont+F1"/>
                <w:b w:val="0"/>
                <w:i w:val="0"/>
                <w:color w:val="FFFFFF"/>
                <w:sz w:val="23"/>
              </w:rPr>
              <w:t>Produit INSTASSUR</w:t>
            </w:r>
          </w:p>
        </w:tc>
      </w:tr>
    </w:tbl>
    <w:p>
      <w:pPr>
        <w:autoSpaceDN w:val="0"/>
        <w:autoSpaceDE w:val="0"/>
        <w:widowControl/>
        <w:spacing w:line="184" w:lineRule="exact" w:before="28" w:after="0"/>
        <w:ind w:left="28" w:right="0" w:firstLine="0"/>
        <w:jc w:val="left"/>
      </w:pP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Ce document d’information présente un résumé des principales garanties et exclusions du produit. Il ne prend pas en compte vos besoins et demandes spécifiques. </w:t>
      </w:r>
      <w:r>
        <w:rPr>
          <w:rFonts w:ascii="CIDFont+F1" w:hAnsi="CIDFont+F1" w:eastAsia="CIDFont+F1"/>
          <w:b w:val="0"/>
          <w:i w:val="0"/>
          <w:color w:val="262626"/>
          <w:sz w:val="15"/>
        </w:rPr>
        <w:t>Toutes les informations complètes sur ce produit sont fournies dans les documents précontractuels et contractuels et, notamment, dans le tableau de garanties ci-</w:t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joint, qui détaille le niveau des remboursements. </w:t>
      </w:r>
    </w:p>
    <w:p>
      <w:pPr>
        <w:autoSpaceDN w:val="0"/>
        <w:autoSpaceDE w:val="0"/>
        <w:widowControl/>
        <w:spacing w:line="276" w:lineRule="exact" w:before="54" w:after="0"/>
        <w:ind w:left="28" w:right="0" w:firstLine="0"/>
        <w:jc w:val="left"/>
      </w:pPr>
      <w:r>
        <w:rPr>
          <w:w w:val="97.90630340576172"/>
          <w:rFonts w:ascii="CIDFont+F2" w:hAnsi="CIDFont+F2" w:eastAsia="CIDFont+F2"/>
          <w:b/>
          <w:i w:val="0"/>
          <w:color w:val="262626"/>
          <w:sz w:val="23"/>
        </w:rPr>
        <w:t>De quel type d'assurance s'agit-il ?</w:t>
      </w:r>
    </w:p>
    <w:p>
      <w:pPr>
        <w:autoSpaceDN w:val="0"/>
        <w:autoSpaceDE w:val="0"/>
        <w:widowControl/>
        <w:spacing w:line="184" w:lineRule="exact" w:before="56" w:after="0"/>
        <w:ind w:left="28" w:right="0" w:firstLine="0"/>
        <w:jc w:val="left"/>
      </w:pP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Le produit INSTASSUR est un produit d'Assurance Complémentaire Santé. </w:t>
      </w:r>
    </w:p>
    <w:p>
      <w:pPr>
        <w:autoSpaceDN w:val="0"/>
        <w:autoSpaceDE w:val="0"/>
        <w:widowControl/>
        <w:spacing w:line="184" w:lineRule="exact" w:before="56" w:after="0"/>
        <w:ind w:left="28" w:right="20" w:firstLine="0"/>
        <w:jc w:val="both"/>
      </w:pP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En cas d’accident, de maladie ou de maternité, il est destiné à rembourser tout ou une partie des frais de santé restant à la charge de l'Adhérent et des éventuels </w:t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bénéficiaires, après l’intervention de son Régime Obligatoire d’assurance maladie et, dans certains cas, des frais non remboursés par ce dernier. Le produit INSTASSUR </w:t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est "responsable" car il respecte les obligations et interdictions de prise en charge fixées par la législation. Il est également "solidaire" car il ne prévoit pas de </w:t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questionnaire d’état de santé et son tarif ne dépend pas de l’état de santé de l'Adhérent. </w:t>
      </w:r>
    </w:p>
    <w:p>
      <w:pPr>
        <w:autoSpaceDN w:val="0"/>
        <w:autoSpaceDE w:val="0"/>
        <w:widowControl/>
        <w:spacing w:line="182" w:lineRule="exact" w:before="56" w:after="62"/>
        <w:ind w:left="28" w:right="0" w:firstLine="0"/>
        <w:jc w:val="left"/>
      </w:pP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Le produit INSTASSUR est conforme au dispositif "100% Santé" qui permet à l’Adhérent de bénéficier d’un zéro reste à charge sur les paniers optique, dentaire et aides </w:t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auditives. </w:t>
      </w:r>
    </w:p>
    <w:p>
      <w:pPr>
        <w:sectPr>
          <w:pgSz w:w="12240" w:h="15840"/>
          <w:pgMar w:top="268" w:right="1014" w:bottom="340" w:left="1024" w:header="720" w:footer="720" w:gutter="0"/>
          <w:cols/>
          <w:docGrid w:linePitch="360"/>
        </w:sectPr>
      </w:pPr>
    </w:p>
    <w:p>
      <w:pPr>
        <w:autoSpaceDN w:val="0"/>
        <w:tabs>
          <w:tab w:pos="1112" w:val="left"/>
        </w:tabs>
        <w:autoSpaceDE w:val="0"/>
        <w:widowControl/>
        <w:spacing w:line="240" w:lineRule="auto" w:before="182" w:after="0"/>
        <w:ind w:left="3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3200" cy="2019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192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65285782586962"/>
          <w:rFonts w:ascii="CIDFont+F2" w:hAnsi="CIDFont+F2" w:eastAsia="CIDFont+F2"/>
          <w:b/>
          <w:i w:val="0"/>
          <w:color w:val="262626"/>
          <w:sz w:val="21"/>
        </w:rPr>
        <w:t>Qu'est-ce qui est assuré 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0202"/>
      </w:tblGrid>
      <w:tr>
        <w:trPr>
          <w:trHeight w:hRule="exact" w:val="980"/>
        </w:trPr>
        <w:tc>
          <w:tcPr>
            <w:tcW w:type="dxa" w:w="4532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4" w:after="0"/>
              <w:ind w:left="368" w:right="70" w:firstLine="0"/>
              <w:jc w:val="both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Les remboursements de frais couverts par l'assurance ne peuvent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pas être plus élevés que les dépenses engagées. Ils sont soumis à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des plafonds qui varient en fonction de la formule et par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conséquent une somme peut rester à votre charge. Le détail de ces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plafonds figure au tableau des garanties ci-joint. </w:t>
            </w:r>
          </w:p>
        </w:tc>
      </w:tr>
    </w:tbl>
    <w:p>
      <w:pPr>
        <w:autoSpaceDN w:val="0"/>
        <w:autoSpaceDE w:val="0"/>
        <w:widowControl/>
        <w:spacing w:line="184" w:lineRule="exact" w:before="28" w:after="28"/>
        <w:ind w:left="396" w:right="0" w:firstLine="0"/>
        <w:jc w:val="left"/>
      </w:pPr>
      <w:r>
        <w:rPr>
          <w:rFonts w:ascii="CIDFont+F2" w:hAnsi="CIDFont+F2" w:eastAsia="CIDFont+F2"/>
          <w:b/>
          <w:i w:val="0"/>
          <w:color w:val="262626"/>
          <w:sz w:val="15"/>
        </w:rPr>
        <w:t xml:space="preserve">LES GARANTIES SYSTEMATIQUEMENT PREVUES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5.99999999999994" w:type="dxa"/>
      </w:tblPr>
      <w:tblGrid>
        <w:gridCol w:w="1700"/>
        <w:gridCol w:w="1700"/>
        <w:gridCol w:w="1700"/>
        <w:gridCol w:w="1700"/>
        <w:gridCol w:w="1700"/>
        <w:gridCol w:w="1700"/>
      </w:tblGrid>
      <w:tr>
        <w:trPr>
          <w:trHeight w:hRule="exact" w:val="2042"/>
        </w:trPr>
        <w:tc>
          <w:tcPr>
            <w:tcW w:type="dxa" w:w="4380"/>
            <w:gridSpan w:val="6"/>
            <w:tcBorders/>
            <w:shd w:fill="e6e6e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8" w:after="0"/>
              <w:ind w:left="540" w:right="86" w:hanging="340"/>
              <w:jc w:val="both"/>
            </w:pPr>
            <w:r>
              <w:rPr>
                <w:w w:val="97.90630340576172"/>
                <w:rFonts w:ascii="CIDFont+F4" w:hAnsi="CIDFont+F4" w:eastAsia="CIDFont+F4"/>
                <w:b w:val="0"/>
                <w:i w:val="0"/>
                <w:color w:val="70AD47"/>
                <w:sz w:val="23"/>
              </w:rPr>
              <w:t>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Hospitalisation : Honoraires, Forfait journalier Hospitalier,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Frais de séjour, Frais de transport remboursés par le Régime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Obligatoire.. </w:t>
            </w:r>
          </w:p>
          <w:p>
            <w:pPr>
              <w:autoSpaceDN w:val="0"/>
              <w:autoSpaceDE w:val="0"/>
              <w:widowControl/>
              <w:spacing w:line="180" w:lineRule="exact" w:before="72" w:after="0"/>
              <w:ind w:left="540" w:right="86" w:hanging="340"/>
              <w:jc w:val="both"/>
            </w:pPr>
            <w:r>
              <w:rPr>
                <w:w w:val="97.90630340576172"/>
                <w:rFonts w:ascii="CIDFont+F4" w:hAnsi="CIDFont+F4" w:eastAsia="CIDFont+F4"/>
                <w:b w:val="0"/>
                <w:i w:val="0"/>
                <w:color w:val="70AD47"/>
                <w:sz w:val="23"/>
              </w:rPr>
              <w:t>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Dentaire : Soins et prothèses 100% Santé (Panier 100%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Santé), Soins dentaires, Prothèses dentaires, Orthodontie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remboursée par le Régime Obligatoire. </w:t>
            </w:r>
          </w:p>
          <w:p>
            <w:pPr>
              <w:autoSpaceDN w:val="0"/>
              <w:autoSpaceDE w:val="0"/>
              <w:widowControl/>
              <w:spacing w:line="182" w:lineRule="exact" w:before="68" w:after="0"/>
              <w:ind w:left="540" w:right="86" w:hanging="340"/>
              <w:jc w:val="both"/>
            </w:pPr>
            <w:r>
              <w:rPr>
                <w:w w:val="97.90630340576172"/>
                <w:rFonts w:ascii="CIDFont+F4" w:hAnsi="CIDFont+F4" w:eastAsia="CIDFont+F4"/>
                <w:b w:val="0"/>
                <w:i w:val="0"/>
                <w:color w:val="70AD47"/>
                <w:sz w:val="23"/>
              </w:rPr>
              <w:t>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Optique : Équipements verres et montures de la Classe A –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Panier 100% Santé, Monture et verre (équipement de la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classe B), Lentilles de contact remboursées ou non par le RO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– Régime Obligatoire. </w:t>
            </w:r>
          </w:p>
        </w:tc>
      </w:tr>
      <w:tr>
        <w:trPr>
          <w:trHeight w:hRule="exact" w:val="242"/>
        </w:trPr>
        <w:tc>
          <w:tcPr>
            <w:tcW w:type="dxa" w:w="96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200" w:right="0" w:firstLine="0"/>
              <w:jc w:val="left"/>
            </w:pPr>
            <w:r>
              <w:rPr>
                <w:w w:val="97.90630340576172"/>
                <w:rFonts w:ascii="CIDFont+F4" w:hAnsi="CIDFont+F4" w:eastAsia="CIDFont+F4"/>
                <w:b w:val="0"/>
                <w:i w:val="0"/>
                <w:color w:val="70AD47"/>
                <w:sz w:val="23"/>
              </w:rPr>
              <w:t>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Soins </w:t>
            </w:r>
          </w:p>
        </w:tc>
        <w:tc>
          <w:tcPr>
            <w:tcW w:type="dxa" w:w="70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courants </w:t>
            </w:r>
          </w:p>
        </w:tc>
        <w:tc>
          <w:tcPr>
            <w:tcW w:type="dxa" w:w="20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: </w:t>
            </w:r>
          </w:p>
        </w:tc>
        <w:tc>
          <w:tcPr>
            <w:tcW w:type="dxa" w:w="86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Honoraires </w:t>
            </w:r>
          </w:p>
        </w:tc>
        <w:tc>
          <w:tcPr>
            <w:tcW w:type="dxa" w:w="78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médicaux, </w:t>
            </w:r>
          </w:p>
        </w:tc>
        <w:tc>
          <w:tcPr>
            <w:tcW w:type="dxa" w:w="88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Honoraires </w:t>
            </w:r>
          </w:p>
        </w:tc>
      </w:tr>
      <w:tr>
        <w:trPr>
          <w:trHeight w:hRule="exact" w:val="368"/>
        </w:trPr>
        <w:tc>
          <w:tcPr>
            <w:tcW w:type="dxa" w:w="4380"/>
            <w:gridSpan w:val="6"/>
            <w:tcBorders/>
            <w:shd w:fill="e6e6e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" w:after="0"/>
              <w:ind w:left="54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paramédicaux, Imagerie médicale, Analyses et examens de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laboratoire. </w:t>
            </w:r>
          </w:p>
        </w:tc>
      </w:tr>
    </w:tbl>
    <w:p>
      <w:pPr>
        <w:autoSpaceDN w:val="0"/>
        <w:tabs>
          <w:tab w:pos="736" w:val="left"/>
        </w:tabs>
        <w:autoSpaceDE w:val="0"/>
        <w:widowControl/>
        <w:spacing w:line="176" w:lineRule="exact" w:before="76" w:after="0"/>
        <w:ind w:left="396" w:right="144" w:firstLine="0"/>
        <w:jc w:val="left"/>
      </w:pPr>
      <w:r>
        <w:rPr>
          <w:w w:val="97.90630340576172"/>
          <w:rFonts w:ascii="CIDFont+F4" w:hAnsi="CIDFont+F4" w:eastAsia="CIDFont+F4"/>
          <w:b w:val="0"/>
          <w:i w:val="0"/>
          <w:color w:val="70AD47"/>
          <w:sz w:val="23"/>
        </w:rPr>
        <w:t></w:t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Pharmacie : Médicaments et homéopathie pris en charge par </w:t>
      </w:r>
      <w:r>
        <w:tab/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le RO – Régime Obligatoire. </w:t>
      </w:r>
    </w:p>
    <w:p>
      <w:pPr>
        <w:autoSpaceDN w:val="0"/>
        <w:tabs>
          <w:tab w:pos="736" w:val="left"/>
        </w:tabs>
        <w:autoSpaceDE w:val="0"/>
        <w:widowControl/>
        <w:spacing w:line="174" w:lineRule="exact" w:before="78" w:after="0"/>
        <w:ind w:left="396" w:right="144" w:firstLine="0"/>
        <w:jc w:val="left"/>
      </w:pPr>
      <w:r>
        <w:rPr>
          <w:w w:val="97.90630340576172"/>
          <w:rFonts w:ascii="CIDFont+F4" w:hAnsi="CIDFont+F4" w:eastAsia="CIDFont+F4"/>
          <w:b w:val="0"/>
          <w:i w:val="0"/>
          <w:color w:val="70AD47"/>
          <w:sz w:val="23"/>
        </w:rPr>
        <w:t></w:t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Aides auditives : Equipements 100% Santé (Classe I – Panier </w:t>
      </w:r>
      <w:r>
        <w:tab/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100% Santé), Prothèses auditives de la Classe II. </w:t>
      </w:r>
    </w:p>
    <w:p>
      <w:pPr>
        <w:autoSpaceDN w:val="0"/>
        <w:tabs>
          <w:tab w:pos="736" w:val="left"/>
        </w:tabs>
        <w:autoSpaceDE w:val="0"/>
        <w:widowControl/>
        <w:spacing w:line="204" w:lineRule="exact" w:before="46" w:after="0"/>
        <w:ind w:left="396" w:right="144" w:firstLine="0"/>
        <w:jc w:val="left"/>
      </w:pPr>
      <w:r>
        <w:rPr>
          <w:w w:val="97.90630340576172"/>
          <w:rFonts w:ascii="CIDFont+F4" w:hAnsi="CIDFont+F4" w:eastAsia="CIDFont+F4"/>
          <w:b w:val="0"/>
          <w:i w:val="0"/>
          <w:color w:val="70AD47"/>
          <w:sz w:val="23"/>
        </w:rPr>
        <w:t></w:t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Prévention et Bien-être : Cure thermale prise en charge par le </w:t>
      </w:r>
      <w:r>
        <w:tab/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RO - Régime Obligatoire </w:t>
      </w:r>
      <w:r>
        <w:br/>
      </w:r>
      <w:r>
        <w:rPr>
          <w:rFonts w:ascii="CIDFont+F2" w:hAnsi="CIDFont+F2" w:eastAsia="CIDFont+F2"/>
          <w:b/>
          <w:i w:val="0"/>
          <w:color w:val="262626"/>
          <w:sz w:val="15"/>
        </w:rPr>
        <w:t xml:space="preserve">LES GARANTIES NON SYSTEMATIQUEMENT PREVUES </w:t>
      </w:r>
      <w:r>
        <w:br/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Hospitalisation : Frais d'accompagnement, Chambre individuelle, </w:t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Confort hospitalier. Prévention et Bien être : Médecine naturelle, </w:t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Cure thermale prise en charge par le RO – Régime Obligatoire. </w:t>
      </w:r>
    </w:p>
    <w:p>
      <w:pPr>
        <w:autoSpaceDN w:val="0"/>
        <w:tabs>
          <w:tab w:pos="736" w:val="left"/>
        </w:tabs>
        <w:autoSpaceDE w:val="0"/>
        <w:widowControl/>
        <w:spacing w:line="252" w:lineRule="exact" w:before="0" w:after="118"/>
        <w:ind w:left="396" w:right="144" w:firstLine="0"/>
        <w:jc w:val="left"/>
      </w:pPr>
      <w:r>
        <w:rPr>
          <w:rFonts w:ascii="CIDFont+F2" w:hAnsi="CIDFont+F2" w:eastAsia="CIDFont+F2"/>
          <w:b/>
          <w:i w:val="0"/>
          <w:color w:val="262626"/>
          <w:sz w:val="15"/>
        </w:rPr>
        <w:t xml:space="preserve">LES SERVICES SYSTEMATIQUEMENT INCLUS : </w:t>
      </w:r>
      <w:r>
        <w:br/>
      </w:r>
      <w:r>
        <w:rPr>
          <w:w w:val="97.90630340576172"/>
          <w:rFonts w:ascii="CIDFont+F4" w:hAnsi="CIDFont+F4" w:eastAsia="CIDFont+F4"/>
          <w:b w:val="0"/>
          <w:i w:val="0"/>
          <w:color w:val="70AD47"/>
          <w:sz w:val="23"/>
        </w:rPr>
        <w:t></w:t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Tiers Payant, via le réseau Almerys (dispense d'avance de frais </w:t>
      </w:r>
      <w:r>
        <w:tab/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chez de nombreux professionnels de santé) </w:t>
      </w:r>
      <w:r>
        <w:br/>
      </w:r>
      <w:r>
        <w:rPr>
          <w:w w:val="97.90630340576172"/>
          <w:rFonts w:ascii="CIDFont+F4" w:hAnsi="CIDFont+F4" w:eastAsia="CIDFont+F4"/>
          <w:b w:val="0"/>
          <w:i w:val="0"/>
          <w:color w:val="70AD47"/>
          <w:sz w:val="23"/>
        </w:rPr>
        <w:t></w:t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Espace client </w:t>
      </w:r>
      <w:r>
        <w:br/>
      </w:r>
      <w:r>
        <w:rPr>
          <w:rFonts w:ascii="CIDFont+F2" w:hAnsi="CIDFont+F2" w:eastAsia="CIDFont+F2"/>
          <w:b/>
          <w:i w:val="0"/>
          <w:color w:val="262626"/>
          <w:sz w:val="15"/>
        </w:rPr>
        <w:t xml:space="preserve">L'ASSISTANCE SYSTEMATIQUEMENT INCLUSE : </w:t>
      </w:r>
      <w:r>
        <w:br/>
      </w:r>
      <w:r>
        <w:rPr>
          <w:w w:val="97.90630340576172"/>
          <w:rFonts w:ascii="CIDFont+F4" w:hAnsi="CIDFont+F4" w:eastAsia="CIDFont+F4"/>
          <w:b w:val="0"/>
          <w:i w:val="0"/>
          <w:color w:val="70AD47"/>
          <w:sz w:val="23"/>
        </w:rPr>
        <w:t></w:t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Assistance RMA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5.99999999999994" w:type="dxa"/>
      </w:tblPr>
      <w:tblGrid>
        <w:gridCol w:w="10202"/>
      </w:tblGrid>
      <w:tr>
        <w:trPr>
          <w:trHeight w:hRule="exact" w:val="466"/>
        </w:trPr>
        <w:tc>
          <w:tcPr>
            <w:tcW w:type="dxa" w:w="432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2" w:after="0"/>
              <w:ind w:left="200" w:right="144" w:firstLine="0"/>
              <w:jc w:val="left"/>
            </w:pPr>
            <w:r>
              <w:rPr>
                <w:rFonts w:ascii="CIDFont+F6" w:hAnsi="CIDFont+F6" w:eastAsia="CIDFont+F6"/>
                <w:b w:val="0"/>
                <w:i/>
                <w:color w:val="000000"/>
                <w:sz w:val="15"/>
              </w:rPr>
              <w:t xml:space="preserve">Les garanties précédées d'une coche     sont systématiquement </w:t>
            </w:r>
            <w:r>
              <w:rPr>
                <w:rFonts w:ascii="CIDFont+F6" w:hAnsi="CIDFont+F6" w:eastAsia="CIDFont+F6"/>
                <w:b w:val="0"/>
                <w:i/>
                <w:color w:val="000000"/>
                <w:sz w:val="15"/>
              </w:rPr>
              <w:t>prévues au contrat.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268" w:right="1014" w:bottom="340" w:left="1024" w:header="720" w:footer="720" w:gutter="0"/>
          <w:cols w:num="2" w:equalWidth="0">
            <w:col w:w="4694" w:space="0"/>
            <w:col w:w="55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.0000000000009" w:type="dxa"/>
      </w:tblPr>
      <w:tblGrid>
        <w:gridCol w:w="5101"/>
        <w:gridCol w:w="5101"/>
      </w:tblGrid>
      <w:tr>
        <w:trPr>
          <w:trHeight w:hRule="exact" w:val="2550"/>
        </w:trPr>
        <w:tc>
          <w:tcPr>
            <w:tcW w:type="dxa" w:w="688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0" w:right="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2019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19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54" w:lineRule="exact" w:before="24" w:after="0"/>
              <w:ind w:left="288" w:right="210" w:firstLine="0"/>
              <w:jc w:val="right"/>
            </w:pPr>
            <w:r>
              <w:rPr>
                <w:w w:val="97.90630340576172"/>
                <w:rFonts w:ascii="CIDFont+F2" w:hAnsi="CIDFont+F2" w:eastAsia="CIDFont+F2"/>
                <w:b/>
                <w:i w:val="0"/>
                <w:color w:val="980000"/>
                <w:sz w:val="23"/>
              </w:rPr>
              <w:t>×</w:t>
            </w:r>
            <w:r>
              <w:br/>
            </w:r>
            <w:r>
              <w:rPr>
                <w:w w:val="97.90630340576172"/>
                <w:rFonts w:ascii="CIDFont+F2" w:hAnsi="CIDFont+F2" w:eastAsia="CIDFont+F2"/>
                <w:b/>
                <w:i w:val="0"/>
                <w:color w:val="980000"/>
                <w:sz w:val="23"/>
              </w:rPr>
              <w:t>×</w:t>
            </w:r>
          </w:p>
          <w:p>
            <w:pPr>
              <w:autoSpaceDN w:val="0"/>
              <w:autoSpaceDE w:val="0"/>
              <w:widowControl/>
              <w:spacing w:line="274" w:lineRule="exact" w:before="162" w:after="0"/>
              <w:ind w:left="0" w:right="210" w:firstLine="0"/>
              <w:jc w:val="right"/>
            </w:pPr>
            <w:r>
              <w:rPr>
                <w:w w:val="97.90630340576172"/>
                <w:rFonts w:ascii="CIDFont+F2" w:hAnsi="CIDFont+F2" w:eastAsia="CIDFont+F2"/>
                <w:b/>
                <w:i w:val="0"/>
                <w:color w:val="980000"/>
                <w:sz w:val="23"/>
              </w:rPr>
              <w:t>×</w:t>
            </w:r>
          </w:p>
          <w:p>
            <w:pPr>
              <w:autoSpaceDN w:val="0"/>
              <w:autoSpaceDE w:val="0"/>
              <w:widowControl/>
              <w:spacing w:line="274" w:lineRule="exact" w:before="350" w:after="0"/>
              <w:ind w:left="0" w:right="210" w:firstLine="0"/>
              <w:jc w:val="right"/>
            </w:pPr>
            <w:r>
              <w:rPr>
                <w:w w:val="97.90630340576172"/>
                <w:rFonts w:ascii="CIDFont+F2" w:hAnsi="CIDFont+F2" w:eastAsia="CIDFont+F2"/>
                <w:b/>
                <w:i w:val="0"/>
                <w:color w:val="980000"/>
                <w:sz w:val="23"/>
              </w:rPr>
              <w:t>×</w:t>
            </w:r>
          </w:p>
          <w:p>
            <w:pPr>
              <w:autoSpaceDN w:val="0"/>
              <w:autoSpaceDE w:val="0"/>
              <w:widowControl/>
              <w:spacing w:line="276" w:lineRule="exact" w:before="164" w:after="0"/>
              <w:ind w:left="0" w:right="210" w:firstLine="0"/>
              <w:jc w:val="right"/>
            </w:pPr>
            <w:r>
              <w:rPr>
                <w:w w:val="97.90630340576172"/>
                <w:rFonts w:ascii="CIDFont+F2" w:hAnsi="CIDFont+F2" w:eastAsia="CIDFont+F2"/>
                <w:b/>
                <w:i w:val="0"/>
                <w:color w:val="980000"/>
                <w:sz w:val="23"/>
              </w:rPr>
              <w:t>×</w:t>
            </w:r>
          </w:p>
        </w:tc>
        <w:tc>
          <w:tcPr>
            <w:tcW w:type="dxa" w:w="464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82" w:after="0"/>
              <w:ind w:left="404" w:right="0" w:firstLine="0"/>
              <w:jc w:val="left"/>
            </w:pPr>
            <w:r>
              <w:rPr>
                <w:w w:val="98.65285782586962"/>
                <w:rFonts w:ascii="CIDFont+F2" w:hAnsi="CIDFont+F2" w:eastAsia="CIDFont+F2"/>
                <w:b/>
                <w:i w:val="0"/>
                <w:color w:val="262626"/>
                <w:sz w:val="21"/>
              </w:rPr>
              <w:t xml:space="preserve">Qu'est-ce qui n'est pas assuré ? </w:t>
            </w:r>
          </w:p>
          <w:p>
            <w:pPr>
              <w:autoSpaceDN w:val="0"/>
              <w:autoSpaceDE w:val="0"/>
              <w:widowControl/>
              <w:spacing w:line="184" w:lineRule="exact" w:before="140" w:after="0"/>
              <w:ind w:left="1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Les soins reçus en dehors de la période de validité du contrat, </w:t>
            </w:r>
          </w:p>
          <w:p>
            <w:pPr>
              <w:autoSpaceDN w:val="0"/>
              <w:autoSpaceDE w:val="0"/>
              <w:widowControl/>
              <w:spacing w:line="182" w:lineRule="exact" w:before="72" w:after="0"/>
              <w:ind w:left="1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Les indemnités versées en complément de la sécurité sociale en cas d'arrêt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de travail, </w:t>
            </w:r>
          </w:p>
          <w:p>
            <w:pPr>
              <w:autoSpaceDN w:val="0"/>
              <w:autoSpaceDE w:val="0"/>
              <w:widowControl/>
              <w:spacing w:line="184" w:lineRule="exact" w:before="70" w:after="0"/>
              <w:ind w:left="16" w:right="70" w:firstLine="0"/>
              <w:jc w:val="both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Les actes ne figurant pas sur la Nomenclature Générale des Actes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Professionnels (NGAP) ou dans la Classification Commune des Actes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Médicaux (CCAM), sauf cas particuliers prévus à l'adhésion, </w:t>
            </w:r>
          </w:p>
          <w:p>
            <w:pPr>
              <w:autoSpaceDN w:val="0"/>
              <w:autoSpaceDE w:val="0"/>
              <w:widowControl/>
              <w:spacing w:line="182" w:lineRule="exact" w:before="74" w:after="0"/>
              <w:ind w:left="1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Les adhérents assurés principaux de moins de 18 ans et de plus de 85 ans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à la souscription. </w:t>
            </w:r>
          </w:p>
          <w:p>
            <w:pPr>
              <w:autoSpaceDN w:val="0"/>
              <w:autoSpaceDE w:val="0"/>
              <w:widowControl/>
              <w:spacing w:line="184" w:lineRule="exact" w:before="74" w:after="0"/>
              <w:ind w:left="1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Les ayants droits de plus de 85 ans à la souscription.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2.00000000000045" w:type="dxa"/>
      </w:tblPr>
      <w:tblGrid>
        <w:gridCol w:w="5101"/>
        <w:gridCol w:w="5101"/>
      </w:tblGrid>
      <w:tr>
        <w:trPr>
          <w:trHeight w:hRule="exact" w:val="412"/>
        </w:trPr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258" w:right="0" w:firstLine="0"/>
              <w:jc w:val="left"/>
            </w:pPr>
            <w:r>
              <w:rPr>
                <w:rFonts w:ascii="CIDFont+F2" w:hAnsi="CIDFont+F2" w:eastAsia="CIDFont+F2"/>
                <w:b/>
                <w:i w:val="0"/>
                <w:color w:val="262626"/>
                <w:sz w:val="15"/>
              </w:rPr>
              <w:t xml:space="preserve">Cette liste n'est pas exhaustive. </w:t>
            </w:r>
          </w:p>
        </w:tc>
      </w:tr>
      <w:tr>
        <w:trPr>
          <w:trHeight w:hRule="exact" w:val="57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03200" cy="203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22" w:after="0"/>
              <w:ind w:left="204" w:right="0" w:firstLine="0"/>
              <w:jc w:val="left"/>
            </w:pPr>
            <w:r>
              <w:rPr>
                <w:w w:val="98.65285782586962"/>
                <w:rFonts w:ascii="CIDFont+F2" w:hAnsi="CIDFont+F2" w:eastAsia="CIDFont+F2"/>
                <w:b/>
                <w:i w:val="0"/>
                <w:color w:val="262626"/>
                <w:sz w:val="21"/>
              </w:rPr>
              <w:t xml:space="preserve">Y-a-t-il des exclusions à la couverture ?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.0000000000009" w:type="dxa"/>
      </w:tblPr>
      <w:tblGrid>
        <w:gridCol w:w="5101"/>
        <w:gridCol w:w="5101"/>
      </w:tblGrid>
      <w:tr>
        <w:trPr>
          <w:trHeight w:hRule="exact" w:val="262"/>
        </w:trPr>
        <w:tc>
          <w:tcPr>
            <w:tcW w:type="dxa" w:w="5328"/>
            <w:gridSpan w:val="2"/>
            <w:tcBorders/>
            <w:shd w:fill="e6e6e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366" w:right="0" w:firstLine="0"/>
              <w:jc w:val="left"/>
            </w:pPr>
            <w:r>
              <w:rPr>
                <w:rFonts w:ascii="CIDFont+F2" w:hAnsi="CIDFont+F2" w:eastAsia="CIDFont+F2"/>
                <w:b/>
                <w:i w:val="0"/>
                <w:color w:val="262626"/>
                <w:sz w:val="15"/>
              </w:rPr>
              <w:t xml:space="preserve">PRINCIPALES EXCLUSIONS </w:t>
            </w:r>
          </w:p>
        </w:tc>
      </w:tr>
      <w:tr>
        <w:trPr>
          <w:trHeight w:hRule="exact" w:val="460"/>
        </w:trPr>
        <w:tc>
          <w:tcPr>
            <w:tcW w:type="dxa" w:w="568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0" w:right="128" w:firstLine="0"/>
              <w:jc w:val="right"/>
            </w:pPr>
            <w:r>
              <w:rPr>
                <w:w w:val="97.90630340576172"/>
                <w:rFonts w:ascii="CIDFont+F2" w:hAnsi="CIDFont+F2" w:eastAsia="CIDFont+F2"/>
                <w:b/>
                <w:i w:val="0"/>
                <w:color w:val="ED7D31"/>
                <w:sz w:val="23"/>
              </w:rPr>
              <w:t>!</w:t>
            </w:r>
          </w:p>
        </w:tc>
        <w:tc>
          <w:tcPr>
            <w:tcW w:type="dxa" w:w="476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96" w:after="0"/>
              <w:ind w:left="13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Les exclusions imposées par le dispositif législatif des contrats dits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"responsables", </w:t>
            </w:r>
          </w:p>
        </w:tc>
      </w:tr>
      <w:tr>
        <w:trPr>
          <w:trHeight w:hRule="exact" w:val="440"/>
        </w:trPr>
        <w:tc>
          <w:tcPr>
            <w:tcW w:type="dxa" w:w="568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0" w:after="0"/>
              <w:ind w:left="0" w:right="128" w:firstLine="0"/>
              <w:jc w:val="right"/>
            </w:pPr>
            <w:r>
              <w:rPr>
                <w:w w:val="97.90630340576172"/>
                <w:rFonts w:ascii="CIDFont+F2" w:hAnsi="CIDFont+F2" w:eastAsia="CIDFont+F2"/>
                <w:b/>
                <w:i w:val="0"/>
                <w:color w:val="ED7D31"/>
                <w:sz w:val="23"/>
              </w:rPr>
              <w:t>!</w:t>
            </w:r>
          </w:p>
        </w:tc>
        <w:tc>
          <w:tcPr>
            <w:tcW w:type="dxa" w:w="476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13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La chirurgie non prise en charge par la sécurité sociale, dans un but de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rajeunissement ou esthétique, </w:t>
            </w:r>
          </w:p>
        </w:tc>
      </w:tr>
      <w:tr>
        <w:trPr>
          <w:trHeight w:hRule="exact" w:val="440"/>
        </w:trPr>
        <w:tc>
          <w:tcPr>
            <w:tcW w:type="dxa" w:w="568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" w:after="0"/>
              <w:ind w:left="0" w:right="128" w:firstLine="0"/>
              <w:jc w:val="right"/>
            </w:pPr>
            <w:r>
              <w:rPr>
                <w:w w:val="97.90630340576172"/>
                <w:rFonts w:ascii="CIDFont+F2" w:hAnsi="CIDFont+F2" w:eastAsia="CIDFont+F2"/>
                <w:b/>
                <w:i w:val="0"/>
                <w:color w:val="ED7D31"/>
                <w:sz w:val="23"/>
              </w:rPr>
              <w:t>!</w:t>
            </w:r>
          </w:p>
        </w:tc>
        <w:tc>
          <w:tcPr>
            <w:tcW w:type="dxa" w:w="476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3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Les cures d'amaigrissement, de sommeil, de désintoxication ou les séjours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en institut médico-pédagogique et établissements similaires, </w:t>
            </w:r>
          </w:p>
        </w:tc>
      </w:tr>
      <w:tr>
        <w:trPr>
          <w:trHeight w:hRule="exact" w:val="440"/>
        </w:trPr>
        <w:tc>
          <w:tcPr>
            <w:tcW w:type="dxa" w:w="568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0" w:right="128" w:firstLine="0"/>
              <w:jc w:val="right"/>
            </w:pPr>
            <w:r>
              <w:rPr>
                <w:w w:val="97.90630340576172"/>
                <w:rFonts w:ascii="CIDFont+F2" w:hAnsi="CIDFont+F2" w:eastAsia="CIDFont+F2"/>
                <w:b/>
                <w:i w:val="0"/>
                <w:color w:val="ED7D31"/>
                <w:sz w:val="23"/>
              </w:rPr>
              <w:t>!</w:t>
            </w:r>
          </w:p>
        </w:tc>
        <w:tc>
          <w:tcPr>
            <w:tcW w:type="dxa" w:w="476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2" w:after="0"/>
              <w:ind w:left="136" w:right="144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Les garanties ne s'exercent pas en cas : </w:t>
            </w:r>
            <w:r>
              <w:br/>
            </w:r>
            <w:r>
              <w:rPr>
                <w:rFonts w:ascii="CIDFont+F7" w:hAnsi="CIDFont+F7" w:eastAsia="CIDFont+F7"/>
                <w:b w:val="0"/>
                <w:i w:val="0"/>
                <w:color w:val="100B07"/>
                <w:sz w:val="13"/>
              </w:rPr>
              <w:t>-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De guerre civile ou étrangère, d'émeutes ou mouvement populaires, </w:t>
            </w:r>
          </w:p>
        </w:tc>
      </w:tr>
      <w:tr>
        <w:trPr>
          <w:trHeight w:hRule="exact" w:val="196"/>
        </w:trPr>
        <w:tc>
          <w:tcPr>
            <w:tcW w:type="dxa" w:w="5328"/>
            <w:gridSpan w:val="2"/>
            <w:tcBorders/>
            <w:shd w:fill="e6e6e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" w:after="0"/>
              <w:ind w:left="704" w:right="0" w:firstLine="0"/>
              <w:jc w:val="left"/>
            </w:pPr>
            <w:r>
              <w:rPr>
                <w:rFonts w:ascii="CIDFont+F7" w:hAnsi="CIDFont+F7" w:eastAsia="CIDFont+F7"/>
                <w:b w:val="0"/>
                <w:i w:val="0"/>
                <w:color w:val="100B07"/>
                <w:sz w:val="13"/>
              </w:rPr>
              <w:t>-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D'une aggravation due à l'inobservation intentionnelle par l'Assuré des </w:t>
            </w:r>
          </w:p>
        </w:tc>
      </w:tr>
    </w:tbl>
    <w:p>
      <w:pPr>
        <w:autoSpaceDN w:val="0"/>
        <w:tabs>
          <w:tab w:pos="970" w:val="left"/>
        </w:tabs>
        <w:autoSpaceDE w:val="0"/>
        <w:widowControl/>
        <w:spacing w:line="184" w:lineRule="exact" w:before="2" w:after="26"/>
        <w:ind w:left="838" w:right="288" w:firstLine="0"/>
        <w:jc w:val="left"/>
      </w:pP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prescriptions du médecin, </w:t>
      </w:r>
      <w:r>
        <w:br/>
      </w:r>
      <w:r>
        <w:rPr>
          <w:rFonts w:ascii="CIDFont+F7" w:hAnsi="CIDFont+F7" w:eastAsia="CIDFont+F7"/>
          <w:b w:val="0"/>
          <w:i w:val="0"/>
          <w:color w:val="100B07"/>
          <w:sz w:val="13"/>
        </w:rPr>
        <w:t>-</w:t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Des désintégration du noyau atomique ou de radiations ionisantes.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2.00000000000045" w:type="dxa"/>
      </w:tblPr>
      <w:tblGrid>
        <w:gridCol w:w="5101"/>
        <w:gridCol w:w="5101"/>
      </w:tblGrid>
      <w:tr>
        <w:trPr>
          <w:trHeight w:hRule="exact" w:val="636"/>
        </w:trPr>
        <w:tc>
          <w:tcPr>
            <w:tcW w:type="dxa" w:w="5200"/>
            <w:gridSpan w:val="2"/>
            <w:tcBorders/>
            <w:shd w:fill="e6e6e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58" w:right="0" w:firstLine="0"/>
              <w:jc w:val="left"/>
            </w:pPr>
            <w:r>
              <w:rPr>
                <w:rFonts w:ascii="CIDFont+F2" w:hAnsi="CIDFont+F2" w:eastAsia="CIDFont+F2"/>
                <w:b/>
                <w:i w:val="0"/>
                <w:color w:val="262626"/>
                <w:sz w:val="15"/>
              </w:rPr>
              <w:t xml:space="preserve">PRINCIPALES RESTRICTIONS 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Chambre particulière : Prise en charge par an et par bénéficiaire, pour une durée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limitée à 30 jours, </w:t>
            </w:r>
          </w:p>
        </w:tc>
      </w:tr>
      <w:tr>
        <w:trPr>
          <w:trHeight w:hRule="exact" w:val="432"/>
        </w:trPr>
        <w:tc>
          <w:tcPr>
            <w:tcW w:type="dxa" w:w="46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128" w:firstLine="0"/>
              <w:jc w:val="right"/>
            </w:pPr>
            <w:r>
              <w:rPr>
                <w:w w:val="97.90630340576172"/>
                <w:rFonts w:ascii="CIDFont+F2" w:hAnsi="CIDFont+F2" w:eastAsia="CIDFont+F2"/>
                <w:b/>
                <w:i w:val="0"/>
                <w:color w:val="ED7D31"/>
                <w:sz w:val="23"/>
              </w:rPr>
              <w:t>!</w:t>
            </w:r>
          </w:p>
        </w:tc>
        <w:tc>
          <w:tcPr>
            <w:tcW w:type="dxa" w:w="474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4" w:after="0"/>
              <w:ind w:left="13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Frais accompagnant : Garantie disponible à partir de la deuxième année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d'assurance dans la limite de 15 jours par an, </w:t>
            </w:r>
          </w:p>
        </w:tc>
      </w:tr>
      <w:tr>
        <w:trPr>
          <w:trHeight w:hRule="exact" w:val="440"/>
        </w:trPr>
        <w:tc>
          <w:tcPr>
            <w:tcW w:type="dxa" w:w="46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" w:after="0"/>
              <w:ind w:left="0" w:right="128" w:firstLine="0"/>
              <w:jc w:val="right"/>
            </w:pPr>
            <w:r>
              <w:rPr>
                <w:w w:val="97.90630340576172"/>
                <w:rFonts w:ascii="CIDFont+F2" w:hAnsi="CIDFont+F2" w:eastAsia="CIDFont+F2"/>
                <w:b/>
                <w:i w:val="0"/>
                <w:color w:val="ED7D31"/>
                <w:sz w:val="23"/>
              </w:rPr>
              <w:t>!</w:t>
            </w:r>
          </w:p>
        </w:tc>
        <w:tc>
          <w:tcPr>
            <w:tcW w:type="dxa" w:w="474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3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Forfait hospitalier : Exclu pour les séjours en gérontologie, les unités de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soins de longue durée (USLD), les établissements d'hébergement pour </w:t>
            </w:r>
          </w:p>
        </w:tc>
      </w:tr>
      <w:tr>
        <w:trPr>
          <w:trHeight w:hRule="exact" w:val="180"/>
        </w:trPr>
        <w:tc>
          <w:tcPr>
            <w:tcW w:type="dxa" w:w="5200"/>
            <w:gridSpan w:val="2"/>
            <w:tcBorders/>
            <w:shd w:fill="e6e6e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59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personnes âgées, </w:t>
            </w:r>
          </w:p>
        </w:tc>
      </w:tr>
      <w:tr>
        <w:trPr>
          <w:trHeight w:hRule="exact" w:val="440"/>
        </w:trPr>
        <w:tc>
          <w:tcPr>
            <w:tcW w:type="dxa" w:w="46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" w:after="0"/>
              <w:ind w:left="0" w:right="128" w:firstLine="0"/>
              <w:jc w:val="right"/>
            </w:pPr>
            <w:r>
              <w:rPr>
                <w:w w:val="97.90630340576172"/>
                <w:rFonts w:ascii="CIDFont+F2" w:hAnsi="CIDFont+F2" w:eastAsia="CIDFont+F2"/>
                <w:b/>
                <w:i w:val="0"/>
                <w:color w:val="ED7D31"/>
                <w:sz w:val="23"/>
              </w:rPr>
              <w:t>!</w:t>
            </w:r>
          </w:p>
        </w:tc>
        <w:tc>
          <w:tcPr>
            <w:tcW w:type="dxa" w:w="474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13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Optique : Renouvellement tous les deux ans pour les personnes de plus de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16 ans – Anticipé en cas d'évolution de la vue dans la limite de 100 € par </w:t>
            </w:r>
          </w:p>
        </w:tc>
      </w:tr>
      <w:tr>
        <w:trPr>
          <w:trHeight w:hRule="exact" w:val="180"/>
        </w:trPr>
        <w:tc>
          <w:tcPr>
            <w:tcW w:type="dxa" w:w="5200"/>
            <w:gridSpan w:val="2"/>
            <w:tcBorders/>
            <w:shd w:fill="e6e6e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59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monture, </w:t>
            </w:r>
          </w:p>
        </w:tc>
      </w:tr>
      <w:tr>
        <w:trPr>
          <w:trHeight w:hRule="exact" w:val="452"/>
        </w:trPr>
        <w:tc>
          <w:tcPr>
            <w:tcW w:type="dxa" w:w="46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" w:after="0"/>
              <w:ind w:left="0" w:right="128" w:firstLine="0"/>
              <w:jc w:val="right"/>
            </w:pPr>
            <w:r>
              <w:rPr>
                <w:w w:val="97.90630340576172"/>
                <w:rFonts w:ascii="CIDFont+F2" w:hAnsi="CIDFont+F2" w:eastAsia="CIDFont+F2"/>
                <w:b/>
                <w:i w:val="0"/>
                <w:color w:val="ED7D31"/>
                <w:sz w:val="23"/>
              </w:rPr>
              <w:t>!</w:t>
            </w:r>
          </w:p>
        </w:tc>
        <w:tc>
          <w:tcPr>
            <w:tcW w:type="dxa" w:w="474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88" w:after="0"/>
              <w:ind w:left="13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Aides auditives : Renouvellement tous les 4 ans suivant la date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d'acquisition, </w:t>
            </w:r>
          </w:p>
        </w:tc>
      </w:tr>
      <w:tr>
        <w:trPr>
          <w:trHeight w:hRule="exact" w:val="438"/>
        </w:trPr>
        <w:tc>
          <w:tcPr>
            <w:tcW w:type="dxa" w:w="46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128" w:firstLine="0"/>
              <w:jc w:val="right"/>
            </w:pPr>
            <w:r>
              <w:rPr>
                <w:w w:val="97.90630340576172"/>
                <w:rFonts w:ascii="CIDFont+F2" w:hAnsi="CIDFont+F2" w:eastAsia="CIDFont+F2"/>
                <w:b/>
                <w:i w:val="0"/>
                <w:color w:val="ED7D31"/>
                <w:sz w:val="23"/>
              </w:rPr>
              <w:t>!</w:t>
            </w:r>
          </w:p>
        </w:tc>
        <w:tc>
          <w:tcPr>
            <w:tcW w:type="dxa" w:w="474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2" w:after="0"/>
              <w:ind w:left="13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Hospitalisation : Délai d'attente en hospitalisation de 1 mois sur les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remboursements au-delà du ticket modérateur hors hospitalisation </w:t>
            </w:r>
          </w:p>
        </w:tc>
      </w:tr>
    </w:tbl>
    <w:p>
      <w:pPr>
        <w:autoSpaceDN w:val="0"/>
        <w:autoSpaceDE w:val="0"/>
        <w:widowControl/>
        <w:spacing w:line="184" w:lineRule="exact" w:before="0" w:after="0"/>
        <w:ind w:left="838" w:right="0" w:firstLine="0"/>
        <w:jc w:val="left"/>
      </w:pP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consécutive à un accident. </w:t>
      </w:r>
    </w:p>
    <w:p>
      <w:pPr>
        <w:autoSpaceDN w:val="0"/>
        <w:autoSpaceDE w:val="0"/>
        <w:widowControl/>
        <w:spacing w:line="184" w:lineRule="exact" w:before="58" w:after="218"/>
        <w:ind w:left="500" w:right="0" w:firstLine="0"/>
        <w:jc w:val="left"/>
      </w:pPr>
      <w:r>
        <w:rPr>
          <w:rFonts w:ascii="CIDFont+F2" w:hAnsi="CIDFont+F2" w:eastAsia="CIDFont+F2"/>
          <w:b/>
          <w:i w:val="0"/>
          <w:color w:val="262626"/>
          <w:sz w:val="15"/>
        </w:rPr>
        <w:t xml:space="preserve">Cette liste n'est pas exhaustive. </w:t>
      </w:r>
    </w:p>
    <w:p>
      <w:pPr>
        <w:sectPr>
          <w:type w:val="nextColumn"/>
          <w:pgSz w:w="12240" w:h="15840"/>
          <w:pgMar w:top="268" w:right="1014" w:bottom="340" w:left="1024" w:header="720" w:footer="720" w:gutter="0"/>
          <w:cols w:num="2" w:equalWidth="0">
            <w:col w:w="4694" w:space="0"/>
            <w:col w:w="5508" w:space="0"/>
          </w:cols>
          <w:docGrid w:linePitch="360"/>
        </w:sectPr>
      </w:pPr>
    </w:p>
    <w:p>
      <w:pPr>
        <w:autoSpaceDN w:val="0"/>
        <w:autoSpaceDE w:val="0"/>
        <w:widowControl/>
        <w:spacing w:line="182" w:lineRule="exact" w:before="2" w:after="0"/>
        <w:ind w:left="28" w:right="432" w:firstLine="0"/>
        <w:jc w:val="left"/>
      </w:pP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ACHEEL - 128 rue La Boétie - 75008 Paris - SIREN 879605350 - Code APE 6512Z - SA à conseil d’administration (s.a.i.) au capital de 46 812,48 euros - Entreprise </w:t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régie par le Code des assurances et soumise à l’Autorité de Contrôle Prudentiel et de Résolution (ACPR, 4 Place de Budapest CS 92459, 75436 Paris) </w:t>
      </w:r>
    </w:p>
    <w:p>
      <w:pPr>
        <w:sectPr>
          <w:type w:val="continuous"/>
          <w:pgSz w:w="12240" w:h="15840"/>
          <w:pgMar w:top="268" w:right="1014" w:bottom="340" w:left="10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07"/>
        <w:gridCol w:w="4907"/>
      </w:tblGrid>
      <w:tr>
        <w:trPr>
          <w:trHeight w:hRule="exact" w:val="1554"/>
        </w:trPr>
        <w:tc>
          <w:tcPr>
            <w:tcW w:type="dxa" w:w="708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20192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19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12" w:lineRule="exact" w:before="178" w:after="0"/>
              <w:ind w:left="288" w:right="174" w:firstLine="0"/>
              <w:jc w:val="right"/>
            </w:pPr>
            <w:r>
              <w:rPr>
                <w:w w:val="98.36526168020147"/>
                <w:rFonts w:ascii="CIDFont+F4" w:hAnsi="CIDFont+F4" w:eastAsia="CIDFont+F4"/>
                <w:b w:val="0"/>
                <w:i w:val="0"/>
                <w:color w:val="1F3864"/>
                <w:sz w:val="19"/>
              </w:rPr>
              <w:t></w:t>
            </w:r>
            <w:r>
              <w:br/>
            </w:r>
            <w:r>
              <w:rPr>
                <w:w w:val="98.36526168020147"/>
                <w:rFonts w:ascii="CIDFont+F4" w:hAnsi="CIDFont+F4" w:eastAsia="CIDFont+F4"/>
                <w:b w:val="0"/>
                <w:i w:val="0"/>
                <w:color w:val="1F3864"/>
                <w:sz w:val="19"/>
              </w:rPr>
              <w:t></w:t>
            </w:r>
          </w:p>
        </w:tc>
        <w:tc>
          <w:tcPr>
            <w:tcW w:type="dxa" w:w="9086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16" w:after="0"/>
              <w:ind w:left="318" w:right="0" w:firstLine="0"/>
              <w:jc w:val="left"/>
            </w:pPr>
            <w:r>
              <w:rPr>
                <w:w w:val="98.6471448625837"/>
                <w:rFonts w:ascii="CIDFont+F2" w:hAnsi="CIDFont+F2" w:eastAsia="CIDFont+F2"/>
                <w:b/>
                <w:i w:val="0"/>
                <w:color w:val="262626"/>
                <w:sz w:val="21"/>
              </w:rPr>
              <w:t xml:space="preserve">Où suis-je couvert(e) ? </w:t>
            </w:r>
          </w:p>
          <w:p>
            <w:pPr>
              <w:autoSpaceDN w:val="0"/>
              <w:autoSpaceDE w:val="0"/>
              <w:widowControl/>
              <w:spacing w:line="196" w:lineRule="exact" w:before="230" w:after="0"/>
              <w:ind w:left="18" w:right="288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En France métropolitaine, 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Dans les pays où le Régime Obligatoire français intervient sur la base du tarif de convention, de même qu'en cas de séjour en dehors de France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>métropolitaine de moins de TROIS (3) mois.</w:t>
            </w:r>
          </w:p>
        </w:tc>
      </w:tr>
      <w:tr>
        <w:trPr>
          <w:trHeight w:hRule="exact" w:val="748"/>
        </w:trPr>
        <w:tc>
          <w:tcPr>
            <w:tcW w:type="dxa" w:w="7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20446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44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00" w:after="0"/>
              <w:ind w:left="318" w:right="0" w:firstLine="0"/>
              <w:jc w:val="left"/>
            </w:pPr>
            <w:r>
              <w:rPr>
                <w:w w:val="98.6471448625837"/>
                <w:rFonts w:ascii="CIDFont+F2" w:hAnsi="CIDFont+F2" w:eastAsia="CIDFont+F2"/>
                <w:b/>
                <w:i w:val="0"/>
                <w:color w:val="262626"/>
                <w:sz w:val="21"/>
              </w:rPr>
              <w:t xml:space="preserve">Quelles sont mes obligations ? </w:t>
            </w:r>
          </w:p>
        </w:tc>
      </w:tr>
    </w:tbl>
    <w:p>
      <w:pPr>
        <w:autoSpaceDN w:val="0"/>
        <w:autoSpaceDE w:val="0"/>
        <w:widowControl/>
        <w:spacing w:line="1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07"/>
        <w:gridCol w:w="4907"/>
      </w:tblGrid>
      <w:tr>
        <w:trPr>
          <w:trHeight w:hRule="exact" w:val="470"/>
        </w:trPr>
        <w:tc>
          <w:tcPr>
            <w:tcW w:type="dxa" w:w="9794"/>
            <w:gridSpan w:val="2"/>
            <w:tcBorders/>
            <w:shd w:fill="e6e6e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388" w:right="4464" w:firstLine="0"/>
              <w:jc w:val="left"/>
            </w:pPr>
            <w:r>
              <w:rPr>
                <w:rFonts w:ascii="CIDFont+F2" w:hAnsi="CIDFont+F2" w:eastAsia="CIDFont+F2"/>
                <w:b/>
                <w:i w:val="0"/>
                <w:color w:val="262626"/>
                <w:sz w:val="15"/>
              </w:rPr>
              <w:t xml:space="preserve">SOUS PEINE DE NULLITÉ DU CONTRAT D'ASSURANCE OU DE NON GARANTIE : </w:t>
            </w:r>
            <w:r>
              <w:br/>
            </w:r>
            <w:r>
              <w:rPr>
                <w:rFonts w:ascii="CIDFont+F2" w:hAnsi="CIDFont+F2" w:eastAsia="CIDFont+F2"/>
                <w:b/>
                <w:i w:val="0"/>
                <w:color w:val="262626"/>
                <w:sz w:val="15"/>
              </w:rPr>
              <w:t xml:space="preserve">A la souscription du contrat </w:t>
            </w:r>
          </w:p>
        </w:tc>
      </w:tr>
      <w:tr>
        <w:trPr>
          <w:trHeight w:hRule="exact" w:val="198"/>
        </w:trPr>
        <w:tc>
          <w:tcPr>
            <w:tcW w:type="dxa" w:w="568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8" w:after="0"/>
              <w:ind w:left="0" w:right="130" w:firstLine="0"/>
              <w:jc w:val="right"/>
            </w:pPr>
            <w:r>
              <w:rPr>
                <w:rFonts w:ascii="CIDFont+F7" w:hAnsi="CIDFont+F7" w:eastAsia="CIDFont+F7"/>
                <w:b w:val="0"/>
                <w:i w:val="0"/>
                <w:color w:val="100B07"/>
                <w:sz w:val="13"/>
              </w:rPr>
              <w:t>-</w:t>
            </w:r>
          </w:p>
        </w:tc>
        <w:tc>
          <w:tcPr>
            <w:tcW w:type="dxa" w:w="9226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15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Répondre exactement aux questions posées par l'assureur, par questionnaire, lettre, proposition ou tout autre moyen. </w:t>
            </w:r>
          </w:p>
        </w:tc>
      </w:tr>
      <w:tr>
        <w:trPr>
          <w:trHeight w:hRule="exact" w:val="184"/>
        </w:trPr>
        <w:tc>
          <w:tcPr>
            <w:tcW w:type="dxa" w:w="568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130" w:firstLine="0"/>
              <w:jc w:val="right"/>
            </w:pPr>
            <w:r>
              <w:rPr>
                <w:rFonts w:ascii="CIDFont+F7" w:hAnsi="CIDFont+F7" w:eastAsia="CIDFont+F7"/>
                <w:b w:val="0"/>
                <w:i w:val="0"/>
                <w:color w:val="100B07"/>
                <w:sz w:val="13"/>
              </w:rPr>
              <w:t>-</w:t>
            </w:r>
          </w:p>
        </w:tc>
        <w:tc>
          <w:tcPr>
            <w:tcW w:type="dxa" w:w="9226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15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Fournir tous documents ou justificatifs demandés par l'assureur. </w:t>
            </w:r>
          </w:p>
        </w:tc>
      </w:tr>
      <w:tr>
        <w:trPr>
          <w:trHeight w:hRule="exact" w:val="244"/>
        </w:trPr>
        <w:tc>
          <w:tcPr>
            <w:tcW w:type="dxa" w:w="568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130" w:firstLine="0"/>
              <w:jc w:val="right"/>
            </w:pPr>
            <w:r>
              <w:rPr>
                <w:rFonts w:ascii="CIDFont+F7" w:hAnsi="CIDFont+F7" w:eastAsia="CIDFont+F7"/>
                <w:b w:val="0"/>
                <w:i w:val="0"/>
                <w:color w:val="100B07"/>
                <w:sz w:val="13"/>
              </w:rPr>
              <w:t>-</w:t>
            </w:r>
          </w:p>
        </w:tc>
        <w:tc>
          <w:tcPr>
            <w:tcW w:type="dxa" w:w="9226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15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Régler la cotisation (ou fraction de cotisation) indiquée au contrat. </w:t>
            </w: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07"/>
        <w:gridCol w:w="4907"/>
      </w:tblGrid>
      <w:tr>
        <w:trPr>
          <w:trHeight w:hRule="exact" w:val="234"/>
        </w:trPr>
        <w:tc>
          <w:tcPr>
            <w:tcW w:type="dxa" w:w="9794"/>
            <w:gridSpan w:val="2"/>
            <w:tcBorders/>
            <w:shd w:fill="e6e6e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0" w:after="0"/>
              <w:ind w:left="388" w:right="0" w:firstLine="0"/>
              <w:jc w:val="left"/>
            </w:pPr>
            <w:r>
              <w:rPr>
                <w:rFonts w:ascii="CIDFont+F2" w:hAnsi="CIDFont+F2" w:eastAsia="CIDFont+F2"/>
                <w:b/>
                <w:i w:val="0"/>
                <w:color w:val="262626"/>
                <w:sz w:val="15"/>
              </w:rPr>
              <w:t xml:space="preserve">En cours de contrat </w:t>
            </w:r>
          </w:p>
        </w:tc>
      </w:tr>
      <w:tr>
        <w:trPr>
          <w:trHeight w:hRule="exact" w:val="196"/>
        </w:trPr>
        <w:tc>
          <w:tcPr>
            <w:tcW w:type="dxa" w:w="708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270" w:firstLine="0"/>
              <w:jc w:val="right"/>
            </w:pPr>
            <w:r>
              <w:rPr>
                <w:rFonts w:ascii="CIDFont+F7" w:hAnsi="CIDFont+F7" w:eastAsia="CIDFont+F7"/>
                <w:b w:val="0"/>
                <w:i w:val="0"/>
                <w:color w:val="100B07"/>
                <w:sz w:val="13"/>
              </w:rPr>
              <w:t>-</w:t>
            </w:r>
          </w:p>
        </w:tc>
        <w:tc>
          <w:tcPr>
            <w:tcW w:type="dxa" w:w="9086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Déclarer dans les 15 jours toute circonstance nouvelle modifiant les déclarations faites lors de la souscription et qui aurait pour effet de les rendre </w:t>
            </w:r>
          </w:p>
        </w:tc>
      </w:tr>
      <w:tr>
        <w:trPr>
          <w:trHeight w:hRule="exact" w:val="184"/>
        </w:trPr>
        <w:tc>
          <w:tcPr>
            <w:tcW w:type="dxa" w:w="9794"/>
            <w:gridSpan w:val="2"/>
            <w:tcBorders/>
            <w:shd w:fill="e6e6e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72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inexactes ou caduques. </w:t>
            </w:r>
          </w:p>
        </w:tc>
      </w:tr>
      <w:tr>
        <w:trPr>
          <w:trHeight w:hRule="exact" w:val="260"/>
        </w:trPr>
        <w:tc>
          <w:tcPr>
            <w:tcW w:type="dxa" w:w="708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0" w:right="270" w:firstLine="0"/>
              <w:jc w:val="right"/>
            </w:pPr>
            <w:r>
              <w:rPr>
                <w:rFonts w:ascii="CIDFont+F7" w:hAnsi="CIDFont+F7" w:eastAsia="CIDFont+F7"/>
                <w:b w:val="0"/>
                <w:i w:val="0"/>
                <w:color w:val="100B07"/>
                <w:sz w:val="13"/>
              </w:rPr>
              <w:t>-</w:t>
            </w:r>
          </w:p>
        </w:tc>
        <w:tc>
          <w:tcPr>
            <w:tcW w:type="dxa" w:w="9086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Régler la cotisation (ou fraction de cotisation) aux dates indiquées au contrat. </w:t>
            </w:r>
          </w:p>
        </w:tc>
      </w:tr>
      <w:tr>
        <w:trPr>
          <w:trHeight w:hRule="exact" w:val="290"/>
        </w:trPr>
        <w:tc>
          <w:tcPr>
            <w:tcW w:type="dxa" w:w="9794"/>
            <w:gridSpan w:val="2"/>
            <w:tcBorders/>
            <w:shd w:fill="e6e6e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388" w:right="0" w:firstLine="0"/>
              <w:jc w:val="left"/>
            </w:pPr>
            <w:r>
              <w:rPr>
                <w:rFonts w:ascii="CIDFont+F2" w:hAnsi="CIDFont+F2" w:eastAsia="CIDFont+F2"/>
                <w:b/>
                <w:i w:val="0"/>
                <w:color w:val="262626"/>
                <w:sz w:val="15"/>
              </w:rPr>
              <w:t xml:space="preserve">Pour le versement des prestations </w:t>
            </w:r>
          </w:p>
        </w:tc>
      </w:tr>
      <w:tr>
        <w:trPr>
          <w:trHeight w:hRule="exact" w:val="552"/>
        </w:trPr>
        <w:tc>
          <w:tcPr>
            <w:tcW w:type="dxa" w:w="7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270" w:firstLine="0"/>
              <w:jc w:val="right"/>
            </w:pPr>
            <w:r>
              <w:rPr>
                <w:rFonts w:ascii="CIDFont+F7" w:hAnsi="CIDFont+F7" w:eastAsia="CIDFont+F7"/>
                <w:b w:val="0"/>
                <w:i w:val="0"/>
                <w:color w:val="100B07"/>
                <w:sz w:val="13"/>
              </w:rPr>
              <w:t>-</w:t>
            </w:r>
          </w:p>
        </w:tc>
        <w:tc>
          <w:tcPr>
            <w:tcW w:type="dxa" w:w="90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Fournir dans les délais prévus au contrat tous documents ou justificatifs nécessaires au paiement des prestations. </w:t>
            </w:r>
          </w:p>
        </w:tc>
      </w:tr>
      <w:tr>
        <w:trPr>
          <w:trHeight w:hRule="exact" w:val="564"/>
        </w:trPr>
        <w:tc>
          <w:tcPr>
            <w:tcW w:type="dxa" w:w="708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20193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19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86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16" w:after="0"/>
              <w:ind w:left="318" w:right="0" w:firstLine="0"/>
              <w:jc w:val="left"/>
            </w:pPr>
            <w:r>
              <w:rPr>
                <w:w w:val="98.6471448625837"/>
                <w:rFonts w:ascii="CIDFont+F2" w:hAnsi="CIDFont+F2" w:eastAsia="CIDFont+F2"/>
                <w:b/>
                <w:i w:val="0"/>
                <w:color w:val="262626"/>
                <w:sz w:val="21"/>
              </w:rPr>
              <w:t>Quand et comment effectuer les paiements ?</w:t>
            </w: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9814"/>
      </w:tblGrid>
      <w:tr>
        <w:trPr>
          <w:trHeight w:hRule="exact" w:val="246"/>
        </w:trPr>
        <w:tc>
          <w:tcPr>
            <w:tcW w:type="dxa" w:w="760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20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Les cotisations sont payables d'avance annuellement, à la date indiquée dans le contrat.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07"/>
        <w:gridCol w:w="4907"/>
      </w:tblGrid>
      <w:tr>
        <w:trPr>
          <w:trHeight w:hRule="exact" w:val="736"/>
        </w:trPr>
        <w:tc>
          <w:tcPr>
            <w:tcW w:type="dxa" w:w="97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38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Un paiement fractionné peut toutefois être accordé au choix.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38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Les paiements peuvent être effectués par carte bancaire et/ou prélèvement automatique. </w:t>
            </w:r>
          </w:p>
        </w:tc>
      </w:tr>
      <w:tr>
        <w:trPr>
          <w:trHeight w:hRule="exact" w:val="564"/>
        </w:trPr>
        <w:tc>
          <w:tcPr>
            <w:tcW w:type="dxa" w:w="868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4" w:after="0"/>
              <w:ind w:left="0" w:right="15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203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926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16" w:after="0"/>
              <w:ind w:left="158" w:right="0" w:firstLine="0"/>
              <w:jc w:val="left"/>
            </w:pPr>
            <w:r>
              <w:rPr>
                <w:w w:val="98.6471448625837"/>
                <w:rFonts w:ascii="CIDFont+F2" w:hAnsi="CIDFont+F2" w:eastAsia="CIDFont+F2"/>
                <w:b/>
                <w:i w:val="0"/>
                <w:color w:val="262626"/>
                <w:sz w:val="21"/>
              </w:rPr>
              <w:t>Quand commence la couverture et quand prend-elle fin ?</w:t>
            </w: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9814"/>
      </w:tblGrid>
      <w:tr>
        <w:trPr>
          <w:trHeight w:hRule="exact" w:val="246"/>
        </w:trPr>
        <w:tc>
          <w:tcPr>
            <w:tcW w:type="dxa" w:w="890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20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Le contrat prend effet à la date indiquée au Certificat d’adhésion sous réserve de l'encaissement effectif de la première cotisation.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9814"/>
      </w:tblGrid>
      <w:tr>
        <w:trPr>
          <w:trHeight w:hRule="exact" w:val="734"/>
        </w:trPr>
        <w:tc>
          <w:tcPr>
            <w:tcW w:type="dxa" w:w="958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" w:after="0"/>
              <w:ind w:left="200" w:right="46" w:firstLine="0"/>
              <w:jc w:val="both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En cas de contrat conclu à distance ou de démarchage à domicile, l'assuré dispose d'un délai de rétractation de 14 jours, qui commence à courir à compter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de la conclusion du contrat, ou à compter de la réception de l'ensemble de la documentation contractuelle (si cette date est postérieure à la date de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conclusion du contrat).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20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Il est conclu pour une durée d'un an et se renouvelle automatiquement d'année en année à sa date d'échéance principale sauf résiliation par l'une des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9814"/>
      </w:tblGrid>
      <w:tr>
        <w:trPr>
          <w:trHeight w:hRule="exact" w:val="244"/>
        </w:trPr>
        <w:tc>
          <w:tcPr>
            <w:tcW w:type="dxa" w:w="644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20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parties dans les cas et conditions fixés au contrat. </w:t>
            </w: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07"/>
        <w:gridCol w:w="4907"/>
      </w:tblGrid>
      <w:tr>
        <w:trPr>
          <w:trHeight w:hRule="exact" w:val="244"/>
        </w:trPr>
        <w:tc>
          <w:tcPr>
            <w:tcW w:type="dxa" w:w="9794"/>
            <w:gridSpan w:val="2"/>
            <w:tcBorders/>
            <w:shd w:fill="e6e6e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388" w:right="0" w:firstLine="0"/>
              <w:jc w:val="left"/>
            </w:pPr>
            <w:r>
              <w:rPr>
                <w:rFonts w:ascii="CIDFont+F2" w:hAnsi="CIDFont+F2" w:eastAsia="CIDFont+F2"/>
                <w:b/>
                <w:i w:val="0"/>
                <w:color w:val="262626"/>
                <w:sz w:val="15"/>
              </w:rPr>
              <w:t xml:space="preserve">La couverture prend fin : </w:t>
            </w:r>
          </w:p>
        </w:tc>
      </w:tr>
      <w:tr>
        <w:trPr>
          <w:trHeight w:hRule="exact" w:val="186"/>
        </w:trPr>
        <w:tc>
          <w:tcPr>
            <w:tcW w:type="dxa" w:w="708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0" w:right="270" w:firstLine="0"/>
              <w:jc w:val="right"/>
            </w:pPr>
            <w:r>
              <w:rPr>
                <w:rFonts w:ascii="CIDFont+F7" w:hAnsi="CIDFont+F7" w:eastAsia="CIDFont+F7"/>
                <w:b w:val="0"/>
                <w:i w:val="0"/>
                <w:color w:val="100B07"/>
                <w:sz w:val="13"/>
              </w:rPr>
              <w:t>-</w:t>
            </w:r>
          </w:p>
        </w:tc>
        <w:tc>
          <w:tcPr>
            <w:tcW w:type="dxa" w:w="9086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A la date de résiliation selon les conditions prévues au contrat, </w:t>
            </w:r>
          </w:p>
        </w:tc>
      </w:tr>
      <w:tr>
        <w:trPr>
          <w:trHeight w:hRule="exact" w:val="174"/>
        </w:trPr>
        <w:tc>
          <w:tcPr>
            <w:tcW w:type="dxa" w:w="708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" w:after="0"/>
              <w:ind w:left="0" w:right="270" w:firstLine="0"/>
              <w:jc w:val="right"/>
            </w:pPr>
            <w:r>
              <w:rPr>
                <w:rFonts w:ascii="CIDFont+F7" w:hAnsi="CIDFont+F7" w:eastAsia="CIDFont+F7"/>
                <w:b w:val="0"/>
                <w:i w:val="0"/>
                <w:color w:val="100B07"/>
                <w:sz w:val="13"/>
              </w:rPr>
              <w:t>-</w:t>
            </w:r>
          </w:p>
        </w:tc>
        <w:tc>
          <w:tcPr>
            <w:tcW w:type="dxa" w:w="9086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Au décès de l'Adhérent, </w:t>
            </w:r>
          </w:p>
        </w:tc>
      </w:tr>
      <w:tr>
        <w:trPr>
          <w:trHeight w:hRule="exact" w:val="562"/>
        </w:trPr>
        <w:tc>
          <w:tcPr>
            <w:tcW w:type="dxa" w:w="7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0" w:after="0"/>
              <w:ind w:left="0" w:right="270" w:firstLine="0"/>
              <w:jc w:val="right"/>
            </w:pPr>
            <w:r>
              <w:rPr>
                <w:rFonts w:ascii="CIDFont+F7" w:hAnsi="CIDFont+F7" w:eastAsia="CIDFont+F7"/>
                <w:b w:val="0"/>
                <w:i w:val="0"/>
                <w:color w:val="100B07"/>
                <w:sz w:val="13"/>
              </w:rPr>
              <w:t>-</w:t>
            </w:r>
          </w:p>
        </w:tc>
        <w:tc>
          <w:tcPr>
            <w:tcW w:type="dxa" w:w="90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A la date à laquelle l'ayant droit perd le statut de bénéficiaire. </w:t>
            </w:r>
          </w:p>
        </w:tc>
      </w:tr>
      <w:tr>
        <w:trPr>
          <w:trHeight w:hRule="exact" w:val="578"/>
        </w:trPr>
        <w:tc>
          <w:tcPr>
            <w:tcW w:type="dxa" w:w="708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20192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19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86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16" w:after="0"/>
              <w:ind w:left="318" w:right="0" w:firstLine="0"/>
              <w:jc w:val="left"/>
            </w:pPr>
            <w:r>
              <w:rPr>
                <w:w w:val="98.6471448625837"/>
                <w:rFonts w:ascii="CIDFont+F2" w:hAnsi="CIDFont+F2" w:eastAsia="CIDFont+F2"/>
                <w:b/>
                <w:i w:val="0"/>
                <w:color w:val="262626"/>
                <w:sz w:val="21"/>
              </w:rPr>
              <w:t>Comment le contrat peut-il être résilié ?</w:t>
            </w:r>
          </w:p>
        </w:tc>
      </w:tr>
      <w:tr>
        <w:trPr>
          <w:trHeight w:hRule="exact" w:val="290"/>
        </w:trPr>
        <w:tc>
          <w:tcPr>
            <w:tcW w:type="dxa" w:w="9794"/>
            <w:gridSpan w:val="2"/>
            <w:tcBorders/>
            <w:shd w:fill="e6e6e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38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L’adhérent peut résilier le contrat d’assurance adressant une notification sur tout support durable : </w:t>
            </w:r>
          </w:p>
        </w:tc>
      </w:tr>
      <w:tr>
        <w:trPr>
          <w:trHeight w:hRule="exact" w:val="184"/>
        </w:trPr>
        <w:tc>
          <w:tcPr>
            <w:tcW w:type="dxa" w:w="708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270" w:firstLine="0"/>
              <w:jc w:val="right"/>
            </w:pPr>
            <w:r>
              <w:rPr>
                <w:rFonts w:ascii="CIDFont+F7" w:hAnsi="CIDFont+F7" w:eastAsia="CIDFont+F7"/>
                <w:b w:val="0"/>
                <w:i w:val="0"/>
                <w:color w:val="100B07"/>
                <w:sz w:val="13"/>
              </w:rPr>
              <w:t>-</w:t>
            </w:r>
          </w:p>
        </w:tc>
        <w:tc>
          <w:tcPr>
            <w:tcW w:type="dxa" w:w="9086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à chaque échéance principale du contrat, en adressant sa notification au moins 2 mois avant cette date </w:t>
            </w:r>
          </w:p>
        </w:tc>
      </w:tr>
      <w:tr>
        <w:trPr>
          <w:trHeight w:hRule="exact" w:val="166"/>
        </w:trPr>
        <w:tc>
          <w:tcPr>
            <w:tcW w:type="dxa" w:w="708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270" w:firstLine="0"/>
              <w:jc w:val="right"/>
            </w:pPr>
            <w:r>
              <w:rPr>
                <w:rFonts w:ascii="CIDFont+F7" w:hAnsi="CIDFont+F7" w:eastAsia="CIDFont+F7"/>
                <w:b w:val="0"/>
                <w:i w:val="0"/>
                <w:color w:val="100B07"/>
                <w:sz w:val="13"/>
              </w:rPr>
              <w:t>-</w:t>
            </w:r>
          </w:p>
        </w:tc>
        <w:tc>
          <w:tcPr>
            <w:tcW w:type="dxa" w:w="9086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à tout moment, à l’expiration d’un délai d’un an à compter de la souscription. La résiliation prend alors effet un mois après la réception de la </w:t>
            </w:r>
          </w:p>
        </w:tc>
      </w:tr>
      <w:tr>
        <w:trPr>
          <w:trHeight w:hRule="exact" w:val="200"/>
        </w:trPr>
        <w:tc>
          <w:tcPr>
            <w:tcW w:type="dxa" w:w="9794"/>
            <w:gridSpan w:val="2"/>
            <w:tcBorders/>
            <w:shd w:fill="e6e6e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72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notification. Cette résiliation peut être réalisée par le nouvel assureur à votre demande. </w:t>
            </w:r>
          </w:p>
        </w:tc>
      </w:tr>
      <w:tr>
        <w:trPr>
          <w:trHeight w:hRule="exact" w:val="246"/>
        </w:trPr>
        <w:tc>
          <w:tcPr>
            <w:tcW w:type="dxa" w:w="708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0" w:right="270" w:firstLine="0"/>
              <w:jc w:val="right"/>
            </w:pPr>
            <w:r>
              <w:rPr>
                <w:rFonts w:ascii="CIDFont+F7" w:hAnsi="CIDFont+F7" w:eastAsia="CIDFont+F7"/>
                <w:b w:val="0"/>
                <w:i w:val="0"/>
                <w:color w:val="100B07"/>
                <w:sz w:val="13"/>
              </w:rPr>
              <w:t>-</w:t>
            </w:r>
          </w:p>
        </w:tc>
        <w:tc>
          <w:tcPr>
            <w:tcW w:type="dxa" w:w="9086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en cas de modification du risque par la suite d’un changement de situation professionnelle, familiale </w:t>
            </w: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9814"/>
      </w:tblGrid>
      <w:tr>
        <w:trPr>
          <w:trHeight w:hRule="exact" w:val="304"/>
        </w:trPr>
        <w:tc>
          <w:tcPr>
            <w:tcW w:type="dxa" w:w="7960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20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15"/>
              </w:rPr>
              <w:t xml:space="preserve">L’ensemble des cas de résiliation, ainsi que les délais de préavis, figure dans la Notice d’information </w:t>
            </w:r>
          </w:p>
        </w:tc>
      </w:tr>
    </w:tbl>
    <w:p>
      <w:pPr>
        <w:autoSpaceDN w:val="0"/>
        <w:autoSpaceDE w:val="0"/>
        <w:widowControl/>
        <w:spacing w:line="182" w:lineRule="exact" w:before="2266" w:after="0"/>
        <w:ind w:left="0" w:right="144" w:firstLine="0"/>
        <w:jc w:val="left"/>
      </w:pP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ACHEEL - 128 rue La Boétie - 75008 Paris - SIREN 879605350 - Code APE 6512Z - SA à conseil d’administration (s.a.i.) au capital de 46 812,48 euros - Entreprise </w:t>
      </w:r>
      <w:r>
        <w:rPr>
          <w:rFonts w:ascii="CIDFont+F1" w:hAnsi="CIDFont+F1" w:eastAsia="CIDFont+F1"/>
          <w:b w:val="0"/>
          <w:i w:val="0"/>
          <w:color w:val="262626"/>
          <w:sz w:val="15"/>
        </w:rPr>
        <w:t xml:space="preserve">régie par le Code des assurances et soumise à l’Autorité de Contrôle Prudentiel et de Résolution (ACPR, 4 Place de Budapest CS 92459, 75436 Paris) </w:t>
      </w:r>
    </w:p>
    <w:sectPr w:rsidR="00FC693F" w:rsidRPr="0006063C" w:rsidSect="00034616">
      <w:pgSz w:w="12240" w:h="15840"/>
      <w:pgMar w:top="266" w:right="1374" w:bottom="340" w:left="105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