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58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90090" cy="6616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66166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1184"/>
      </w:tblGrid>
      <w:tr>
        <w:trPr>
          <w:trHeight w:hRule="exact" w:val="382"/>
        </w:trPr>
        <w:tc>
          <w:tcPr>
            <w:tcW w:type="dxa" w:w="10524"/>
            <w:tcBorders/>
            <w:shd w:fill="bac4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0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000000"/>
                <w:sz w:val="22"/>
              </w:rPr>
              <w:t xml:space="preserve">DOCUMENT D’ENTREE EN RELATION </w:t>
            </w:r>
          </w:p>
        </w:tc>
      </w:tr>
    </w:tbl>
    <w:p>
      <w:pPr>
        <w:autoSpaceDN w:val="0"/>
        <w:autoSpaceDE w:val="0"/>
        <w:widowControl/>
        <w:spacing w:line="226" w:lineRule="exact" w:before="214" w:after="170"/>
        <w:ind w:left="2470" w:right="0" w:firstLine="0"/>
        <w:jc w:val="left"/>
      </w:pPr>
      <w:r>
        <w:rPr>
          <w:rFonts w:ascii="CIDFont+F4" w:hAnsi="CIDFont+F4" w:eastAsia="CIDFont+F4"/>
          <w:b w:val="0"/>
          <w:i/>
          <w:color w:val="000000"/>
          <w:sz w:val="16"/>
        </w:rPr>
        <w:t xml:space="preserve">Courtier exerçant selon les modalités de l’article L.521-2 II b) du code des assurances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1184"/>
      </w:tblGrid>
      <w:tr>
        <w:trPr>
          <w:trHeight w:hRule="exact" w:val="532"/>
        </w:trPr>
        <w:tc>
          <w:tcPr>
            <w:tcW w:type="dxa" w:w="10524"/>
            <w:tcBorders>
              <w:top w:sz="3.2000000000000455" w:val="single" w:color="#BAC4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524"/>
            </w:tblGrid>
            <w:tr>
              <w:trPr>
                <w:trHeight w:hRule="exact" w:val="358"/>
              </w:trPr>
              <w:tc>
                <w:tcPr>
                  <w:tcW w:type="dxa" w:w="10524"/>
                  <w:tcBorders/>
                  <w:shd w:fill="05336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20" w:after="0"/>
                    <w:ind w:left="170" w:right="0" w:firstLine="0"/>
                    <w:jc w:val="left"/>
                  </w:pPr>
                  <w:r>
                    <w:rPr>
                      <w:rFonts w:ascii="CIDFont+F3" w:hAnsi="CIDFont+F3" w:eastAsia="CIDFont+F3"/>
                      <w:b/>
                      <w:i w:val="0"/>
                      <w:color w:val="FFFFFF"/>
                      <w:sz w:val="22"/>
                    </w:rPr>
                    <w:t xml:space="preserve">PRESENTATION GENERALE DU COURTIER GROSSISTE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0" w:lineRule="exact" w:before="198" w:after="0"/>
        <w:ind w:left="648" w:right="2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KIASSURE est une SAS au capital de 20 000 euros, enregistrée au RCS de Marseille sous le numéro 825 261 522,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immatriculée au Registre des Intermédiaires en Assurances dans la catégorie « Courtier Grossiste » sous le n°17001652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(numéro pouvant être vérifié sur le site internet www.orias.fr) et dont le siège social est situé sis 27 Place aux huiles -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13001 MARSEILLE. </w:t>
      </w:r>
    </w:p>
    <w:p>
      <w:pPr>
        <w:autoSpaceDN w:val="0"/>
        <w:autoSpaceDE w:val="0"/>
        <w:widowControl/>
        <w:spacing w:line="272" w:lineRule="exact" w:before="268" w:after="0"/>
        <w:ind w:left="64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KIASSURE relève de l’Autorité de Contrôle Prudentiel et de Résolution (située sis 4 Place de Budapest CS 92459 75436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Paris Cedex 09) et est adhérente à ENDYA, Association Professionnelle agrée par l’ACPR. </w:t>
      </w:r>
    </w:p>
    <w:p>
      <w:pPr>
        <w:autoSpaceDN w:val="0"/>
        <w:autoSpaceDE w:val="0"/>
        <w:widowControl/>
        <w:spacing w:line="252" w:lineRule="exact" w:before="288" w:after="0"/>
        <w:ind w:left="64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KIASSURE ne dispose d’aucuns liens capitalistiques ou d’exclusivité avec une entreprise d’assurances. </w:t>
      </w:r>
    </w:p>
    <w:p>
      <w:pPr>
        <w:autoSpaceDN w:val="0"/>
        <w:autoSpaceDE w:val="0"/>
        <w:widowControl/>
        <w:spacing w:line="270" w:lineRule="exact" w:before="270" w:after="332"/>
        <w:ind w:left="648" w:right="2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Dans le cadre de son activité de Courtier Grossiste, KIASSURE dispose, conformément à la loi, d’une couverture en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Responsabilité Civile Professionnelle et d’une Garantie Financière suffisantes couvrant ses diverses activités. Ces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couvertures sont notamment conformes aux exigences du code Monétaire et Financier et du Code des Assurances.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Elles sont souscrites auprès de la compagnie d’assurance +Simple.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1184"/>
      </w:tblGrid>
      <w:tr>
        <w:trPr>
          <w:trHeight w:hRule="exact" w:val="378"/>
        </w:trPr>
        <w:tc>
          <w:tcPr>
            <w:tcW w:type="dxa" w:w="10524"/>
            <w:tcBorders/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17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FFFFFF"/>
                <w:sz w:val="22"/>
              </w:rPr>
              <w:t xml:space="preserve">INFORMATIONS PREALABLES A LA FOURNITURE DU CONTRAT </w:t>
            </w:r>
          </w:p>
        </w:tc>
      </w:tr>
    </w:tbl>
    <w:p>
      <w:pPr>
        <w:autoSpaceDN w:val="0"/>
        <w:autoSpaceDE w:val="0"/>
        <w:widowControl/>
        <w:spacing w:line="268" w:lineRule="exact" w:before="204" w:after="0"/>
        <w:ind w:left="64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KIASSURE n’est pas soumis à une obligation contractuelle de travailler exclusivement avec une ou plusieurs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compagnies d’assurance. Les Assureurs / Porteurs de risques de nos garanties sont : Acheel et l’Equité. </w:t>
      </w:r>
    </w:p>
    <w:p>
      <w:pPr>
        <w:autoSpaceDN w:val="0"/>
        <w:autoSpaceDE w:val="0"/>
        <w:widowControl/>
        <w:spacing w:line="272" w:lineRule="exact" w:before="268" w:after="0"/>
        <w:ind w:left="64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L’analyse des offres, proposée et effectuée par le biais de nos Partenaires Intermédiaires Distributeurs via notre outil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de souscription, se fonde sur un nombre restreint de contrats d’assurances présents sur le marché. </w:t>
      </w:r>
    </w:p>
    <w:p>
      <w:pPr>
        <w:autoSpaceDN w:val="0"/>
        <w:autoSpaceDE w:val="0"/>
        <w:widowControl/>
        <w:spacing w:line="270" w:lineRule="exact" w:before="270" w:after="0"/>
        <w:ind w:left="64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Dans le cadre de la distribution et/ou gestion de votre contrat, Kiassure est rémunérée sur la base : </w:t>
      </w:r>
      <w:r>
        <w:br/>
      </w:r>
      <w:r>
        <w:rPr>
          <w:rFonts w:ascii="CIDFont+F6" w:hAnsi="CIDFont+F6" w:eastAsia="CIDFont+F6"/>
          <w:b w:val="0"/>
          <w:i w:val="0"/>
          <w:color w:val="000000"/>
          <w:sz w:val="18"/>
        </w:rPr>
        <w:t>☒</w:t>
      </w:r>
      <w:r>
        <w:rPr>
          <w:rFonts w:ascii="CIDFont+F3" w:hAnsi="CIDFont+F3" w:eastAsia="CIDFont+F3"/>
          <w:b/>
          <w:i w:val="0"/>
          <w:color w:val="000000"/>
          <w:sz w:val="18"/>
        </w:rPr>
        <w:t>D’honoraires,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 c’est-à-dire une rémunération payée directement par le souscripteur. Les montants des divers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honoraires sont détaillés dans le formulaire de devoir de conseil et dans le bulletin d’adhésion liés à votre contrat. </w:t>
      </w:r>
      <w:r>
        <w:rPr>
          <w:rFonts w:ascii="CIDFont+F6" w:hAnsi="CIDFont+F6" w:eastAsia="CIDFont+F6"/>
          <w:b w:val="0"/>
          <w:i w:val="0"/>
          <w:color w:val="000000"/>
          <w:sz w:val="18"/>
        </w:rPr>
        <w:t>☒</w:t>
      </w:r>
      <w:r>
        <w:rPr>
          <w:rFonts w:ascii="CIDFont+F3" w:hAnsi="CIDFont+F3" w:eastAsia="CIDFont+F3"/>
          <w:b/>
          <w:i w:val="0"/>
          <w:color w:val="000000"/>
          <w:sz w:val="18"/>
        </w:rPr>
        <w:t>D’une commission,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 c’est-à-dire une rémunération incluse dans la prime d’assurance. </w:t>
      </w:r>
    </w:p>
    <w:p>
      <w:pPr>
        <w:autoSpaceDN w:val="0"/>
        <w:autoSpaceDE w:val="0"/>
        <w:widowControl/>
        <w:spacing w:line="268" w:lineRule="exact" w:before="4" w:after="0"/>
        <w:ind w:left="648" w:right="72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18"/>
        </w:rPr>
        <w:t>☐</w:t>
      </w:r>
      <w:r>
        <w:rPr>
          <w:rFonts w:ascii="CIDFont+F3" w:hAnsi="CIDFont+F3" w:eastAsia="CIDFont+F3"/>
          <w:b/>
          <w:i w:val="0"/>
          <w:color w:val="000000"/>
          <w:sz w:val="18"/>
        </w:rPr>
        <w:t>De tout autre type de rémunération,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 y compris tout avantage économique lié à la distribution du contrat. </w:t>
      </w:r>
      <w:r>
        <w:rPr>
          <w:rFonts w:ascii="CIDFont+F6" w:hAnsi="CIDFont+F6" w:eastAsia="CIDFont+F6"/>
          <w:b w:val="0"/>
          <w:i w:val="0"/>
          <w:color w:val="000000"/>
          <w:sz w:val="18"/>
        </w:rPr>
        <w:t>☐</w:t>
      </w:r>
      <w:r>
        <w:rPr>
          <w:rFonts w:ascii="CIDFont+F3" w:hAnsi="CIDFont+F3" w:eastAsia="CIDFont+F3"/>
          <w:b/>
          <w:i w:val="0"/>
          <w:color w:val="000000"/>
          <w:sz w:val="18"/>
        </w:rPr>
        <w:t>D’une combinaison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 des trois types de rémunérations exposées ci-dessus. </w:t>
      </w:r>
    </w:p>
    <w:p>
      <w:pPr>
        <w:autoSpaceDN w:val="0"/>
        <w:autoSpaceDE w:val="0"/>
        <w:widowControl/>
        <w:spacing w:line="272" w:lineRule="exact" w:before="268" w:after="0"/>
        <w:ind w:left="64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Pour toute demande d’information, nous vous invitons à contacter notre Service Client par téléphone au 04 15 60 07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77 du lundi au vendredi, de 9h à 12h et de 14h à 17h ou nous écrire par mail à </w:t>
      </w:r>
      <w:r>
        <w:rPr>
          <w:u w:val="single" w:color="bac400"/>
          <w:rFonts w:ascii="CIDFont+F5" w:hAnsi="CIDFont+F5" w:eastAsia="CIDFont+F5"/>
          <w:b w:val="0"/>
          <w:i w:val="0"/>
          <w:color w:val="BBC500"/>
          <w:sz w:val="18"/>
        </w:rPr>
        <w:t>contact@kiassure.com</w:t>
      </w:r>
    </w:p>
    <w:p>
      <w:pPr>
        <w:autoSpaceDN w:val="0"/>
        <w:autoSpaceDE w:val="0"/>
        <w:widowControl/>
        <w:spacing w:line="270" w:lineRule="exact" w:before="270" w:after="0"/>
        <w:ind w:left="648" w:right="20" w:firstLine="0"/>
        <w:jc w:val="both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Pour toute réclamation, nous vous invitons à nous contacter, soit en nous adressant un courrier recommandé au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siège social de KIASSURE, soit en nous faisant parvenir votre mécontentement directement sur notre site internet, soit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>en nous adressant un mail à l’adresse suivante :</w:t>
      </w:r>
      <w:r>
        <w:rPr>
          <w:u w:val="single" w:color="bac400"/>
          <w:rFonts w:ascii="CIDFont+F5" w:hAnsi="CIDFont+F5" w:eastAsia="CIDFont+F5"/>
          <w:b w:val="0"/>
          <w:i w:val="0"/>
          <w:color w:val="BBC500"/>
          <w:sz w:val="18"/>
        </w:rPr>
        <w:t>relationclients-gestions@kiassure.com</w:t>
      </w:r>
    </w:p>
    <w:p>
      <w:pPr>
        <w:autoSpaceDN w:val="0"/>
        <w:autoSpaceDE w:val="0"/>
        <w:widowControl/>
        <w:spacing w:line="270" w:lineRule="exact" w:before="270" w:after="0"/>
        <w:ind w:left="64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Si un litige persiste après examen de votre demande par notre service réclamations ou en l’absence de réponse dans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un délai de deux mois, vous pouvez saisir le Médiateur de l’Assurance :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- Soit en écrivant à : Monsieur le Médiateur de l’Assurance - TSA 50110 - 75441 Paris Cedex 09 </w:t>
      </w:r>
      <w:r>
        <w:br/>
      </w:r>
      <w:r>
        <w:rPr>
          <w:rFonts w:ascii="CIDFont+F5" w:hAnsi="CIDFont+F5" w:eastAsia="CIDFont+F5"/>
          <w:b w:val="0"/>
          <w:i w:val="0"/>
          <w:color w:val="000000"/>
          <w:sz w:val="18"/>
        </w:rPr>
        <w:t>- Soit en déposant une demande en ligne à l’adresse :</w:t>
      </w:r>
      <w:r>
        <w:rPr>
          <w:u w:val="single" w:color="bac400"/>
          <w:rFonts w:ascii="CIDFont+F5" w:hAnsi="CIDFont+F5" w:eastAsia="CIDFont+F5"/>
          <w:b w:val="0"/>
          <w:i w:val="0"/>
          <w:color w:val="BBC500"/>
          <w:sz w:val="18"/>
        </w:rPr>
        <w:t>http://www.mediation-assurance.org</w:t>
      </w:r>
    </w:p>
    <w:p>
      <w:pPr>
        <w:autoSpaceDN w:val="0"/>
        <w:autoSpaceDE w:val="0"/>
        <w:widowControl/>
        <w:spacing w:line="272" w:lineRule="exact" w:before="268" w:after="0"/>
        <w:ind w:left="648" w:right="0" w:firstLine="0"/>
        <w:jc w:val="left"/>
      </w:pPr>
      <w:r>
        <w:rPr>
          <w:rFonts w:ascii="CIDFont+F5" w:hAnsi="CIDFont+F5" w:eastAsia="CIDFont+F5"/>
          <w:b w:val="0"/>
          <w:i w:val="0"/>
          <w:color w:val="000000"/>
          <w:sz w:val="18"/>
        </w:rPr>
        <w:t xml:space="preserve">La saisine du médiateur n’est possible que dans la mesure où votre demande n’a pas été soumise à une juridiction. </w:t>
      </w:r>
      <w:r>
        <w:rPr>
          <w:rFonts w:ascii="CIDFont+F5" w:hAnsi="CIDFont+F5" w:eastAsia="CIDFont+F5"/>
          <w:b w:val="0"/>
          <w:i w:val="0"/>
          <w:color w:val="000000"/>
          <w:sz w:val="18"/>
        </w:rPr>
        <w:t>Le Médiateur dispose d’un délai de trois mois à compter de sa saisine pour rendre un avis motivé.</w:t>
      </w:r>
    </w:p>
    <w:p>
      <w:pPr>
        <w:autoSpaceDN w:val="0"/>
        <w:autoSpaceDE w:val="0"/>
        <w:widowControl/>
        <w:spacing w:line="240" w:lineRule="auto" w:before="0" w:after="0"/>
        <w:ind w:left="0" w:right="28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18640" cy="810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336" w:after="0"/>
        <w:ind w:left="576" w:right="0" w:firstLine="0"/>
        <w:jc w:val="center"/>
      </w:pPr>
      <w:r>
        <w:rPr>
          <w:rFonts w:ascii="CIDFont+F2" w:hAnsi="CIDFont+F2" w:eastAsia="CIDFont+F2"/>
          <w:b w:val="0"/>
          <w:i w:val="0"/>
          <w:color w:val="063363"/>
          <w:sz w:val="12"/>
        </w:rPr>
        <w:t xml:space="preserve">KIASSURE - SAS au capital de 20 000 € - 27, place aux huiles - 13001 Marseille - Inscrite au RCS de Marseille SIREN n°825 261 522 – Immatriculée à l'ORIAS sous le n°17001652 </w:t>
      </w:r>
      <w:r>
        <w:rPr>
          <w:rFonts w:ascii="CIDFont+F2" w:hAnsi="CIDFont+F2" w:eastAsia="CIDFont+F2"/>
          <w:b w:val="0"/>
          <w:i w:val="0"/>
          <w:color w:val="063363"/>
          <w:sz w:val="12"/>
        </w:rPr>
        <w:t xml:space="preserve">(site web : www.orias.fr) - Soumise au contrôle de l’ACPR – 4 Place de Budapest CS 92459 75436 PARIS CEDEX 09 </w:t>
      </w:r>
    </w:p>
    <w:sectPr w:rsidR="00FC693F" w:rsidRPr="0006063C" w:rsidSect="00034616">
      <w:pgSz w:w="11906" w:h="16838"/>
      <w:pgMar w:top="2" w:right="650" w:bottom="30" w:left="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