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85"/>
      </w:tblGrid>
      <w:tr>
        <w:trPr>
          <w:trHeight w:hRule="exact" w:val="556"/>
        </w:trPr>
        <w:tc>
          <w:tcPr>
            <w:tcW w:type="dxa" w:w="10668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8" w:after="0"/>
              <w:ind w:left="28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36"/>
              </w:rPr>
              <w:t xml:space="preserve">Assurance complémentaire santé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1285"/>
      </w:tblGrid>
      <w:tr>
        <w:trPr>
          <w:trHeight w:hRule="exact" w:val="198"/>
        </w:trPr>
        <w:tc>
          <w:tcPr>
            <w:tcW w:type="dxa" w:w="7380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" w:after="0"/>
              <w:ind w:left="14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6"/>
              </w:rPr>
              <w:t>Document d’informations sur le produit d’assurance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1285"/>
      </w:tblGrid>
      <w:tr>
        <w:trPr>
          <w:trHeight w:hRule="exact" w:val="182"/>
        </w:trPr>
        <w:tc>
          <w:tcPr>
            <w:tcW w:type="dxa" w:w="10420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1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 xml:space="preserve">Assureur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5"/>
              </w:rPr>
              <w:t xml:space="preserve">: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>ACHEEL • 128 rue La Boétie • 75008 Paris - SIREN 879605350 • Société Anonyme au capital de 46 812,48 euros •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 xml:space="preserve">Entreprise régie par le Code des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1285"/>
      </w:tblGrid>
      <w:tr>
        <w:trPr>
          <w:trHeight w:hRule="exact" w:val="182"/>
        </w:trPr>
        <w:tc>
          <w:tcPr>
            <w:tcW w:type="dxa" w:w="9480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" w:after="0"/>
              <w:ind w:left="14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>assurances et soumise à l’Autorité de Contrôle Prudentiel et de Résolution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>(ACPR, 4 Place de Budapest CS 92459, 75436 Paris)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1285"/>
      </w:tblGrid>
      <w:tr>
        <w:trPr>
          <w:trHeight w:hRule="exact" w:val="192"/>
        </w:trPr>
        <w:tc>
          <w:tcPr>
            <w:tcW w:type="dxa" w:w="9340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6" w:after="0"/>
              <w:ind w:left="14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15"/>
              </w:rPr>
              <w:t xml:space="preserve">Distributeur :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5"/>
              </w:rPr>
              <w:t>KIASSURE – 27 Place aux Huiles, 13001 Marseille - SAS – RCS Marseille n°825 261 522, N° ORIAS : 17001652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.0" w:type="dxa"/>
      </w:tblPr>
      <w:tblGrid>
        <w:gridCol w:w="11285"/>
      </w:tblGrid>
      <w:tr>
        <w:trPr>
          <w:trHeight w:hRule="exact" w:val="282"/>
        </w:trPr>
        <w:tc>
          <w:tcPr>
            <w:tcW w:type="dxa" w:w="6460"/>
            <w:tcBorders/>
            <w:shd w:fill="1e95f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" w:after="0"/>
              <w:ind w:left="14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20"/>
              </w:rPr>
              <w:t xml:space="preserve">Produit : IZY SANTÉ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Ce document présente un résumé des principales garanties et exclusions du produit. Il ne prend pas en compte vos besoins et demandes </w:t>
      </w:r>
    </w:p>
    <w:p>
      <w:pPr>
        <w:autoSpaceDN w:val="0"/>
        <w:autoSpaceDE w:val="0"/>
        <w:widowControl/>
        <w:spacing w:line="197" w:lineRule="auto" w:before="42" w:after="0"/>
        <w:ind w:left="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spécifiques. Toutes les informations complètes sur ce produit sont fournies dans les documents précontractuels et contractuels et </w:t>
      </w:r>
    </w:p>
    <w:p>
      <w:pPr>
        <w:autoSpaceDN w:val="0"/>
        <w:autoSpaceDE w:val="0"/>
        <w:widowControl/>
        <w:spacing w:line="197" w:lineRule="auto" w:before="40" w:after="0"/>
        <w:ind w:left="8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>notamment, dans le tableau de garanties ci-joint, qui détaille les niveaux de remboursements.</w:t>
      </w:r>
    </w:p>
    <w:p>
      <w:pPr>
        <w:autoSpaceDN w:val="0"/>
        <w:autoSpaceDE w:val="0"/>
        <w:widowControl/>
        <w:spacing w:line="197" w:lineRule="auto" w:before="34" w:after="0"/>
        <w:ind w:left="84" w:right="0" w:firstLine="0"/>
        <w:jc w:val="left"/>
      </w:pPr>
      <w:r>
        <w:rPr>
          <w:rFonts w:ascii="Calibri" w:hAnsi="Calibri" w:eastAsia="Calibri"/>
          <w:b/>
          <w:i w:val="0"/>
          <w:color w:val="1E96F0"/>
          <w:sz w:val="16"/>
        </w:rPr>
        <w:t xml:space="preserve">De quel type d’assurance s’agit-il ? </w:t>
      </w:r>
    </w:p>
    <w:p>
      <w:pPr>
        <w:autoSpaceDN w:val="0"/>
        <w:autoSpaceDE w:val="0"/>
        <w:widowControl/>
        <w:spacing w:line="197" w:lineRule="auto" w:before="32" w:after="0"/>
        <w:ind w:left="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Le produit d’assurance complémentaire santé “</w:t>
      </w:r>
      <w:r>
        <w:rPr>
          <w:rFonts w:ascii="Calibri" w:hAnsi="Calibri" w:eastAsia="Calibri"/>
          <w:b/>
          <w:i w:val="0"/>
          <w:color w:val="000000"/>
          <w:sz w:val="18"/>
        </w:rPr>
        <w:t>IZY SANTÉ”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est destiné à rembourser tout ou partie des frais de santé restant à la charge de </w:t>
      </w:r>
    </w:p>
    <w:p>
      <w:pPr>
        <w:autoSpaceDN w:val="0"/>
        <w:autoSpaceDE w:val="0"/>
        <w:widowControl/>
        <w:spacing w:line="197" w:lineRule="auto" w:before="26" w:after="0"/>
        <w:ind w:left="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l’assuré et des éventuels bénéficiaires en cas d’accident, de maladie ou de maternité, en complément de la sécurité sociale française. Le produit </w:t>
      </w:r>
    </w:p>
    <w:p>
      <w:pPr>
        <w:autoSpaceDN w:val="0"/>
        <w:autoSpaceDE w:val="0"/>
        <w:widowControl/>
        <w:spacing w:line="197" w:lineRule="auto" w:before="30" w:after="0"/>
        <w:ind w:left="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respecte les conditions légales des contrats responsables.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0000000000007" w:type="dxa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rPr>
          <w:trHeight w:hRule="exact" w:val="740"/>
        </w:trPr>
        <w:tc>
          <w:tcPr>
            <w:tcW w:type="dxa" w:w="73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099" cy="2933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9" cy="293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4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Qu’est-ce qui est assuré ? </w:t>
            </w:r>
          </w:p>
        </w:tc>
        <w:tc>
          <w:tcPr>
            <w:tcW w:type="dxa" w:w="98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8" w:after="0"/>
              <w:ind w:left="0" w:right="13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3370" cy="2933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" cy="293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88"/>
            <w:gridSpan w:val="7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Qu’est-ce qui n’est pas assuré ? </w:t>
            </w:r>
          </w:p>
        </w:tc>
      </w:tr>
      <w:tr>
        <w:trPr>
          <w:trHeight w:hRule="exact" w:val="1000"/>
        </w:trPr>
        <w:tc>
          <w:tcPr>
            <w:tcW w:type="dxa" w:w="5036"/>
            <w:gridSpan w:val="2"/>
            <w:vMerge w:val="restart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114" w:right="21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montants des prestations sont soumis à des plafonds qui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varient en fonction du niveau de garantie choisi, et figurent dans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tableaux de garanties. Ils ne peuvent être plus élevés que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dépenses engagées, et une somme peut rester à votre charge. 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114" w:right="14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Garanties systématiquement prévues </w:t>
            </w:r>
            <w:r>
              <w:br/>
            </w:r>
            <w:r>
              <w:rPr>
                <w:rFonts w:ascii="Yu Gothic" w:hAnsi="Yu Gothic" w:eastAsia="Yu Gothic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Hospitalisation 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Frais de séjours, Honoraires (Praticiens </w:t>
            </w:r>
          </w:p>
          <w:p>
            <w:pPr>
              <w:autoSpaceDN w:val="0"/>
              <w:autoSpaceDE w:val="0"/>
              <w:widowControl/>
              <w:spacing w:line="240" w:lineRule="exact" w:before="22" w:after="0"/>
              <w:ind w:left="11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adhérents à un dispositif de pratique tarifaire maitrisée ou non),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Forfait journalier hospitalier, Hospitalisation à domicile ; </w:t>
            </w:r>
            <w:r>
              <w:br/>
            </w:r>
            <w:r>
              <w:rPr>
                <w:rFonts w:ascii="Yu Gothic" w:hAnsi="Yu Gothic" w:eastAsia="Yu Gothic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Soins courants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 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Consultation de médecins généralistes et </w:t>
            </w:r>
          </w:p>
          <w:p>
            <w:pPr>
              <w:autoSpaceDN w:val="0"/>
              <w:autoSpaceDE w:val="0"/>
              <w:widowControl/>
              <w:spacing w:line="245" w:lineRule="auto" w:before="80" w:after="0"/>
              <w:ind w:left="114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spécialistes, Imagerie Médicale, Actes de techniques Médicaux,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Honoraires Paramédicaux, Analyses et examens de laboratoires, </w:t>
            </w:r>
          </w:p>
        </w:tc>
        <w:tc>
          <w:tcPr>
            <w:tcW w:type="dxa" w:w="6168"/>
            <w:gridSpan w:val="8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23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FF0000"/>
                <w:sz w:val="18"/>
              </w:rPr>
              <w:t xml:space="preserve">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soins reçus en dehors de la période de validité du contrat, </w:t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18"/>
              </w:rPr>
              <w:t xml:space="preserve">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indemnités versées en complément de la sécurité sociale en cas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d'arrêt de travail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18"/>
              </w:rPr>
              <w:t xml:space="preserve">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 forfait journalier facturé par les établissements d’hébergement </w:t>
            </w:r>
          </w:p>
        </w:tc>
      </w:tr>
      <w:tr>
        <w:trPr>
          <w:trHeight w:hRule="exact" w:val="220"/>
        </w:trPr>
        <w:tc>
          <w:tcPr>
            <w:tcW w:type="dxa" w:w="2256"/>
            <w:gridSpan w:val="2"/>
            <w:vMerge/>
            <w:tcBorders/>
          </w:tcPr>
          <w:p/>
        </w:tc>
        <w:tc>
          <w:tcPr>
            <w:tcW w:type="dxa" w:w="1480"/>
            <w:gridSpan w:val="2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23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médico-sociaux </w:t>
            </w:r>
          </w:p>
        </w:tc>
        <w:tc>
          <w:tcPr>
            <w:tcW w:type="dxa" w:w="2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8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maisons </w:t>
            </w:r>
          </w:p>
        </w:tc>
        <w:tc>
          <w:tcPr>
            <w:tcW w:type="dxa" w:w="8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d’accueil </w:t>
            </w:r>
          </w:p>
        </w:tc>
        <w:tc>
          <w:tcPr>
            <w:tcW w:type="dxa" w:w="10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spécialisées </w:t>
            </w:r>
          </w:p>
        </w:tc>
        <w:tc>
          <w:tcPr>
            <w:tcW w:type="dxa" w:w="6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(MAS) </w:t>
            </w:r>
          </w:p>
        </w:tc>
        <w:tc>
          <w:tcPr>
            <w:tcW w:type="dxa" w:w="112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9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ou </w:t>
            </w:r>
          </w:p>
        </w:tc>
      </w:tr>
      <w:tr>
        <w:trPr>
          <w:trHeight w:hRule="exact" w:val="1706"/>
        </w:trPr>
        <w:tc>
          <w:tcPr>
            <w:tcW w:type="dxa" w:w="2256"/>
            <w:gridSpan w:val="2"/>
            <w:vMerge/>
            <w:tcBorders/>
          </w:tcPr>
          <w:p/>
        </w:tc>
        <w:tc>
          <w:tcPr>
            <w:tcW w:type="dxa" w:w="6168"/>
            <w:gridSpan w:val="8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232" w:right="72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établissements d’hébergement pour personnes âgées dépendantes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(EHPAD)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18"/>
              </w:rPr>
              <w:t xml:space="preserve">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actes ne figurant pas sur la nomenclature générale des actes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professionnels (NGAP) ou dans la classification commune des actes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médicaux (CCAM), sauf cas particuliers prévus à l’adhésion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18"/>
              </w:rPr>
              <w:t>X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soins effectués pendant les délais d’attente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Cette liste n’est pas exhaustive </w:t>
            </w:r>
          </w:p>
        </w:tc>
      </w:tr>
    </w:tbl>
    <w:p>
      <w:pPr>
        <w:autoSpaceDN w:val="0"/>
        <w:autoSpaceDE w:val="0"/>
        <w:widowControl/>
        <w:spacing w:line="197" w:lineRule="auto" w:before="20" w:after="18"/>
        <w:ind w:left="1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>Transport (</w:t>
      </w:r>
      <w:r>
        <w:rPr>
          <w:rFonts w:ascii="Calibri" w:hAnsi="Calibri" w:eastAsia="Calibri"/>
          <w:b w:val="0"/>
          <w:i/>
          <w:color w:val="000000"/>
          <w:sz w:val="18"/>
        </w:rPr>
        <w:t>sauf cures thermales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), Médicaments pris en charge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1881"/>
        <w:gridCol w:w="1881"/>
        <w:gridCol w:w="1881"/>
        <w:gridCol w:w="1881"/>
        <w:gridCol w:w="1881"/>
        <w:gridCol w:w="1881"/>
      </w:tblGrid>
      <w:tr>
        <w:trPr>
          <w:trHeight w:hRule="exact" w:val="776"/>
        </w:trPr>
        <w:tc>
          <w:tcPr>
            <w:tcW w:type="dxa" w:w="5138"/>
            <w:gridSpan w:val="4"/>
            <w:vMerge w:val="restart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par le régime de base, Cure thermale ;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Dentaire: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Panier « 100% santé », Orthodontie prise en charge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par le régime de base, Prothèses dentaires, inlays-core et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implantologie pris en charge par le régime obligatoire ;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Optique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: Panier « 100% Santé », Équipements verres et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monture, Lentilles prescrites prises en charge ou non par 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régime obligatoire ; </w:t>
            </w:r>
            <w:r>
              <w:br/>
            </w:r>
            <w:r>
              <w:rPr>
                <w:rFonts w:ascii="Segoe UI Symbol" w:hAnsi="Segoe UI Symbol" w:eastAsia="Segoe UI Symbol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Aides auditives 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Panier « 100% Santé » prothèses auditives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classe I, Appareillages et prothèses auditives classe II pris 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charge par le régime obligatoire et dans les conditions fixées au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tableau des garanties, Accessoires (piles, écouteurs, coque). </w:t>
            </w:r>
          </w:p>
          <w:p>
            <w:pPr>
              <w:autoSpaceDN w:val="0"/>
              <w:tabs>
                <w:tab w:pos="124" w:val="left"/>
              </w:tabs>
              <w:autoSpaceDE w:val="0"/>
              <w:widowControl/>
              <w:spacing w:line="245" w:lineRule="auto" w:before="260" w:after="0"/>
              <w:ind w:left="98" w:right="28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Garanties non systématiquement prévues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Médecine naturelle : ostéopathe, pédicure, podologue, </w:t>
            </w:r>
          </w:p>
        </w:tc>
        <w:tc>
          <w:tcPr>
            <w:tcW w:type="dxa" w:w="68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100" cy="292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36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0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Y-a-t-il des exclusions à la couverture ? </w:t>
            </w:r>
          </w:p>
        </w:tc>
      </w:tr>
      <w:tr>
        <w:trPr>
          <w:trHeight w:hRule="exact" w:val="72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050"/>
            <w:gridSpan w:val="2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14" w:right="86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PRINCIPALES EXCLUSIONS :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 Les principales exclusions imposées par le dispositif législatif des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contrats responsables : </w:t>
            </w:r>
          </w:p>
        </w:tc>
      </w:tr>
      <w:tr>
        <w:trPr>
          <w:trHeight w:hRule="exact" w:val="18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8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1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36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La participation forfaitaire de 1 euro et les franchises sur les </w:t>
            </w:r>
          </w:p>
        </w:tc>
      </w:tr>
      <w:tr>
        <w:trPr>
          <w:trHeight w:hRule="exact" w:val="20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050"/>
            <w:gridSpan w:val="2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8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boîtes de médicaments, actes paramédicaux et transport ; </w:t>
            </w:r>
          </w:p>
        </w:tc>
      </w:tr>
      <w:tr>
        <w:trPr>
          <w:trHeight w:hRule="exact" w:val="20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8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0" w:right="1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36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8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La majoration du ticket modérateur et les dépassements </w:t>
            </w:r>
          </w:p>
        </w:tc>
      </w:tr>
      <w:tr>
        <w:trPr>
          <w:trHeight w:hRule="exact" w:val="38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050"/>
            <w:gridSpan w:val="2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83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d’honoraires si les dépenses de santé sont réalisées en dehors du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parcours de soins ; </w:t>
            </w:r>
          </w:p>
        </w:tc>
      </w:tr>
      <w:tr>
        <w:trPr>
          <w:trHeight w:hRule="exact" w:val="20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8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0" w:right="1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36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15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Les dépassements d’honoraires au-delà de la limite fixée </w:t>
            </w:r>
          </w:p>
        </w:tc>
      </w:tr>
      <w:tr>
        <w:trPr>
          <w:trHeight w:hRule="exact" w:val="480"/>
        </w:trPr>
        <w:tc>
          <w:tcPr>
            <w:tcW w:type="dxa" w:w="7524"/>
            <w:gridSpan w:val="4"/>
            <w:vMerge/>
            <w:tcBorders/>
          </w:tcPr>
          <w:p/>
        </w:tc>
        <w:tc>
          <w:tcPr>
            <w:tcW w:type="dxa" w:w="6050"/>
            <w:gridSpan w:val="2"/>
            <w:vMerge w:val="restart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83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réglementairement pour les médecins n’adhérant pas à un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6"/>
              </w:rPr>
              <w:t xml:space="preserve">dispositif de pratique tarifaire maîtrisée. </w:t>
            </w:r>
          </w:p>
          <w:p>
            <w:pPr>
              <w:autoSpaceDN w:val="0"/>
              <w:autoSpaceDE w:val="0"/>
              <w:widowControl/>
              <w:spacing w:line="245" w:lineRule="auto" w:before="42" w:after="0"/>
              <w:ind w:left="114" w:right="86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traitements et interventions chirurgicales dans le but de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rajeunissement ou esthétique non pris en charge par la sécurité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sociale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Les cures d’amaigrissement, de sommeil, de désintoxication ou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séjours en institut médico-pédagogique et établissements similaires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dehors du parcours de soins. </w:t>
            </w:r>
          </w:p>
          <w:p>
            <w:pPr>
              <w:autoSpaceDN w:val="0"/>
              <w:autoSpaceDE w:val="0"/>
              <w:widowControl/>
              <w:spacing w:line="245" w:lineRule="auto" w:before="34" w:after="0"/>
              <w:ind w:left="114" w:right="86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6"/>
              </w:rPr>
              <w:t xml:space="preserve">PRINCIPALES RESTRICTIONS :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 Chambre particulière : prise en charge par an et par bénéficiaire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pour une durée limitée à 30 jours ;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 xml:space="preserve">!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Hospitalisation : délai d’attente d’un mois en hospitalisation sur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remboursements au-delà du ticket modérateur sauf en cas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d’hospitalisation pour accident ;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 Forfait hospitalier : sont exclus les séjours en gérontologie, 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séjours en unité de soins de longue durée (USLD), les établissements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d’hébergement pour personnes âgées ; </w:t>
            </w:r>
          </w:p>
        </w:tc>
      </w:tr>
      <w:tr>
        <w:trPr>
          <w:trHeight w:hRule="exact" w:val="220"/>
        </w:trPr>
        <w:tc>
          <w:tcPr>
            <w:tcW w:type="dxa" w:w="116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26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étiopathe, </w:t>
            </w:r>
          </w:p>
        </w:tc>
        <w:tc>
          <w:tcPr>
            <w:tcW w:type="dxa" w:w="12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homéopathe, </w:t>
            </w:r>
          </w:p>
        </w:tc>
        <w:tc>
          <w:tcPr>
            <w:tcW w:type="dxa" w:w="122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acupuncteur, </w:t>
            </w:r>
          </w:p>
        </w:tc>
        <w:tc>
          <w:tcPr>
            <w:tcW w:type="dxa" w:w="1518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chiropracteur, </w:t>
            </w:r>
          </w:p>
        </w:tc>
        <w:tc>
          <w:tcPr>
            <w:tcW w:type="dxa" w:w="3762"/>
            <w:gridSpan w:val="2"/>
            <w:vMerge/>
            <w:tcBorders/>
          </w:tcPr>
          <w:p/>
        </w:tc>
      </w:tr>
      <w:tr>
        <w:trPr>
          <w:trHeight w:hRule="exact" w:val="2980"/>
        </w:trPr>
        <w:tc>
          <w:tcPr>
            <w:tcW w:type="dxa" w:w="5138"/>
            <w:gridSpan w:val="4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6" w:val="left"/>
              </w:tabs>
              <w:autoSpaceDE w:val="0"/>
              <w:widowControl/>
              <w:spacing w:line="245" w:lineRule="auto" w:before="30" w:after="0"/>
              <w:ind w:left="12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mésothérapeute, réflexologue, diététicien, nutritionniste 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Actes de prévention : prise en charge de l’ensemble des actes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de prévention prévus dans le cadre du contrat responsable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(Arrêté Ministériel du 8 Juin 2006) ;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Prothèses et appareillages (autres que dentaires et audio). </w:t>
            </w:r>
          </w:p>
          <w:p>
            <w:pPr>
              <w:autoSpaceDN w:val="0"/>
              <w:autoSpaceDE w:val="0"/>
              <w:widowControl/>
              <w:spacing w:line="245" w:lineRule="auto" w:before="260" w:after="0"/>
              <w:ind w:left="98" w:right="244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Services systématiquement inclus </w:t>
            </w:r>
            <w:r>
              <w:br/>
            </w:r>
            <w:r>
              <w:rPr>
                <w:rFonts w:ascii="Yu Gothic" w:hAnsi="Yu Gothic" w:eastAsia="Yu Gothic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Tiers payant : Viamedis </w:t>
            </w:r>
          </w:p>
          <w:p>
            <w:pPr>
              <w:autoSpaceDN w:val="0"/>
              <w:autoSpaceDE w:val="0"/>
              <w:widowControl/>
              <w:spacing w:line="190" w:lineRule="auto" w:before="96" w:after="0"/>
              <w:ind w:left="98" w:right="0" w:firstLine="0"/>
              <w:jc w:val="left"/>
            </w:pPr>
            <w:r>
              <w:rPr>
                <w:rFonts w:ascii="Yu Gothic" w:hAnsi="Yu Gothic" w:eastAsia="Yu Gothic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Assistance : Mutuaide </w:t>
            </w:r>
          </w:p>
          <w:p>
            <w:pPr>
              <w:autoSpaceDN w:val="0"/>
              <w:autoSpaceDE w:val="0"/>
              <w:widowControl/>
              <w:spacing w:line="190" w:lineRule="auto" w:before="98" w:after="0"/>
              <w:ind w:left="98" w:right="0" w:firstLine="0"/>
              <w:jc w:val="left"/>
            </w:pPr>
            <w:r>
              <w:rPr>
                <w:rFonts w:ascii="Yu Gothic" w:hAnsi="Yu Gothic" w:eastAsia="Yu Gothic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My CPMS – Espace assuré (Transmission et Consultation des </w:t>
            </w:r>
          </w:p>
          <w:p>
            <w:pPr>
              <w:autoSpaceDN w:val="0"/>
              <w:autoSpaceDE w:val="0"/>
              <w:widowControl/>
              <w:spacing w:line="245" w:lineRule="auto" w:before="82" w:after="0"/>
              <w:ind w:left="9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remboursements, Simulation des remboursements de soins,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Carte de Tiers-Payant dématérialisée) </w:t>
            </w:r>
          </w:p>
        </w:tc>
        <w:tc>
          <w:tcPr>
            <w:tcW w:type="dxa" w:w="376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7" w:lineRule="auto" w:before="20" w:after="0"/>
        <w:ind w:left="0" w:right="954" w:firstLine="0"/>
        <w:jc w:val="right"/>
      </w:pPr>
      <w:r>
        <w:rPr>
          <w:rFonts w:ascii="Calibri" w:hAnsi="Calibri" w:eastAsia="Calibri"/>
          <w:b/>
          <w:i w:val="0"/>
          <w:color w:val="EB6608"/>
          <w:sz w:val="18"/>
        </w:rPr>
        <w:t xml:space="preserve">!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Optique : Renouvellement tous les deux (2) ans pour les personnes </w:t>
      </w:r>
    </w:p>
    <w:p>
      <w:pPr>
        <w:autoSpaceDN w:val="0"/>
        <w:autoSpaceDE w:val="0"/>
        <w:widowControl/>
        <w:spacing w:line="197" w:lineRule="auto" w:before="38" w:after="20"/>
        <w:ind w:left="0" w:right="95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de plus de 16 ans sauf en cas d’évolution de la vue où la période est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.00000000000001" w:type="dxa"/>
      </w:tblPr>
      <w:tblGrid>
        <w:gridCol w:w="5642"/>
        <w:gridCol w:w="5642"/>
      </w:tblGrid>
      <w:tr>
        <w:trPr>
          <w:trHeight w:hRule="exact" w:val="894"/>
        </w:trPr>
        <w:tc>
          <w:tcPr>
            <w:tcW w:type="dxa" w:w="51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6" w:after="0"/>
              <w:ind w:left="98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garanties précédées d’une coche </w:t>
            </w:r>
            <w:r>
              <w:rPr>
                <w:rFonts w:ascii="Segoe UI Symbol" w:hAnsi="Segoe UI Symbol" w:eastAsia="Segoe UI Symbol"/>
                <w:b w:val="0"/>
                <w:i w:val="0"/>
                <w:color w:val="159934"/>
                <w:sz w:val="18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sont systématiquement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prévues au contrat.</w:t>
            </w:r>
          </w:p>
        </w:tc>
        <w:tc>
          <w:tcPr>
            <w:tcW w:type="dxa" w:w="605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14" w:right="86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réduite à un an dans la limite de 100 euros par monture ;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>!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 Aides auditives : Prise en charge tous les 4 ans, par oreille et par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bénéficiaire ;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EB6608"/>
                <w:sz w:val="18"/>
              </w:rPr>
              <w:t xml:space="preserve">!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Médecine naturelle : remboursement limité à un montant annuel </w:t>
            </w:r>
          </w:p>
        </w:tc>
      </w:tr>
    </w:tbl>
    <w:p>
      <w:pPr>
        <w:autoSpaceDN w:val="0"/>
        <w:autoSpaceDE w:val="0"/>
        <w:widowControl/>
        <w:spacing w:line="197" w:lineRule="auto" w:before="36" w:after="0"/>
        <w:ind w:left="0" w:right="3342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forfaitaire selon la formule choisie. </w:t>
      </w:r>
    </w:p>
    <w:p>
      <w:pPr>
        <w:autoSpaceDN w:val="0"/>
        <w:autoSpaceDE w:val="0"/>
        <w:widowControl/>
        <w:spacing w:line="197" w:lineRule="auto" w:before="730" w:after="0"/>
        <w:ind w:left="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ACHEEL - 128 rue La Boétie - 75008 Paris - SIREN 879605350 - Code APE 6512Z - SA à conseil d’administration (s.a.i.) au capital de 46 812,48 euros - Entreprise régie </w:t>
      </w:r>
    </w:p>
    <w:p>
      <w:pPr>
        <w:autoSpaceDN w:val="0"/>
        <w:autoSpaceDE w:val="0"/>
        <w:widowControl/>
        <w:spacing w:line="197" w:lineRule="auto" w:before="32" w:after="0"/>
        <w:ind w:left="8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par le Code des assurances et soumise à l’Autorité de Contrôle Prudentiel et de Résolution (ACPR, 4 Place de Budapest CS 92459, 75436 Paris) </w:t>
      </w:r>
    </w:p>
    <w:p>
      <w:pPr>
        <w:sectPr>
          <w:pgSz w:w="11909" w:h="16834"/>
          <w:pgMar w:top="142" w:right="0" w:bottom="212" w:left="62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774"/>
        </w:trPr>
        <w:tc>
          <w:tcPr>
            <w:tcW w:type="dxa" w:w="75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3369" cy="292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69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9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0" w:after="0"/>
              <w:ind w:left="8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Où suis-je couvert(e) ? </w:t>
            </w:r>
          </w:p>
        </w:tc>
      </w:tr>
    </w:tbl>
    <w:p>
      <w:pPr>
        <w:autoSpaceDN w:val="0"/>
        <w:autoSpaceDE w:val="0"/>
        <w:widowControl/>
        <w:spacing w:line="10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300"/>
        </w:trPr>
        <w:tc>
          <w:tcPr>
            <w:tcW w:type="dxa" w:w="87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5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1155CC"/>
                <w:sz w:val="18"/>
              </w:rPr>
              <w:t>✓</w:t>
            </w:r>
            <w:r>
              <w:rPr>
                <w:rFonts w:ascii="Calibri" w:hAnsi="Calibri" w:eastAsia="Calibri"/>
                <w:b w:val="0"/>
                <w:i w:val="0"/>
                <w:color w:val="202122"/>
                <w:sz w:val="18"/>
              </w:rPr>
              <w:t xml:space="preserve">Couverture en France métropolitaine, y compris Corse, </w:t>
            </w:r>
            <w:r>
              <w:rPr>
                <w:rFonts w:ascii="Calibri" w:hAnsi="Calibri" w:eastAsia="Calibri"/>
                <w:b/>
                <w:i w:val="0"/>
                <w:color w:val="202122"/>
                <w:sz w:val="18"/>
              </w:rPr>
              <w:t xml:space="preserve">hors Monaco et hors DOM CROM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1" w:type="dxa"/>
      </w:tblPr>
      <w:tblGrid>
        <w:gridCol w:w="10669"/>
      </w:tblGrid>
      <w:tr>
        <w:trPr>
          <w:trHeight w:hRule="exact" w:val="242"/>
        </w:trPr>
        <w:tc>
          <w:tcPr>
            <w:tcW w:type="dxa" w:w="1024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rPr>
                <w:shd w:val="clear" w:color="auto" w:fill="f8f8f9"/>
                <w:rFonts w:ascii="Segoe UI Symbol" w:hAnsi="Segoe UI Symbol" w:eastAsia="Segoe UI Symbol"/>
                <w:b w:val="0"/>
                <w:i w:val="0"/>
                <w:color w:val="1155CC"/>
                <w:sz w:val="18"/>
              </w:rPr>
              <w:t>✓</w:t>
            </w:r>
            <w:r>
              <w:rPr>
                <w:shd w:val="clear" w:color="auto" w:fill="f8f8f9"/>
                <w:rFonts w:ascii="Calibri" w:hAnsi="Calibri" w:eastAsia="Calibri"/>
                <w:b w:val="0"/>
                <w:i w:val="0"/>
                <w:color w:val="202122"/>
                <w:sz w:val="18"/>
              </w:rPr>
              <w:t>Couverture en cas de séjour en dehors de la France Métropolitaine de moins de trois (3) mois consécutifs, dans les pays où le Régime</w:t>
            </w:r>
            <w:r>
              <w:rPr>
                <w:rFonts w:ascii="Calibri" w:hAnsi="Calibri" w:eastAsia="Calibri"/>
                <w:b w:val="0"/>
                <w:i w:val="0"/>
                <w:color w:val="202122"/>
                <w:sz w:val="18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00"/>
        </w:trPr>
        <w:tc>
          <w:tcPr>
            <w:tcW w:type="dxa" w:w="868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02122"/>
                <w:sz w:val="18"/>
              </w:rPr>
              <w:t xml:space="preserve">obligatoire Français intervient. Le remboursement se fait sur la base du tarif de convention.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884"/>
        </w:trPr>
        <w:tc>
          <w:tcPr>
            <w:tcW w:type="dxa" w:w="10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14" w:right="0" w:firstLine="0"/>
              <w:jc w:val="left"/>
            </w:pPr>
            <w:r>
              <w:rPr>
                <w:shd w:val="clear" w:color="auto" w:fill="f8f8f9"/>
                <w:rFonts w:ascii="Segoe UI Symbol" w:hAnsi="Segoe UI Symbol" w:eastAsia="Segoe UI Symbol"/>
                <w:b w:val="0"/>
                <w:i w:val="0"/>
                <w:color w:val="1155CC"/>
                <w:sz w:val="18"/>
              </w:rPr>
              <w:t>✓</w:t>
            </w:r>
            <w:r>
              <w:rPr>
                <w:shd w:val="clear" w:color="auto" w:fill="f8f8f9"/>
                <w:rFonts w:ascii="Calibri" w:hAnsi="Calibri" w:eastAsia="Calibri"/>
                <w:b w:val="0"/>
                <w:i w:val="0"/>
                <w:color w:val="202122"/>
                <w:sz w:val="18"/>
              </w:rPr>
              <w:t>Le règlement des prestations est toujours effectué en euros et sur le territoire Français.</w:t>
            </w:r>
          </w:p>
        </w:tc>
      </w:tr>
      <w:tr>
        <w:trPr>
          <w:trHeight w:hRule="exact" w:val="774"/>
        </w:trPr>
        <w:tc>
          <w:tcPr>
            <w:tcW w:type="dxa" w:w="73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099" cy="29336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9" cy="2933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1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78" w:after="0"/>
              <w:ind w:left="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Quelles sont mes obligations ? </w:t>
            </w:r>
          </w:p>
        </w:tc>
      </w:tr>
    </w:tbl>
    <w:p>
      <w:pPr>
        <w:autoSpaceDN w:val="0"/>
        <w:autoSpaceDE w:val="0"/>
        <w:widowControl/>
        <w:spacing w:line="1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60"/>
        </w:trPr>
        <w:tc>
          <w:tcPr>
            <w:tcW w:type="dxa" w:w="822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SOUS PEINE DE NULLITÉ DU CONTRAT D’ASSURANCE OU DE NON GARANTIE : </w:t>
            </w:r>
          </w:p>
        </w:tc>
      </w:tr>
    </w:tbl>
    <w:p>
      <w:pPr>
        <w:autoSpaceDN w:val="0"/>
        <w:autoSpaceDE w:val="0"/>
        <w:widowControl/>
        <w:spacing w:line="197" w:lineRule="auto" w:before="18" w:after="0"/>
        <w:ind w:left="1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A la souscription du contrat </w:t>
      </w:r>
    </w:p>
    <w:p>
      <w:pPr>
        <w:autoSpaceDN w:val="0"/>
        <w:autoSpaceDE w:val="0"/>
        <w:widowControl/>
        <w:spacing w:line="197" w:lineRule="auto" w:before="40" w:after="0"/>
        <w:ind w:left="1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 Répondre avec exactitude aux questions et demandes de renseignement sur le bulletin d’adhésion ; </w:t>
      </w:r>
    </w:p>
    <w:p>
      <w:pPr>
        <w:autoSpaceDN w:val="0"/>
        <w:autoSpaceDE w:val="0"/>
        <w:widowControl/>
        <w:spacing w:line="197" w:lineRule="auto" w:before="38" w:after="0"/>
        <w:ind w:left="1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 Fournir tous documents ou justificatifs demandés par l'assureur ; </w:t>
      </w:r>
    </w:p>
    <w:p>
      <w:pPr>
        <w:autoSpaceDN w:val="0"/>
        <w:autoSpaceDE w:val="0"/>
        <w:widowControl/>
        <w:spacing w:line="197" w:lineRule="auto" w:before="42" w:after="0"/>
        <w:ind w:left="1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 Régler la cotisation (ou fraction de cotisation) indiquée au contrat. </w:t>
      </w:r>
    </w:p>
    <w:p>
      <w:pPr>
        <w:autoSpaceDN w:val="0"/>
        <w:autoSpaceDE w:val="0"/>
        <w:widowControl/>
        <w:spacing w:line="197" w:lineRule="auto" w:before="38" w:after="0"/>
        <w:ind w:left="1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En cours de contrat </w:t>
      </w:r>
    </w:p>
    <w:p>
      <w:pPr>
        <w:autoSpaceDN w:val="0"/>
        <w:autoSpaceDE w:val="0"/>
        <w:widowControl/>
        <w:spacing w:line="197" w:lineRule="auto" w:before="42" w:after="0"/>
        <w:ind w:left="1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 Déclarer dans les 15 jours toute circonstance nouvelle modifiant les déclarations faites lors de la souscription et qui aurait pour effet de les </w:t>
      </w:r>
    </w:p>
    <w:p>
      <w:pPr>
        <w:autoSpaceDN w:val="0"/>
        <w:autoSpaceDE w:val="0"/>
        <w:widowControl/>
        <w:spacing w:line="197" w:lineRule="auto" w:before="40" w:after="0"/>
        <w:ind w:left="1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rendre inexactes ou caduques ; </w:t>
      </w:r>
    </w:p>
    <w:p>
      <w:pPr>
        <w:autoSpaceDN w:val="0"/>
        <w:autoSpaceDE w:val="0"/>
        <w:widowControl/>
        <w:spacing w:line="197" w:lineRule="auto" w:before="38" w:after="0"/>
        <w:ind w:left="1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- Régler la cotisation (ou fraction de cotisation) aux dates indiquées au contrat. </w:t>
      </w:r>
    </w:p>
    <w:p>
      <w:pPr>
        <w:autoSpaceDN w:val="0"/>
        <w:autoSpaceDE w:val="0"/>
        <w:widowControl/>
        <w:spacing w:line="197" w:lineRule="auto" w:before="42" w:after="0"/>
        <w:ind w:left="1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Pour le versement des prestations (en cas de sinistre) </w:t>
      </w:r>
    </w:p>
    <w:p>
      <w:pPr>
        <w:autoSpaceDN w:val="0"/>
        <w:autoSpaceDE w:val="0"/>
        <w:widowControl/>
        <w:spacing w:line="197" w:lineRule="auto" w:before="38" w:after="36"/>
        <w:ind w:left="11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 xml:space="preserve">- </w:t>
      </w: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Fournir dans les délais prévus au contrat tous documents ou justificatifs nécessaires au paiement des prestations et demandés par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724"/>
        </w:trPr>
        <w:tc>
          <w:tcPr>
            <w:tcW w:type="dxa" w:w="10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l’assureur. </w:t>
            </w:r>
          </w:p>
        </w:tc>
      </w:tr>
      <w:tr>
        <w:trPr>
          <w:trHeight w:hRule="exact" w:val="774"/>
        </w:trPr>
        <w:tc>
          <w:tcPr>
            <w:tcW w:type="dxa" w:w="73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099" cy="2921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9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1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1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Quand et comment effectuer les paiements ? </w:t>
            </w:r>
          </w:p>
        </w:tc>
      </w:tr>
    </w:tbl>
    <w:p>
      <w:pPr>
        <w:autoSpaceDN w:val="0"/>
        <w:autoSpaceDE w:val="0"/>
        <w:widowControl/>
        <w:spacing w:line="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60"/>
        </w:trPr>
        <w:tc>
          <w:tcPr>
            <w:tcW w:type="dxa" w:w="105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cotisations sont payables d'avance annuellement, à la date indiquée dans le contrat. Un paiement fractionné peut toutefois être accordé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20"/>
        </w:trPr>
        <w:tc>
          <w:tcPr>
            <w:tcW w:type="dxa" w:w="61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8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au choix de l’assuré.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710"/>
        </w:trPr>
        <w:tc>
          <w:tcPr>
            <w:tcW w:type="dxa" w:w="10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Les paiements peuvent être effectués suivant les modalités prévues au contrat (prélèvement automatique, chèque, carte bancaire). </w:t>
            </w:r>
          </w:p>
        </w:tc>
      </w:tr>
      <w:tr>
        <w:trPr>
          <w:trHeight w:hRule="exact" w:val="772"/>
        </w:trPr>
        <w:tc>
          <w:tcPr>
            <w:tcW w:type="dxa" w:w="73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099" cy="29337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9" cy="2933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1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474" w:after="0"/>
              <w:ind w:left="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Quand commence la couverture et quand prend-elle fin ? </w:t>
            </w:r>
          </w:p>
        </w:tc>
      </w:tr>
    </w:tbl>
    <w:p>
      <w:pPr>
        <w:autoSpaceDN w:val="0"/>
        <w:autoSpaceDE w:val="0"/>
        <w:widowControl/>
        <w:spacing w:line="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300"/>
        </w:trPr>
        <w:tc>
          <w:tcPr>
            <w:tcW w:type="dxa" w:w="101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Le contrat prend effet à la date indiquée au Certificat d’adhésion sous réserve de l'encaissement effectif de la première cotisation.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300"/>
        </w:trPr>
        <w:tc>
          <w:tcPr>
            <w:tcW w:type="dxa" w:w="1056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En cas de contrat conclu à distance ou de démarchage à domicile, l'assuré dispose d'un délai de rétractation de 14 jours, qui commence à courir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300"/>
        </w:trPr>
        <w:tc>
          <w:tcPr>
            <w:tcW w:type="dxa" w:w="1056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à compter de la conclusion du contrat, ou à compter de la réception de l'ensemble de la documentation contractuelle (si cette date est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300"/>
        </w:trPr>
        <w:tc>
          <w:tcPr>
            <w:tcW w:type="dxa" w:w="708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postérieure à la date de conclusion du contrat).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76"/>
        </w:trPr>
        <w:tc>
          <w:tcPr>
            <w:tcW w:type="dxa" w:w="105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Il est conclu pour une durée d'un an et se renouvelle automatiquement d'année en année à sa date d'échéance principale sauf résiliation par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34"/>
        <w:gridCol w:w="5334"/>
      </w:tblGrid>
      <w:tr>
        <w:trPr>
          <w:trHeight w:hRule="exact" w:val="728"/>
        </w:trPr>
        <w:tc>
          <w:tcPr>
            <w:tcW w:type="dxa" w:w="106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l'une des parties dans les cas et conditions fixés au contrat. </w:t>
            </w:r>
          </w:p>
        </w:tc>
      </w:tr>
      <w:tr>
        <w:trPr>
          <w:trHeight w:hRule="exact" w:val="770"/>
        </w:trPr>
        <w:tc>
          <w:tcPr>
            <w:tcW w:type="dxa" w:w="736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92099" cy="292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99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12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56" w:after="0"/>
              <w:ind w:left="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 puis-je résilier le contrat ? </w:t>
            </w:r>
          </w:p>
        </w:tc>
      </w:tr>
    </w:tbl>
    <w:p>
      <w:pPr>
        <w:autoSpaceDN w:val="0"/>
        <w:autoSpaceDE w:val="0"/>
        <w:widowControl/>
        <w:spacing w:line="1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60"/>
        </w:trPr>
        <w:tc>
          <w:tcPr>
            <w:tcW w:type="dxa" w:w="1050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L’assuré peut mettre fin au contrat, en adressant à l’assureur une notification (lettre ou tout autre support durable, déclaration faite au siège </w:t>
            </w:r>
          </w:p>
        </w:tc>
      </w:tr>
    </w:tbl>
    <w:p>
      <w:pPr>
        <w:autoSpaceDN w:val="0"/>
        <w:autoSpaceDE w:val="0"/>
        <w:widowControl/>
        <w:spacing w:line="197" w:lineRule="auto" w:before="20" w:after="20"/>
        <w:ind w:left="11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social ou chez un de ses représentants, acte extrajudiciaire, ou lorsque l’assureur propose la conclusion de contrat par un mode de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5334"/>
        <w:gridCol w:w="5334"/>
      </w:tblGrid>
      <w:tr>
        <w:trPr>
          <w:trHeight w:hRule="exact" w:val="214"/>
        </w:trPr>
        <w:tc>
          <w:tcPr>
            <w:tcW w:type="dxa" w:w="10460"/>
            <w:gridSpan w:val="2"/>
            <w:tcBorders/>
            <w:shd w:fill="f6f8f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communication à distance, par le même mode de communication) : </w:t>
            </w:r>
          </w:p>
        </w:tc>
      </w:tr>
      <w:tr>
        <w:trPr>
          <w:trHeight w:hRule="exact" w:val="220"/>
        </w:trPr>
        <w:tc>
          <w:tcPr>
            <w:tcW w:type="dxa" w:w="62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98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1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À la date d'échéance du contrat, respectant un préavis de deux (2) mois ; </w:t>
            </w:r>
          </w:p>
        </w:tc>
      </w:tr>
      <w:tr>
        <w:trPr>
          <w:trHeight w:hRule="exact" w:val="226"/>
        </w:trPr>
        <w:tc>
          <w:tcPr>
            <w:tcW w:type="dxa" w:w="62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98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À tout moment, à l’expiration d’un délai d’un an à compter de la première souscription, sans frais ni pénalités. La résiliation prend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5.99999999999994" w:type="dxa"/>
      </w:tblPr>
      <w:tblGrid>
        <w:gridCol w:w="5334"/>
        <w:gridCol w:w="5334"/>
      </w:tblGrid>
      <w:tr>
        <w:trPr>
          <w:trHeight w:hRule="exact" w:val="658"/>
        </w:trPr>
        <w:tc>
          <w:tcPr>
            <w:tcW w:type="dxa" w:w="44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144" w:right="14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978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58" w:right="14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effet 1 mois après la réception de votre notification. Cette résiliation peut être réalisée par le nouvel assureur à votre demande 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En cas de modification de votre situation ou celle de vos ayants droit ayant une influence directe sur les risques garantis ;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Dans le cas où l’assureur a résilié, après sinistre, un autre contrat ;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669"/>
      </w:tblGrid>
      <w:tr>
        <w:trPr>
          <w:trHeight w:hRule="exact" w:val="260"/>
        </w:trPr>
        <w:tc>
          <w:tcPr>
            <w:tcW w:type="dxa" w:w="9460"/>
            <w:tcBorders/>
            <w:shd w:fill="f6f8f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" w:after="0"/>
              <w:ind w:left="5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18"/>
              </w:rPr>
              <w:t xml:space="preserve">En cas d'évolution des cotisations ou de modification du contrat dans le respect des conditions fixées au contrat. </w:t>
            </w:r>
          </w:p>
        </w:tc>
      </w:tr>
    </w:tbl>
    <w:p>
      <w:pPr>
        <w:autoSpaceDN w:val="0"/>
        <w:autoSpaceDE w:val="0"/>
        <w:widowControl/>
        <w:spacing w:line="197" w:lineRule="auto" w:before="115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ACHEEL - 128 rue La Boétie - 75008 Paris - SIREN 879605350 - Code APE 6512Z - SA à conseil d’administration (s.a.i.) au capital de 46 812,48 euros - Entreprise régie </w:t>
      </w:r>
    </w:p>
    <w:p>
      <w:pPr>
        <w:autoSpaceDN w:val="0"/>
        <w:autoSpaceDE w:val="0"/>
        <w:widowControl/>
        <w:spacing w:line="197" w:lineRule="auto" w:before="32" w:after="0"/>
        <w:ind w:left="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6"/>
        </w:rPr>
        <w:t xml:space="preserve">par le Code des assurances et soumise à l’Autorité de Contrôle Prudentiel et de Résolution (ACPR, 4 Place de Budapest CS 92459, 75436 Paris) </w:t>
      </w:r>
    </w:p>
    <w:sectPr w:rsidR="00FC693F" w:rsidRPr="0006063C" w:rsidSect="00034616">
      <w:pgSz w:w="11909" w:h="16834"/>
      <w:pgMar w:top="142" w:right="536" w:bottom="212" w:left="7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