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717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58110" cy="949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2153920</wp:posOffset>
            </wp:positionH>
            <wp:positionV relativeFrom="page">
              <wp:posOffset>1361440</wp:posOffset>
            </wp:positionV>
            <wp:extent cx="3255009" cy="176392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009" cy="176392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11377"/>
      </w:tblGrid>
      <w:tr>
        <w:trPr>
          <w:trHeight w:hRule="exact" w:val="928"/>
        </w:trPr>
        <w:tc>
          <w:tcPr>
            <w:tcW w:type="dxa" w:w="10836"/>
            <w:tcBorders/>
            <w:shd w:fill="e2f1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6" w:after="0"/>
              <w:ind w:left="267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4F83"/>
                <w:sz w:val="48"/>
              </w:rPr>
              <w:t xml:space="preserve">NOTICE D’INFORMATION </w:t>
            </w:r>
          </w:p>
        </w:tc>
      </w:tr>
    </w:tbl>
    <w:p>
      <w:pPr>
        <w:autoSpaceDN w:val="0"/>
        <w:autoSpaceDE w:val="0"/>
        <w:widowControl/>
        <w:spacing w:line="17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11377"/>
      </w:tblGrid>
      <w:tr>
        <w:trPr>
          <w:trHeight w:hRule="exact" w:val="772"/>
        </w:trPr>
        <w:tc>
          <w:tcPr>
            <w:tcW w:type="dxa" w:w="108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40"/>
              </w:rPr>
              <w:t>KIASSURE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11377"/>
      </w:tblGrid>
      <w:tr>
        <w:trPr>
          <w:trHeight w:hRule="exact" w:val="680"/>
        </w:trPr>
        <w:tc>
          <w:tcPr>
            <w:tcW w:type="dxa" w:w="10836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3243B"/>
                <w:sz w:val="28"/>
              </w:rPr>
              <w:t xml:space="preserve">SOMMAIRE 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290" w:right="720" w:firstLine="0"/>
        <w:jc w:val="left"/>
      </w:pP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PRÉAMBULE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OBJET DE L'ADHÉSION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CONDITIONS D'ADHÉSION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4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MODALITES D’ADHESION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5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PRISE D’EFFET ET DUREE DE L’ADHESION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6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RESILIATION DE L’ADHESION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7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DÉCLARATIONS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8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CONDITIONS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9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PRISE D’EFFET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10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ETENDUE TERRITORIALE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OBJET, MONTANT ET CONTENU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PRÉCONISATION SUR L’APPLICATION DU 100% SANTÉ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13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CADRE JURIDIQUE DU CONTRAT DIT RESPONSABLE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14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MODIFICATIONS DES GARANTIES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15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AJOUT OU SORTIE DES AYANTS DROIT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16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EXCLUSIONS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17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ADAPTATION DE L'ADHÉSION PAR SUITE DE MODIFICATIONS DU RÉGIME DE BASE DE LA SÉCURITÉ 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SOCIALE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18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PRESTATIONS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19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CONTROLE, PROCÉDURE D’EXPERTISE ET ARBITRAGE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20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– COTISATIONS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LOI MADELIN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SUBROGATION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23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– PRESCRIPTION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24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EXAMENS DES RÉCLAMATIONS ET PROCEDURE DE MEDIATION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25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PROTECTION DES DONNEES A CARACTERES PERSONNELLES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26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AUTORITE DE CONTRÔLE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27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OPPOSITION AU DEMARCHAGE TELEPHONIQUE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28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DROIT DE RENONCIATION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29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TAUX DE REDISTRIBUTION ET DE FRAIS DE GESTION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30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FAUSSE DÉCLARATION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31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DÉCHÉANCE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20"/>
        </w:rPr>
        <w:t>ARTICLE 32</w:t>
      </w:r>
      <w:r>
        <w:rPr>
          <w:rFonts w:ascii="Poppins" w:hAnsi="Poppins" w:eastAsia="Poppins"/>
          <w:b w:val="0"/>
          <w:i w:val="0"/>
          <w:color w:val="000000"/>
          <w:sz w:val="20"/>
        </w:rPr>
        <w:t xml:space="preserve"> - JURIDICTION COMPÉTENTE</w:t>
      </w:r>
    </w:p>
    <w:p>
      <w:pPr>
        <w:autoSpaceDN w:val="0"/>
        <w:autoSpaceDE w:val="0"/>
        <w:widowControl/>
        <w:spacing w:line="245" w:lineRule="auto" w:before="726" w:after="0"/>
        <w:ind w:left="10224" w:right="144" w:firstLine="0"/>
        <w:jc w:val="center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 | 22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84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1 - PREAMBULE </w:t>
      </w:r>
    </w:p>
    <w:p>
      <w:pPr>
        <w:autoSpaceDN w:val="0"/>
        <w:autoSpaceDE w:val="0"/>
        <w:widowControl/>
        <w:spacing w:line="245" w:lineRule="auto" w:before="308" w:after="0"/>
        <w:ind w:left="290" w:right="28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contrat d’assurance frais de santé </w:t>
      </w:r>
      <w:r>
        <w:rPr>
          <w:rFonts w:ascii="Poppins" w:hAnsi="Poppins" w:eastAsia="Poppins"/>
          <w:b/>
          <w:i w:val="0"/>
          <w:color w:val="000000"/>
          <w:sz w:val="16"/>
        </w:rPr>
        <w:t>IZY SANTÉ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est un contrat collectif d’assurance à adhésion facultative individuelle n° </w:t>
      </w:r>
      <w:r>
        <w:rPr>
          <w:rFonts w:ascii="Poppins" w:hAnsi="Poppins" w:eastAsia="Poppins"/>
          <w:b/>
          <w:i w:val="0"/>
          <w:color w:val="000000"/>
          <w:sz w:val="16"/>
        </w:rPr>
        <w:t>HEA-ACHIZI-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KIASSURE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régi par les articles L 141-1 et suivants du Code des assurances et la loi n°89-1009 du 31 décembre 1989.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contrat est dénommé ci-après le contrat groupe.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Il se compose des documents suivants : </w:t>
      </w:r>
    </w:p>
    <w:p>
      <w:pPr>
        <w:autoSpaceDN w:val="0"/>
        <w:tabs>
          <w:tab w:pos="650" w:val="left"/>
        </w:tabs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présente Notice d’information à laquelle est adjointe celle relatives à la garantie ASSISTANCE ainsi que l’IPID, qui définissent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garanties, les engagements réciproques ainsi que les dispositions relatives à la vie du contrat, </w:t>
      </w:r>
    </w:p>
    <w:p>
      <w:pPr>
        <w:autoSpaceDN w:val="0"/>
        <w:tabs>
          <w:tab w:pos="650" w:val="left"/>
        </w:tabs>
        <w:autoSpaceDE w:val="0"/>
        <w:widowControl/>
        <w:spacing w:line="190" w:lineRule="auto" w:before="16" w:after="0"/>
        <w:ind w:left="2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certificat d’adhésion, qui retrace les éléments personnels de l’Adhérent, ses déclarations et les garanties qu’il a souscrites, </w:t>
      </w:r>
    </w:p>
    <w:p>
      <w:pPr>
        <w:autoSpaceDN w:val="0"/>
        <w:tabs>
          <w:tab w:pos="650" w:val="left"/>
        </w:tabs>
        <w:autoSpaceDE w:val="0"/>
        <w:widowControl/>
        <w:spacing w:line="190" w:lineRule="auto" w:before="16" w:after="0"/>
        <w:ind w:left="2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tableau des garanties, qui détaille l’ensemble des postes de remboursement et leurs montants.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L’ensemble de ces documents constitue de façon indissociable le contrat groupe auquel les parties s’engagent ; elles ne pourront se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prévaloir de l’un d’entre eux séparément de tous les autres. Le contrat groupe est soumis à la loi française et toute action judiciaire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afférente sera du ressort exclusif des tribunaux français.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>Le Souscripteur du contrat groupe est l'</w:t>
      </w:r>
      <w:r>
        <w:rPr>
          <w:rFonts w:ascii="Poppins" w:hAnsi="Poppins" w:eastAsia="Poppins"/>
          <w:b/>
          <w:i w:val="0"/>
          <w:color w:val="000000"/>
          <w:sz w:val="16"/>
        </w:rPr>
        <w:t>ASSOCIATION COPERNIC POUR L’ASSURANCE (ACPA)</w:t>
      </w:r>
      <w:r>
        <w:rPr>
          <w:rFonts w:ascii="Poppins" w:hAnsi="Poppins" w:eastAsia="Poppins"/>
          <w:b w:val="0"/>
          <w:i w:val="0"/>
          <w:color w:val="000000"/>
          <w:sz w:val="16"/>
        </w:rPr>
        <w:t>, ci-après dénommée l’"</w:t>
      </w:r>
      <w:r>
        <w:rPr>
          <w:rFonts w:ascii="Poppins" w:hAnsi="Poppins" w:eastAsia="Poppins"/>
          <w:b/>
          <w:i w:val="0"/>
          <w:color w:val="000000"/>
          <w:sz w:val="16"/>
        </w:rPr>
        <w:t>ASSOCIATION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", régie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la loi du 1er juillet 1901, dont le siège est situé </w:t>
      </w:r>
      <w:r>
        <w:rPr>
          <w:rFonts w:ascii="Poppins" w:hAnsi="Poppins" w:eastAsia="Poppins"/>
          <w:b/>
          <w:i w:val="0"/>
          <w:color w:val="000000"/>
          <w:sz w:val="16"/>
        </w:rPr>
        <w:t>au 76 rue de la Pompe 75116,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pourvue de la qualité d’association souscriptrice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contrats collectifs d’assurance auprès de </w:t>
      </w:r>
      <w:r>
        <w:rPr>
          <w:rFonts w:ascii="Poppins" w:hAnsi="Poppins" w:eastAsia="Poppins"/>
          <w:b/>
          <w:i w:val="0"/>
          <w:color w:val="000000"/>
          <w:sz w:val="16"/>
        </w:rPr>
        <w:t>l’Assureur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au profit de ses Adhérents.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distributeur et le gestionnaire de la vie du contrat est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KIASSURE, 27 Place aux huiles - 13001 MARSEILLE –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SAS au capital de 20 000 € -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RCS de Marseille 825 261 522  – Intermédiaire en assurance immatriculé en France auprès de l’ORIAS sous le n°17 001 652. Entreprise régie </w:t>
      </w:r>
      <w:r>
        <w:rPr>
          <w:rFonts w:ascii="Poppins" w:hAnsi="Poppins" w:eastAsia="Poppins"/>
          <w:b w:val="0"/>
          <w:i w:val="0"/>
          <w:color w:val="000000"/>
          <w:sz w:val="16"/>
        </w:rPr>
        <w:t>par le Code des assurances ci</w:t>
      </w:r>
      <w:r>
        <w:rPr>
          <w:rFonts w:ascii="Poppins" w:hAnsi="Poppins" w:eastAsia="Poppins"/>
          <w:b/>
          <w:i w:val="0"/>
          <w:color w:val="000000"/>
          <w:sz w:val="16"/>
        </w:rPr>
        <w:t>-après dénommé le « Gestionnaire contrat ».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des garanties Santé est </w:t>
      </w:r>
      <w:r>
        <w:rPr>
          <w:rFonts w:ascii="Poppins" w:hAnsi="Poppins" w:eastAsia="Poppins"/>
          <w:b/>
          <w:i w:val="0"/>
          <w:color w:val="000000"/>
          <w:sz w:val="16"/>
        </w:rPr>
        <w:t>ACHEEL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- Société Anonyme au capital de 46 812,48 euros - Entreprise régie par le Code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assurances et soumise à l’Autorité de Contrôle Prudentiel et de Résolution (ACPR, 4 Place de Budapest CS 92459, 75436 Paris) – RCS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Paris n°879605350 – Siège Social : 128 rue La Boétie - 75008 Paris – ci-après dénommée l’"Assureur”.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>Cet organisme assureur délègue la gestion des prestations au gestionnaire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 CENTRE DE PREVOYANCE MEDICO-SOCIALE (CPMS),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Société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Gestion et de Courtage d’Assurance au capital de 4 429 000 euros, immatriculée au RCS de PARIS B 97 B 14894 – Siret 414 357 889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00040, inscrite auprès de l’ORIAS sous le n° 07 001 007, dont le siège social est sis 4, Rue Auber - 75009 PARIS, disposant d’une Garantie </w:t>
      </w:r>
      <w:r>
        <w:rPr>
          <w:rFonts w:ascii="Poppins" w:hAnsi="Poppins" w:eastAsia="Poppins"/>
          <w:b w:val="0"/>
          <w:i w:val="0"/>
          <w:color w:val="000000"/>
          <w:sz w:val="16"/>
        </w:rPr>
        <w:t>Financière et Responsabilité Civile Professionnelle conformes aux articles L. 530-1 et L. 530-2 du Code des Assurances,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 ci- après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dénommé le « Gestionnaire Prestation». </w:t>
      </w:r>
    </w:p>
    <w:p>
      <w:pPr>
        <w:autoSpaceDN w:val="0"/>
        <w:autoSpaceDE w:val="0"/>
        <w:widowControl/>
        <w:spacing w:line="192" w:lineRule="auto" w:before="26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2 - OBJET DE L’ADHESION </w:t>
      </w:r>
    </w:p>
    <w:p>
      <w:pPr>
        <w:autoSpaceDN w:val="0"/>
        <w:autoSpaceDE w:val="0"/>
        <w:widowControl/>
        <w:spacing w:line="245" w:lineRule="auto" w:before="30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contrat </w:t>
      </w:r>
      <w:r>
        <w:rPr>
          <w:rFonts w:ascii="Poppins" w:hAnsi="Poppins" w:eastAsia="Poppins"/>
          <w:b/>
          <w:i w:val="0"/>
          <w:color w:val="000000"/>
          <w:sz w:val="16"/>
        </w:rPr>
        <w:t>IZY SANTÉ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est composé de 4 formules responsables, et a pour objet de vous garantir le remboursement de frais médicaux,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chirurgicaux et / ou d’hospitalisation constatés médicalement, et occasionnés par l’un des événements suivants :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maladie ;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maternité ;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accident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Certaines prestations non couvertes par votre Régime obligatoire peuvent faire l’objet d’une participation de notre part si elles sont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prévues par les garanties souscrites. </w:t>
      </w:r>
    </w:p>
    <w:p>
      <w:pPr>
        <w:autoSpaceDN w:val="0"/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remboursements sont en fonction des garanties choisies et indiquées au certificat d’adhésion. Ils ne peuvent en aucun cas être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supérieurs aux dépenses réelles. </w:t>
      </w:r>
    </w:p>
    <w:p>
      <w:pPr>
        <w:autoSpaceDN w:val="0"/>
        <w:autoSpaceDE w:val="0"/>
        <w:widowControl/>
        <w:spacing w:line="192" w:lineRule="auto" w:before="1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descriptif de l’ensemble des garanties est annexé à la présente notice d’information.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3 - CONDITIONS D’ADHESION </w:t>
      </w:r>
    </w:p>
    <w:p>
      <w:pPr>
        <w:autoSpaceDN w:val="0"/>
        <w:autoSpaceDE w:val="0"/>
        <w:widowControl/>
        <w:spacing w:line="245" w:lineRule="auto" w:before="30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L’admission à la présente assurance en qualité d’assuré est réservée aux personnes physiques respectant les conditions cumulatives </w:t>
      </w:r>
      <w:r>
        <w:rPr>
          <w:rFonts w:ascii="Poppins" w:hAnsi="Poppins" w:eastAsia="Poppins"/>
          <w:b w:val="0"/>
          <w:i w:val="0"/>
          <w:color w:val="000000"/>
          <w:sz w:val="16"/>
        </w:rPr>
        <w:t>suivantes :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Être adhérentes à l’Association l'</w:t>
      </w:r>
      <w:r>
        <w:rPr>
          <w:rFonts w:ascii="Poppins" w:hAnsi="Poppins" w:eastAsia="Poppins"/>
          <w:b/>
          <w:i w:val="0"/>
          <w:color w:val="000000"/>
          <w:sz w:val="16"/>
        </w:rPr>
        <w:t>ASSOCIATION COPERNIC POUR L’ASSURANCE (ACPA)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Relever du Régime Obligatoire français,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Résider en France métropolitaine, y compris Corse,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hors Monaco et hors DROM COM </w:t>
      </w:r>
    </w:p>
    <w:p>
      <w:pPr>
        <w:autoSpaceDN w:val="0"/>
        <w:tabs>
          <w:tab w:pos="1010" w:val="left"/>
          <w:tab w:pos="1370" w:val="left"/>
          <w:tab w:pos="1730" w:val="left"/>
        </w:tabs>
        <w:autoSpaceDE w:val="0"/>
        <w:widowControl/>
        <w:spacing w:line="245" w:lineRule="auto" w:before="16" w:after="0"/>
        <w:ind w:left="650" w:right="489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Être âgé à la signature de la demande d’adhésion :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niveaux 1, 2 et 3 : de 18 ans inclus à 90 ans inclus ; </w:t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 niveau 4 : de 30 inclus à 90 ans inclus.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28" w:after="0"/>
        <w:ind w:left="1024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9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4 - MODALITES D’ADHESION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6260" w:space="0"/>
            <w:col w:w="51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5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6260" w:space="0"/>
            <w:col w:w="511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28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demandeur à l’assurance après avoir reçu et pris connaissance de la présente Notice d’information, de l’IPID (Document Information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Produit) et du tableau de garanties, remplira avec soin un bulletin d’adhésion.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Il devra désigner ses ayants droit, parmi : </w:t>
      </w:r>
    </w:p>
    <w:p>
      <w:pPr>
        <w:autoSpaceDN w:val="0"/>
        <w:tabs>
          <w:tab w:pos="1010" w:val="left"/>
          <w:tab w:pos="1370" w:val="left"/>
          <w:tab w:pos="1730" w:val="left"/>
        </w:tabs>
        <w:autoSpaceDE w:val="0"/>
        <w:widowControl/>
        <w:spacing w:line="245" w:lineRule="auto" w:before="16" w:after="0"/>
        <w:ind w:left="65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Son conjoint,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 avec laquelle il est marié non divorcé et non séparé de corps judiciairement,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Son concubin, sous réserve d’une attestation sur l’honneur de vie maritale,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Son partenaire de PACS, sous réserve de la production d’une attestation d’inscription de la déclaration du Pacte Civil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Solidarité, </w:t>
      </w:r>
    </w:p>
    <w:p>
      <w:pPr>
        <w:autoSpaceDN w:val="0"/>
        <w:tabs>
          <w:tab w:pos="1010" w:val="left"/>
          <w:tab w:pos="1370" w:val="left"/>
          <w:tab w:pos="1730" w:val="left"/>
        </w:tabs>
        <w:autoSpaceDE w:val="0"/>
        <w:widowControl/>
        <w:spacing w:line="245" w:lineRule="auto" w:before="16" w:after="0"/>
        <w:ind w:left="65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Les enfants,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Âgés de moins de 18 ans, reconnus à sa charge ou à celle de son conjoint au sens du régime de base duquel relève </w:t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ou son conjoint,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Âgés de 18 à 26 ans inclus, sous réserve : </w:t>
      </w:r>
    </w:p>
    <w:p>
      <w:pPr>
        <w:autoSpaceDN w:val="0"/>
        <w:tabs>
          <w:tab w:pos="2450" w:val="left"/>
        </w:tabs>
        <w:autoSpaceDE w:val="0"/>
        <w:widowControl/>
        <w:spacing w:line="245" w:lineRule="auto" w:before="16" w:after="0"/>
        <w:ind w:left="209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Qu’ils produisent un justificatif annuel de scolarité et n’exercent pas d’emploi rémunéré à caractère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permanent, </w:t>
      </w:r>
    </w:p>
    <w:p>
      <w:pPr>
        <w:autoSpaceDN w:val="0"/>
        <w:tabs>
          <w:tab w:pos="2450" w:val="left"/>
        </w:tabs>
        <w:autoSpaceDE w:val="0"/>
        <w:widowControl/>
        <w:spacing w:line="190" w:lineRule="auto" w:before="16" w:after="0"/>
        <w:ind w:left="20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Qu’ils soient en formation en alternance ou en contrat d’apprentissage, sous réserve de justificatif, </w:t>
      </w:r>
    </w:p>
    <w:p>
      <w:pPr>
        <w:autoSpaceDN w:val="0"/>
        <w:tabs>
          <w:tab w:pos="1730" w:val="left"/>
          <w:tab w:pos="2090" w:val="left"/>
          <w:tab w:pos="2450" w:val="left"/>
        </w:tabs>
        <w:autoSpaceDE w:val="0"/>
        <w:widowControl/>
        <w:spacing w:line="245" w:lineRule="auto" w:before="16" w:after="0"/>
        <w:ind w:left="1370" w:right="144" w:firstLine="0"/>
        <w:jc w:val="left"/>
      </w:pP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▪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Qu’ils soient inscrits au Pôle Emploi en tant que primo demandeur d’emploi, </w:t>
      </w:r>
      <w:r>
        <w:br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Sans limite d’âge si l’enfant bénéficie des allocations pour personnes handicapées prévues par la loi n°2005-12 du 11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février 2005. </w:t>
      </w:r>
    </w:p>
    <w:p>
      <w:pPr>
        <w:autoSpaceDN w:val="0"/>
        <w:tabs>
          <w:tab w:pos="4930" w:val="left"/>
          <w:tab w:pos="5050" w:val="left"/>
          <w:tab w:pos="5320" w:val="left"/>
        </w:tabs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pouvoir bénéficier immédiatement de la garantie dès le 1er jour de sa naissance, le nouveau-né doit être déclaré dans les 30 jours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sa naissance à : </w:t>
      </w:r>
      <w:r>
        <w:br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KIASSURE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27 Place aux huiles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13001 MARSEILLE. </w:t>
      </w:r>
    </w:p>
    <w:p>
      <w:pPr>
        <w:autoSpaceDN w:val="0"/>
        <w:autoSpaceDE w:val="0"/>
        <w:widowControl/>
        <w:spacing w:line="192" w:lineRule="auto" w:before="1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Ou par mail à l’adresse :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>contact@kiassure.com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 défaut, la garantie est acquise à compter du jour de la réception de la demande d’ajout de bénéficiaire.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demandeur devra également indiquer ses souhaits de niveau de garanties afin d’être orienté vers l’offre qui lui soit la plus appropriée. </w:t>
      </w:r>
      <w:r>
        <w:rPr>
          <w:rFonts w:ascii="Poppins" w:hAnsi="Poppins" w:eastAsia="Poppins"/>
          <w:b w:val="0"/>
          <w:i w:val="0"/>
          <w:color w:val="000000"/>
          <w:sz w:val="16"/>
        </w:rPr>
        <w:t>L’offre choisie, identique pour ses ayants droit, est indiquée au Certificat d’adhésion.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En cas de non-respect de ces dispositions, l’Adhérent s’expose aux sanctions prévues aux articles L. 113-8 et L. 113-9 du Code des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assurances. 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Aucune formalité médicale n’est exigée en cas d’adhésion au contrat, quel que soit le niveau de garanties choisi.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 adhésion au contrat nécessite au préalable d’adhérer à </w:t>
      </w:r>
      <w:r>
        <w:rPr>
          <w:rFonts w:ascii="Poppins SemiBold" w:hAnsi="Poppins SemiBold" w:eastAsia="Poppins SemiBold"/>
          <w:b/>
          <w:i w:val="0"/>
          <w:color w:val="000000"/>
          <w:sz w:val="16"/>
        </w:rPr>
        <w:t>l'ASSOCIATION COPERNIC POUR L’ASSURANCE (ACPA)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dont la cotisation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annuelle en vigueur sera prélevée selon la même périodicité que celle choisie pour le paiement de la cotisation d’assurance.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ce titre, l’adhérent recevra une copie des statuts de l’association.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5 - PRISE D’EFFET ET DUREE DE L’ADHESION </w:t>
      </w:r>
    </w:p>
    <w:p>
      <w:pPr>
        <w:autoSpaceDN w:val="0"/>
        <w:autoSpaceDE w:val="0"/>
        <w:widowControl/>
        <w:spacing w:line="192" w:lineRule="auto" w:before="30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est réputée conclue au jour de la signature par l’adhérent du Certificat d’Adhésion.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contrat prend effet à compter du jour indiqué au Certificat d’Adhésion pour une période initiale de 12 mois, sous réserve d’acceptation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 dossier et du paiement de la cotisation de l’adhérent.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se renouvelle ensuite par tacite reconduction à chaque échéance nouvelle de contrat, sauf en cas de résiliation dans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conditions des articles 6, 14 et 20 de la présente notice d’information. Néanmoins, les garanties d’assurance ont, sous réserve du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paiement intégral des cotisations, et sous l’express condition qu’une réglementation impérative l’impose, un caractère viager dès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458" w:after="0"/>
        <w:ind w:left="1023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3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tabs>
          <w:tab w:pos="717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58110" cy="9499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 réserve qu’ils aient été déclarés dans les délais prévus à l’organisme assureur, les garanties prennent effet pour les ayants droit :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4" w:after="0"/>
        <w:ind w:left="650" w:right="432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même date que les garanties de l’Adhérent,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à laquelle ils répondent aux conditions d’ayants droit,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jour où est intervenu le changement de situation familiale conformément aux articles 7-2 et 20-2 de la présente notice,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défaut, à la date de l’accord de l’organisme assureur.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6 - RESILIATION DE L’ADHESION </w:t>
      </w:r>
    </w:p>
    <w:p>
      <w:pPr>
        <w:autoSpaceDN w:val="0"/>
        <w:autoSpaceDE w:val="0"/>
        <w:widowControl/>
        <w:spacing w:line="190" w:lineRule="auto" w:before="308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peut être résiliée dans les circonstances et les délais précisés ci-dessous. </w:t>
      </w:r>
    </w:p>
    <w:p>
      <w:pPr>
        <w:autoSpaceDN w:val="0"/>
        <w:tabs>
          <w:tab w:pos="650" w:val="left"/>
        </w:tabs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1. 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Formes de la résiliation </w:t>
      </w:r>
    </w:p>
    <w:p>
      <w:pPr>
        <w:autoSpaceDN w:val="0"/>
        <w:tabs>
          <w:tab w:pos="1370" w:val="left"/>
        </w:tabs>
        <w:autoSpaceDE w:val="0"/>
        <w:widowControl/>
        <w:spacing w:line="245" w:lineRule="auto" w:before="198" w:after="0"/>
        <w:ind w:left="1010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la résiliation vient de l’Adhérent, selon les conditions prévues à l’article L113-14 du Code des Assurances, elle doit se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faire par : </w:t>
      </w:r>
    </w:p>
    <w:p>
      <w:pPr>
        <w:autoSpaceDN w:val="0"/>
        <w:tabs>
          <w:tab w:pos="1442" w:val="left"/>
        </w:tabs>
        <w:autoSpaceDE w:val="0"/>
        <w:widowControl/>
        <w:spacing w:line="245" w:lineRule="auto" w:before="14" w:after="0"/>
        <w:ind w:left="1082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lettre ou tout autre support durable, par acte extrajudiciaire ou par déclaration faite au siège social à l’adresse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suivante : KIASSURE – 27 Place aux huiles - 13001 MARSEILLE, </w:t>
      </w:r>
    </w:p>
    <w:p>
      <w:pPr>
        <w:autoSpaceDN w:val="0"/>
        <w:tabs>
          <w:tab w:pos="1730" w:val="left"/>
        </w:tabs>
        <w:autoSpaceDE w:val="0"/>
        <w:widowControl/>
        <w:spacing w:line="192" w:lineRule="auto" w:before="34" w:after="0"/>
        <w:ind w:left="13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Ou par mail à l’adresse :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>contact@kiassure.com</w:t>
      </w:r>
    </w:p>
    <w:p>
      <w:pPr>
        <w:autoSpaceDN w:val="0"/>
        <w:tabs>
          <w:tab w:pos="1730" w:val="left"/>
        </w:tabs>
        <w:autoSpaceDE w:val="0"/>
        <w:widowControl/>
        <w:spacing w:line="192" w:lineRule="auto" w:before="14" w:after="0"/>
        <w:ind w:left="137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directement sur le site internet : 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>www.kiassure.com</w:t>
      </w:r>
    </w:p>
    <w:p>
      <w:pPr>
        <w:autoSpaceDN w:val="0"/>
        <w:tabs>
          <w:tab w:pos="1370" w:val="left"/>
        </w:tabs>
        <w:autoSpaceDE w:val="0"/>
        <w:widowControl/>
        <w:spacing w:line="245" w:lineRule="auto" w:before="254" w:after="0"/>
        <w:ind w:left="1010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la résiliation est du fait de l’assureur, elle doit se faire par lettre recommandée envoyée au dernier domicile connu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l’adhérent.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4" w:after="0"/>
        <w:ind w:left="290" w:right="7488" w:firstLine="0"/>
        <w:jc w:val="left"/>
      </w:pP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br/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Conséquences de la résiliation </w:t>
      </w:r>
    </w:p>
    <w:p>
      <w:pPr>
        <w:autoSpaceDN w:val="0"/>
        <w:autoSpaceDE w:val="0"/>
        <w:widowControl/>
        <w:spacing w:line="245" w:lineRule="auto" w:before="202" w:after="0"/>
        <w:ind w:left="290" w:right="172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résiliation de l’adhésion met fin aux garanties pour l’ensemble des Assurés à la date d’effet de la résiliation.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garantie reste acquise pour tous les soins et traitements en cours jusqu’à la date de prise d’effet de la résiliation. </w:t>
      </w:r>
    </w:p>
    <w:p>
      <w:pPr>
        <w:autoSpaceDN w:val="0"/>
        <w:autoSpaceDE w:val="0"/>
        <w:widowControl/>
        <w:spacing w:line="190" w:lineRule="auto" w:before="262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Résiliation par l’adhérent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98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peut résilier son adhésion à la première échéance annuelle selon les modalités précisées ci- dessus, au plus tard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(2) mois avant cette échéance prévue au Certificat d’Adhésion. La résiliation prend effet au jour de l’échéance principale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0 heure. </w:t>
      </w:r>
    </w:p>
    <w:p>
      <w:pPr>
        <w:autoSpaceDN w:val="0"/>
        <w:tabs>
          <w:tab w:pos="1010" w:val="left"/>
        </w:tabs>
        <w:autoSpaceDE w:val="0"/>
        <w:widowControl/>
        <w:spacing w:line="256" w:lineRule="exact" w:before="19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L'adhérent peut ensuite résilier son adhésion à tout moment après l'expiration d'un délai d'un (1) an à compter de la première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souscription du contrat. La résiliation prend 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ff</w:t>
      </w:r>
      <w:r>
        <w:rPr>
          <w:rFonts w:ascii="Poppins" w:hAnsi="Poppins" w:eastAsia="Poppins"/>
          <w:b w:val="0"/>
          <w:i w:val="0"/>
          <w:color w:val="000000"/>
          <w:sz w:val="16"/>
        </w:rPr>
        <w:t>et un (1) mois après que l'assureur en a reçu notification par l'Adhérent (L113-15-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2 du Code des Assurances).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En cas de diminution du risque, si l’assureur ne consent pas à réduire le montant de la cotisation en conséquence (article L113-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4 du Code des assurances) : l’adhérent peut résilier le contrat. La résiliation prend alors effet trente (30) jours après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notification à l’assureur. </w:t>
      </w:r>
    </w:p>
    <w:p>
      <w:pPr>
        <w:autoSpaceDN w:val="0"/>
        <w:autoSpaceDE w:val="0"/>
        <w:widowControl/>
        <w:spacing w:line="192" w:lineRule="auto" w:before="14" w:after="0"/>
        <w:ind w:left="10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L’état de santé ne peut pas être pris en compte dans l’appréciation.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d’adhésion à une mutuelle obligatoire d’entreprise, l’Adhérent peut résilier son adhésion en envoyant une notification à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l’assureur, accompagnée de l’attestation d’adhésion à la mutuelle obligatoire. La résiliation prend effet à compter de la date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d’adhésion à la mutuelle obligatoire ou, au plus tard, dans le mois qui suit la réception de la notification. </w:t>
      </w:r>
    </w:p>
    <w:p>
      <w:pPr>
        <w:autoSpaceDN w:val="0"/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4.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Résiliation par l’assureur </w:t>
      </w:r>
    </w:p>
    <w:p>
      <w:pPr>
        <w:autoSpaceDN w:val="0"/>
        <w:autoSpaceDE w:val="0"/>
        <w:widowControl/>
        <w:spacing w:line="190" w:lineRule="auto" w:before="202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peut résilier l’adhésion :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6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non-paiement des cotisations (article L113- 3 du Code des assurances, et dont le détail est repris à l’article 20 de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présente notice) : à défaut de paiement d’une prime, ou d’une fraction de prime, dans les dix (10) jours de son échéance,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 pourra être suspendue trente (30) jours après la mise en demeure de l’Adhérent. L’assureur dispose de la faculté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résilier le contrat dix (10) jours après l’expiration de ce délai de trente (30) jours.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6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d’omission ou d’inexactitude dans la déclaration de l’adhérent sans que la mauvaise foi de ce dernier soit établie (article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L113-9 du Code des assurances). La résiliation prend effet dix (10) jours après envoi de la lettre de résiliation.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672" w:after="0"/>
        <w:ind w:left="1022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4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5.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Résiliation par l’adhérent ou par l’assureur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6096" w:space="0"/>
            <w:col w:w="52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6096" w:space="0"/>
            <w:col w:w="528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ou l’assureur peuvent résilier l’adhésion en cas de changement de domicile en France métropolitaine, de situation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matrimoniale, de profession, de départ à la retraite ou cessation d’activité professionnelle lorsque l’adhésion a pour objet la garantie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risques en relation directe avec la situation antérieure et qui ne se retrouvent pas dans la situation nouvelle (article L 113-16 du Code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assurances). La demande doit être effectuée dans les trois (3) mois qui suivent la date de l’événement pour l’adhérent et dans les trois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(3) mois qui suivent l’envoi par l’adhérent d’une lettre d’information pour l’assureur.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résiliation prend effet un (1) mois après la notification à l’autre partie.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6.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Résiliation de plein droit </w:t>
      </w:r>
    </w:p>
    <w:p>
      <w:pPr>
        <w:autoSpaceDN w:val="0"/>
        <w:autoSpaceDE w:val="0"/>
        <w:widowControl/>
        <w:spacing w:line="192" w:lineRule="auto" w:before="200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est résiliée de plein droit :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décès de l’adhérent. </w:t>
      </w:r>
    </w:p>
    <w:p>
      <w:pPr>
        <w:autoSpaceDN w:val="0"/>
        <w:autoSpaceDE w:val="0"/>
        <w:widowControl/>
        <w:spacing w:line="245" w:lineRule="auto" w:before="14" w:after="0"/>
        <w:ind w:left="10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présence d’ayants droit, les garanties sont maintenues jusqu’à la prochaine échéance de cotisation. S’ils le souhaitent, un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nouveau contrat leur sera proposé, qui tiendra compte des garanties et conditions antérieures à la résiliation.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25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départ de la France métropolitaine (y compris Corse). </w:t>
      </w:r>
    </w:p>
    <w:p>
      <w:pPr>
        <w:autoSpaceDN w:val="0"/>
        <w:autoSpaceDE w:val="0"/>
        <w:widowControl/>
        <w:spacing w:line="192" w:lineRule="auto" w:before="14" w:after="0"/>
        <w:ind w:left="10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résiliation prend effet le 1er jour qui suit la cessation d’affiliation au régime obligatoire d’assurance maladie. 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tous les cas de résiliation, la sortie de l’Adhérent du présent contrat entraine celle de ses Ayants-droit.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7 - DECLARATIONS </w:t>
      </w:r>
    </w:p>
    <w:p>
      <w:pPr>
        <w:autoSpaceDN w:val="0"/>
        <w:autoSpaceDE w:val="0"/>
        <w:widowControl/>
        <w:spacing w:line="245" w:lineRule="auto" w:before="30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déclarations, tant à l’adhésion qu’en cours de contrat, sont faites par l’adhérent pour son compte et celui de ses ayants droit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auxquels elles sont opposables. </w:t>
      </w:r>
    </w:p>
    <w:p>
      <w:pPr>
        <w:autoSpaceDN w:val="0"/>
        <w:autoSpaceDE w:val="0"/>
        <w:widowControl/>
        <w:spacing w:line="192" w:lineRule="auto" w:before="1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Ces déclarations sont importantes pour l’élaboration et l’évolution du contrat et l’adhérent doit fournir des réponses exactes. </w:t>
      </w:r>
    </w:p>
    <w:p>
      <w:pPr>
        <w:autoSpaceDN w:val="0"/>
        <w:tabs>
          <w:tab w:pos="650" w:val="left"/>
        </w:tabs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À l’adhésion </w:t>
      </w:r>
    </w:p>
    <w:p>
      <w:pPr>
        <w:autoSpaceDN w:val="0"/>
        <w:autoSpaceDE w:val="0"/>
        <w:widowControl/>
        <w:spacing w:line="190" w:lineRule="auto" w:before="198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doit répondre avec précision aux questions et demandes de renseignements figurant sur le bulletin d’adhésion. </w:t>
      </w:r>
    </w:p>
    <w:p>
      <w:pPr>
        <w:autoSpaceDN w:val="0"/>
        <w:autoSpaceDE w:val="0"/>
        <w:widowControl/>
        <w:spacing w:line="190" w:lineRule="auto" w:before="262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En cours de contrat </w:t>
      </w:r>
    </w:p>
    <w:p>
      <w:pPr>
        <w:autoSpaceDN w:val="0"/>
        <w:autoSpaceDE w:val="0"/>
        <w:widowControl/>
        <w:spacing w:line="245" w:lineRule="auto" w:before="20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doit déclarer, pour toute personne couverte par le contrat, tout événement modifiant les déclarations faites lors de l’adhésion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qui aurait pour effet de les rendre inexactes ou caduques et, notamment :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d’état civil ;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Une cessation ou un changement d’affiliation d’un des Bénéficiaires au Régime Obligatoire ;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survenance d’un événement entraînant la cessation de qualité d’ayant droit ;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profession ou une cessation d’activité professionnelle ;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compte bancaire ou postal pour le prélèvement des cotisations et/ou le virement des prestations ;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L’existence ou la cessation de garanties de même nature souscrites auprès d’autres assureurs ;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changement de domicile ou un départ hors de France métropolitaine (y compris Corse) pour une durée supérieure à TROIS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(3) mois. </w:t>
      </w:r>
    </w:p>
    <w:p>
      <w:pPr>
        <w:autoSpaceDN w:val="0"/>
        <w:autoSpaceDE w:val="0"/>
        <w:widowControl/>
        <w:spacing w:line="245" w:lineRule="auto" w:before="256" w:after="0"/>
        <w:ind w:left="288" w:right="144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>Ces événements doivent être signalés au Gestionnaire du contrat dans un délai de quinze (15) jours suivant leur survenance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.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L’inobservation de ce délai, si elle cause un préjudice à l’assureur, entraîne la perte de tout droit aux garanties liées à la modification. </w:t>
      </w:r>
    </w:p>
    <w:p>
      <w:pPr>
        <w:autoSpaceDN w:val="0"/>
        <w:tabs>
          <w:tab w:pos="1010" w:val="left"/>
          <w:tab w:pos="1370" w:val="left"/>
        </w:tabs>
        <w:autoSpaceDE w:val="0"/>
        <w:widowControl/>
        <w:spacing w:line="245" w:lineRule="auto" w:before="16" w:after="0"/>
        <w:ind w:left="290" w:right="37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déclarations en cours de contrat doivent être faites par :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courrier à l’adres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se suivante : KIASSURE –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27 Place aux huiles - 13001 MARSEILLE. </w:t>
      </w:r>
    </w:p>
    <w:p>
      <w:pPr>
        <w:autoSpaceDN w:val="0"/>
        <w:tabs>
          <w:tab w:pos="1370" w:val="left"/>
        </w:tabs>
        <w:autoSpaceDE w:val="0"/>
        <w:widowControl/>
        <w:spacing w:line="190" w:lineRule="auto" w:before="16" w:after="0"/>
        <w:ind w:left="10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mail à l’adresse :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hyperlink r:id="rId12" w:history="1">
          <w:r>
            <w:rPr>
              <w:rStyle w:val="Hyperlink"/>
            </w:rPr>
            <w:t>contact@kiassure.com</w:t>
          </w:r>
        </w:hyperlink>
      </w:r>
    </w:p>
    <w:p>
      <w:pPr>
        <w:autoSpaceDN w:val="0"/>
        <w:autoSpaceDE w:val="0"/>
        <w:widowControl/>
        <w:spacing w:line="245" w:lineRule="auto" w:before="256" w:after="242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des prestations ont été versées au-delà de ce délai, l’Assureur pourra demander à l’Adhérent le remboursement des prestations qui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lui ont été indûment réglées.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1248"/>
        </w:trPr>
        <w:tc>
          <w:tcPr>
            <w:tcW w:type="dxa" w:w="1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8" w:right="74" w:firstLine="0"/>
              <w:jc w:val="both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Toute réticence ou fausse déclaration intentionnelle de la part de l’Adhérent, quand cette réticence ou fausse déclaration change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l’objet du risque ou en diminue l’opinion pour l’assureur, entraîne pour l’Adhérent et ses ayants-droits la nullité de son contrat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d’assurance au titre de l’article L. 113-8 du Code des assurances. 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Les primes payées demeurent alors acquises à l’assureur, qui a droit au paiement de toutes les primes échues à titre de dommages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et intér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êt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s. </w:t>
            </w:r>
          </w:p>
        </w:tc>
      </w:tr>
    </w:tbl>
    <w:p>
      <w:pPr>
        <w:autoSpaceDN w:val="0"/>
        <w:tabs>
          <w:tab w:pos="10368" w:val="left"/>
        </w:tabs>
        <w:autoSpaceDE w:val="0"/>
        <w:widowControl/>
        <w:spacing w:line="245" w:lineRule="auto" w:before="172" w:after="0"/>
        <w:ind w:left="10228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5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60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1726"/>
        </w:trPr>
        <w:tc>
          <w:tcPr>
            <w:tcW w:type="dxa" w:w="11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Toute omission ou déclaration inexacte de la part de l’Adhérent dont la mauvaise foi n’est pas établie n’entraîne par la nullité du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contrat d’assurance. </w:t>
            </w:r>
          </w:p>
          <w:p>
            <w:pPr>
              <w:autoSpaceDN w:val="0"/>
              <w:autoSpaceDE w:val="0"/>
              <w:widowControl/>
              <w:spacing w:line="245" w:lineRule="auto" w:before="16" w:after="0"/>
              <w:ind w:left="108" w:right="74" w:firstLine="0"/>
              <w:jc w:val="both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Conformément à l’article L. 113-9 du Code des assurances, si cette omission ou déclaration inexacte et non intentionnelle est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constatée avant tout sinistre, l’assureur a le droit soit de maintenir le contrat, moyennant une augmentation de prime acceptée par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l’assuré, soit de résilier le contrat dix (10) jours après notification à l’assuré. Dans le cas où la constatation n’a lieu qu’après un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sinistre, l’indemnité d’assurance est réduite en proportion du taux des primes payées par rapport au taux des primes qui auraient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été dues, si les risques avaient été complétement et exactement déclarés. </w:t>
            </w:r>
          </w:p>
        </w:tc>
      </w:tr>
    </w:tbl>
    <w:p>
      <w:pPr>
        <w:autoSpaceDN w:val="0"/>
        <w:autoSpaceDE w:val="0"/>
        <w:widowControl/>
        <w:spacing w:line="190" w:lineRule="auto" w:before="27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8 - CONDITIONS DES GARANTIES </w:t>
      </w:r>
    </w:p>
    <w:p>
      <w:pPr>
        <w:autoSpaceDN w:val="0"/>
        <w:autoSpaceDE w:val="0"/>
        <w:widowControl/>
        <w:spacing w:line="190" w:lineRule="auto" w:before="308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bénéficier des garanties, les assurés doivent être affiliés ou ayants droit d’un affilié au Régime Obligatoire français. </w:t>
      </w:r>
    </w:p>
    <w:p>
      <w:pPr>
        <w:autoSpaceDN w:val="0"/>
        <w:autoSpaceDE w:val="0"/>
        <w:widowControl/>
        <w:spacing w:line="190" w:lineRule="auto" w:before="1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Seules sont garanties les dépenses de santé engagées entre les dates d’effet et de résiliation de l’adhésion. </w:t>
      </w:r>
    </w:p>
    <w:p>
      <w:pPr>
        <w:autoSpaceDN w:val="0"/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outre, pour les soins et les prothèses dentaires, les dates de proposition et d’exécution des travaux doivent être également situées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la période de garantie. </w:t>
      </w:r>
    </w:p>
    <w:p>
      <w:pPr>
        <w:autoSpaceDN w:val="0"/>
        <w:autoSpaceDE w:val="0"/>
        <w:widowControl/>
        <w:spacing w:line="192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9 - PRISE D’EFFET DES GARANTIES </w:t>
      </w:r>
    </w:p>
    <w:p>
      <w:pPr>
        <w:autoSpaceDN w:val="0"/>
        <w:autoSpaceDE w:val="0"/>
        <w:widowControl/>
        <w:spacing w:line="245" w:lineRule="auto" w:before="30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garanties de l’adhésion sont acquises immédiatement, sans délai d’attente, à compter de la date d’effet mentionnée au Certificat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d’Adhésion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sous réserve de l’encaissement effectif de la première prime, à l’exception d’un délai d’attente d’un (1) mois pour la seule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hospitalisation visant les remboursements qui excèdent le ticket modérateur - hors accident.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bénéficie également de tous les minimas légaux liés au cahier des charges ”Contrats responsables” et “100% Santé” dans cet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intervalle de temps. </w:t>
      </w:r>
    </w:p>
    <w:p>
      <w:pPr>
        <w:autoSpaceDN w:val="0"/>
        <w:autoSpaceDE w:val="0"/>
        <w:widowControl/>
        <w:spacing w:line="192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10 - ETENDUE TERRITORIALE DES GARANTIES </w:t>
      </w:r>
    </w:p>
    <w:p>
      <w:pPr>
        <w:autoSpaceDN w:val="0"/>
        <w:autoSpaceDE w:val="0"/>
        <w:widowControl/>
        <w:spacing w:line="245" w:lineRule="auto" w:before="30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Les garanties d’assurance bénéficient aux adhérents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résidant à titre principal en France Métropolitaine, y compris Corse, (Hors Monaco,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hors DROM COM)</w:t>
      </w:r>
      <w:r>
        <w:rPr>
          <w:rFonts w:ascii="Poppins" w:hAnsi="Poppins" w:eastAsia="Poppins"/>
          <w:b w:val="0"/>
          <w:i w:val="0"/>
          <w:color w:val="000000"/>
          <w:sz w:val="16"/>
        </w:rPr>
        <w:t>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Les garanties s’exercent pour des frais engagés en France.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versement des frais médicaux, chirurgicaux ou d’hospitalisation s’exerce au titre de l’adhésion en France Métropolitaine, à partir du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moment où le Régime Obligatoire Français intervient sur la base du tarif de convention, </w:t>
      </w: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de même qu’en cas de séjour en dehors de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France métropolitaine de moins de trois (3) mois.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règlement des prestations est effectué, par virement bancaire, en Euros et auprès d’un établissement bancaire situé dans l’Espace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Unique de paiement en euros (ou SEPA).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11 - OBJET, MONTANT ET CONTENU DES GARANTIES </w:t>
      </w:r>
    </w:p>
    <w:p>
      <w:pPr>
        <w:autoSpaceDN w:val="0"/>
        <w:autoSpaceDE w:val="0"/>
        <w:widowControl/>
        <w:spacing w:line="190" w:lineRule="auto" w:before="308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produit </w:t>
      </w:r>
      <w:r>
        <w:rPr>
          <w:rFonts w:ascii="Poppins" w:hAnsi="Poppins" w:eastAsia="Poppins"/>
          <w:b/>
          <w:i w:val="0"/>
          <w:color w:val="000000"/>
          <w:sz w:val="16"/>
        </w:rPr>
        <w:t>IZY SANTÉ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comprend plusieurs offres qui peuvent être proposées en fonction du besoin de l’adhérent.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produit comporte quatre niveaux de garanties dont les remboursements par poste sont détaillés dans le tableau de garanties.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Certains de ces niveaux bénéficient d’un bonus fidélité, offrant une meilleure prise en charge sur la durée. L’adhérent bénéficie dans 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cas d’un niveau de remboursement renforcé après un, deux ou trois années de contrat.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descriptif détaillé de l’ensemble des postes est récapitulé dans le tableau de garanties remis à l’Adhérent simultanément à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présente Notice d’Information.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montants de remboursements s’entendent :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Après déduction du remboursement du Régime Obligatoire lorsqu’il intervient,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la limite du niveau de remboursement indiqué dans le tableau de garantie, en fonction de l’offre et des niveaux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 choisis et indiqués au Certificat d’Adhésion.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176" w:after="0"/>
        <w:ind w:left="10232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6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2" w:lineRule="auto" w:before="178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Selon les garanties, les montants de remboursements sont exprimés :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6528" w:space="0"/>
            <w:col w:w="48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72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6528" w:space="0"/>
            <w:col w:w="4850" w:space="0"/>
          </w:cols>
          <w:docGrid w:linePitch="360"/>
        </w:sectPr>
      </w:pPr>
    </w:p>
    <w:p>
      <w:pPr>
        <w:autoSpaceDN w:val="0"/>
        <w:tabs>
          <w:tab w:pos="1010" w:val="left"/>
        </w:tabs>
        <w:autoSpaceDE w:val="0"/>
        <w:widowControl/>
        <w:spacing w:line="245" w:lineRule="auto" w:before="0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Soit, en inclusion du tarif en vigueur fixé par le Régime Obligatoire (Base de remboursement de la Sécurité Sociale),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Soit, en pourcentage du tarif de responsabilité en vigueur fixé par le Régime Obligatoire : Tarif de Convention (TC) en secteur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conventionné ou Tarif d’Autorité (TA) en secteur non conventionné,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en Frais réels (FR),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par un forfait exprimé en euros. Ces montants représentent des plafonds de garantie qui incluent la prise en charge du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ticket modérateur. Sur la majorité des postes, les plafonds sont exprimés par année d’adhésion et par bénéficiaire. Ils se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renouvellent chaque année à la date d’échéance de l’adhésion et ne sont pas cumulables d’une année sur l’autre. Si ce plafond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est atteint, seuls les actes remboursés par le Régime Obligatoire seront pris en charge à 100 % du tarif de responsabilité.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Seuls les équipements « optique » s’apprécient sur une période de deux ans et les équipements « aides auditives » s’apprécient sur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période de quatre ans. 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tarif en vigueur auquel se réfère l’Assureur pour le calcul des prestations est celui en vigueur à la date des soins. </w:t>
      </w:r>
    </w:p>
    <w:p>
      <w:pPr>
        <w:autoSpaceDN w:val="0"/>
        <w:autoSpaceDE w:val="0"/>
        <w:widowControl/>
        <w:spacing w:line="245" w:lineRule="auto" w:before="256" w:after="0"/>
        <w:ind w:left="288" w:right="144" w:firstLine="0"/>
        <w:jc w:val="center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Dans tous les cas, les remboursements sont limités au montant des frais réellement engagés. De convention expresse, l’Assureur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est de plein droit habilité à limiter ou contester sa prise en charge en cas de non-respect des règles du Code de déontologie médicale. </w:t>
      </w:r>
    </w:p>
    <w:p>
      <w:pPr>
        <w:autoSpaceDN w:val="0"/>
        <w:autoSpaceDE w:val="0"/>
        <w:widowControl/>
        <w:spacing w:line="192" w:lineRule="auto" w:before="266" w:after="18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12 - PRECONISATION SUR L’APPLICATION DU 100% SANTE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8"/>
        </w:trPr>
        <w:tc>
          <w:tcPr>
            <w:tcW w:type="dxa" w:w="262"/>
            <w:tcBorders>
              <w:top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OPTIQUE </w:t>
            </w:r>
          </w:p>
        </w:tc>
      </w:tr>
    </w:tbl>
    <w:p>
      <w:pPr>
        <w:autoSpaceDN w:val="0"/>
        <w:autoSpaceDE w:val="0"/>
        <w:widowControl/>
        <w:spacing w:line="192" w:lineRule="auto" w:before="98" w:after="0"/>
        <w:ind w:left="65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1.1.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Généralités </w:t>
      </w:r>
    </w:p>
    <w:p>
      <w:pPr>
        <w:autoSpaceDN w:val="0"/>
        <w:autoSpaceDE w:val="0"/>
        <w:widowControl/>
        <w:spacing w:line="192" w:lineRule="auto" w:before="16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optique est composé de deux verres et d’une monture.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classes d’équipement optique sont ainsi définies :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optique de « classe A » est sans reste à charge pour l’assuré : cet équipement est remboursé aux frais réels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dans </w:t>
      </w:r>
      <w:r>
        <w:tab/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la limite des prix limites de vente qui s’imposent aux opticiens pour l’application du « 100% santé ».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optique de « classe B » : cet équipement est remboursé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dans le respect des planchers et plafonds prévus dans 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le cadre du contrat responsable et dans les limites des garanties mentionnées dans le tableau de garanties.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254" w:after="0"/>
        <w:ind w:left="290" w:right="532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éléments de ces équipements peuvent être mixés comme suit :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deux verres de « classe A » et une monture de « classe B »,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soit deux verres de « classe B » et une monture de « classe A ». </w:t>
      </w:r>
    </w:p>
    <w:p>
      <w:pPr>
        <w:autoSpaceDN w:val="0"/>
        <w:autoSpaceDE w:val="0"/>
        <w:widowControl/>
        <w:spacing w:line="245" w:lineRule="auto" w:before="254" w:after="0"/>
        <w:ind w:left="290" w:right="26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 tableau de garanties mentionne un forfait unique, le remboursement de l’élément de « classe B » se fera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dans la limite du plafond </w:t>
      </w:r>
      <w:r>
        <w:rPr>
          <w:rFonts w:ascii="Poppins" w:hAnsi="Poppins" w:eastAsia="Poppins"/>
          <w:b/>
          <w:i w:val="0"/>
          <w:color w:val="000000"/>
          <w:sz w:val="16"/>
        </w:rPr>
        <w:t>de « classe B » correspondant à la correction visuelle du bénéficiaire de l’équipement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déduction faite du remboursement de l’élément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« classe A ». </w:t>
      </w:r>
    </w:p>
    <w:p>
      <w:pPr>
        <w:autoSpaceDN w:val="0"/>
        <w:autoSpaceDE w:val="0"/>
        <w:widowControl/>
        <w:spacing w:line="245" w:lineRule="auto" w:before="14" w:after="0"/>
        <w:ind w:left="290" w:right="27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 tableau de garanties mentionne un forfait dédié à chaque composante de l’équipement (verres ou monture),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alors la prise en </w:t>
      </w:r>
      <w:r>
        <w:rPr>
          <w:rFonts w:ascii="Poppins" w:hAnsi="Poppins" w:eastAsia="Poppins"/>
          <w:b/>
          <w:i w:val="0"/>
          <w:color w:val="000000"/>
          <w:sz w:val="16"/>
        </w:rPr>
        <w:t>charge s’effectue dans la limite de ces forfaits pour chaque composante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.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Les verres neutres (c’est-à-dire sans correction dont la </w:t>
      </w:r>
      <w:r>
        <w:rPr>
          <w:rFonts w:ascii="Poppins" w:hAnsi="Poppins" w:eastAsia="Poppins"/>
          <w:b/>
          <w:i w:val="0"/>
          <w:color w:val="000000"/>
          <w:sz w:val="16"/>
        </w:rPr>
        <w:t>dioptrie égale à 0) sont exclus hors condition d’appairage.</w:t>
      </w:r>
    </w:p>
    <w:p>
      <w:pPr>
        <w:autoSpaceDN w:val="0"/>
        <w:autoSpaceDE w:val="0"/>
        <w:widowControl/>
        <w:spacing w:line="192" w:lineRule="auto" w:before="14" w:after="94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verres simples, complexes ou très complexes sont ainsi définis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4366"/>
        </w:trPr>
        <w:tc>
          <w:tcPr>
            <w:tcW w:type="dxa" w:w="11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VERRES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 S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IMPLES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sphérique dont la sphère est comprise entre – 6,00 et + 6,00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sphéro-cylindrique dont la sphère est comprise entre – 6,00 et 0 dioptries et dont le cylindre est inférieur ou égal à + 4,00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sphéro-cylindrique dont la sphère est positive et dont la somme S (sphère + cylindre) est inférieure ou égale à 6,00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VERRES COMPLEXES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sphérique dont la sphère est hors zone de – 6,00 à + 6,00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sphéro-cylindrique dont la sphère est comprise entre – 6,00 et 0 dioptries et dont le cylindre est supérieur à + 4,00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sphéro-cylindrique dont la sphère est inférieure à – 6,00 dioptries et dont le cylindre est supérieur ou égal à 0,25 dioptrie,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unifocal sphéro-cylindrique dont la sphère est positive et dont la somme S est supérieure à 6,00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sphérique dont la sphère est comprise entre – 4,00 et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sphéro-cylindrique dont la sphère est comprise entre – 8,00 et 0,00 dioptries et dont le cylindre est inférieur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ou égal à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sphéro-cylindrique dont la sphère est positive et dont la somme S est inférieure ou égale à 8,00 dioptries.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VERRES TRÈS COMPLEXES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sphérique dont la sphère est hors zone de – 4,00 à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sphéro-cylindrique dont la sphère est comprise entre – 8,00 et 0 dioptries et dont le cylindre est supérieur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à + 4,00 dioptries,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sphéro-cylindrique dont la sphère est inférieure à – 8,00 dioptries et dont le cylindre est supérieur ou égal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à 0,25 dioptrie*,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 multifocal ou progressif sphéro-cylindrique dont la sphère est positive et dont la somme S est supérieure à 8,00 dioptries. 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9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* Sphère supérieure à une dioptrie de I-8DI soit -9D </w:t>
            </w:r>
          </w:p>
        </w:tc>
      </w:tr>
    </w:tbl>
    <w:p>
      <w:pPr>
        <w:autoSpaceDN w:val="0"/>
        <w:tabs>
          <w:tab w:pos="10368" w:val="left"/>
        </w:tabs>
        <w:autoSpaceDE w:val="0"/>
        <w:widowControl/>
        <w:spacing w:line="245" w:lineRule="auto" w:before="154" w:after="0"/>
        <w:ind w:left="1024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7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65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1.2.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Les délais de renouvellement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5630" w:space="0"/>
            <w:col w:w="57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5630" w:space="0"/>
            <w:col w:w="5748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périodicité de renouvellement de l’équipement est appréciée à compter de la date de facturation du précédent équipement, ayant </w:t>
      </w:r>
    </w:p>
    <w:p>
      <w:pPr>
        <w:autoSpaceDN w:val="0"/>
        <w:autoSpaceDE w:val="0"/>
        <w:widowControl/>
        <w:spacing w:line="190" w:lineRule="auto" w:before="16" w:after="24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fait l’objet d’une prise en charge par l’assurance maladie obligatoire ou par l’assureur.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792"/>
        <w:gridCol w:w="3792"/>
        <w:gridCol w:w="3792"/>
      </w:tblGrid>
      <w:tr>
        <w:trPr>
          <w:trHeight w:hRule="exact" w:val="420"/>
        </w:trPr>
        <w:tc>
          <w:tcPr>
            <w:tcW w:type="dxa" w:w="3586"/>
            <w:tcBorders>
              <w:start w:sz="8.0" w:val="single" w:color="#221F1F"/>
              <w:top w:sz="7.2000000000000455" w:val="single" w:color="#221F1F"/>
              <w:end w:sz="7.2000000000000455" w:val="single" w:color="#221F1F"/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concernés </w:t>
            </w:r>
          </w:p>
        </w:tc>
        <w:tc>
          <w:tcPr>
            <w:tcW w:type="dxa" w:w="3590"/>
            <w:tcBorders>
              <w:start w:sz="7.2000000000000455" w:val="single" w:color="#221F1F"/>
              <w:top w:sz="7.2000000000000455" w:val="single" w:color="#221F1F"/>
              <w:end w:sz="7.199999999999818" w:val="single" w:color="#221F1F"/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de 16 ans et plus </w:t>
            </w:r>
          </w:p>
        </w:tc>
        <w:tc>
          <w:tcPr>
            <w:tcW w:type="dxa" w:w="3584"/>
            <w:tcBorders>
              <w:start w:sz="7.199999999999818" w:val="single" w:color="#221F1F"/>
              <w:top w:sz="7.2000000000000455" w:val="single" w:color="#221F1F"/>
              <w:end w:sz="7.200000000000728" w:val="single" w:color="#221F1F"/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9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Bénéficiaires de moins de 16 ans </w:t>
            </w:r>
          </w:p>
        </w:tc>
      </w:tr>
      <w:tr>
        <w:trPr>
          <w:trHeight w:hRule="exact" w:val="1494"/>
        </w:trPr>
        <w:tc>
          <w:tcPr>
            <w:tcW w:type="dxa" w:w="3586"/>
            <w:tcBorders>
              <w:start w:sz="8.0" w:val="single" w:color="#221F1F"/>
              <w:top w:sz="7.2000000000000455" w:val="single" w:color="#221F1F"/>
              <w:end w:sz="7.2000000000000455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4" w:after="0"/>
              <w:ind w:left="144" w:right="144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de droit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commun </w:t>
            </w:r>
          </w:p>
        </w:tc>
        <w:tc>
          <w:tcPr>
            <w:tcW w:type="dxa" w:w="3590"/>
            <w:tcBorders>
              <w:start w:sz="7.2000000000000455" w:val="single" w:color="#221F1F"/>
              <w:top w:sz="7.2000000000000455" w:val="single" w:color="#221F1F"/>
              <w:end w:sz="7.19999999999981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3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2 ans suivant la dernière facturation </w:t>
            </w:r>
          </w:p>
        </w:tc>
        <w:tc>
          <w:tcPr>
            <w:tcW w:type="dxa" w:w="3584"/>
            <w:tcBorders>
              <w:start w:sz="7.199999999999818" w:val="single" w:color="#221F1F"/>
              <w:top w:sz="7.2000000000000455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 an suivant la dernière facturation </w:t>
            </w:r>
          </w:p>
          <w:p>
            <w:pPr>
              <w:autoSpaceDN w:val="0"/>
              <w:autoSpaceDE w:val="0"/>
              <w:widowControl/>
              <w:spacing w:line="245" w:lineRule="auto" w:before="256" w:after="0"/>
              <w:ind w:left="144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6 mois pour les enfants jusqu’à 6 ans en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cas de mauvaise adaptation de la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monture à la morphologie du visage 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3792"/>
        <w:gridCol w:w="3792"/>
        <w:gridCol w:w="3792"/>
      </w:tblGrid>
      <w:tr>
        <w:trPr>
          <w:trHeight w:hRule="exact" w:val="440"/>
        </w:trPr>
        <w:tc>
          <w:tcPr>
            <w:tcW w:type="dxa" w:w="10760"/>
            <w:gridSpan w:val="3"/>
            <w:tcBorders>
              <w:start w:sz="8.0" w:val="single" w:color="#221F1F"/>
              <w:top w:sz="7.199999999999818" w:val="single" w:color="#221F1F"/>
              <w:end w:sz="7.200000000000728" w:val="single" w:color="#221F1F"/>
              <w:bottom w:sz="7.199999999999818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Renouvellement anticipé en cas d’évolution de la vue </w:t>
            </w:r>
          </w:p>
        </w:tc>
      </w:tr>
      <w:tr>
        <w:trPr>
          <w:trHeight w:hRule="exact" w:val="784"/>
        </w:trPr>
        <w:tc>
          <w:tcPr>
            <w:tcW w:type="dxa" w:w="3586"/>
            <w:tcBorders>
              <w:start w:sz="8.0" w:val="single" w:color="#221F1F"/>
              <w:top w:sz="7.199999999999818" w:val="single" w:color="#221F1F"/>
              <w:end w:sz="7.2000000000000455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76" w:right="432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3584"/>
            <w:tcBorders>
              <w:start w:sz="7.2000000000000455" w:val="single" w:color="#221F1F"/>
              <w:top w:sz="7.199999999999818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 an pour le renouvellement de la prise en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charge d’un équipement complet (2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verres + la monture) </w:t>
            </w:r>
          </w:p>
        </w:tc>
        <w:tc>
          <w:tcPr>
            <w:tcW w:type="dxa" w:w="3590"/>
            <w:tcBorders>
              <w:start w:sz="8.0" w:val="single" w:color="#221F1F"/>
              <w:top w:sz="7.199999999999818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44" w:right="144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Renouvellement de la prise en charge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possible sans délai pour l’acquisition de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verres. </w:t>
            </w:r>
          </w:p>
        </w:tc>
      </w:tr>
      <w:tr>
        <w:trPr>
          <w:trHeight w:hRule="exact" w:val="2660"/>
        </w:trPr>
        <w:tc>
          <w:tcPr>
            <w:tcW w:type="dxa" w:w="3586"/>
            <w:tcBorders>
              <w:start w:sz="8.0" w:val="single" w:color="#221F1F"/>
              <w:top w:sz="8.0" w:val="single" w:color="#221F1F"/>
              <w:end w:sz="7.2000000000000455" w:val="single" w:color="#221F1F"/>
              <w:bottom w:sz="7.20000000000027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94" w:after="0"/>
              <w:ind w:left="288" w:right="288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Cas d'application de la périodicité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7174"/>
            <w:gridSpan w:val="2"/>
            <w:tcBorders>
              <w:start w:sz="7.2000000000000455" w:val="single" w:color="#221F1F"/>
              <w:top w:sz="8.0" w:val="single" w:color="#221F1F"/>
              <w:end w:sz="7.200000000000728" w:val="single" w:color="#221F1F"/>
              <w:bottom w:sz="7.200000000000273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- variation de la sphère ou du cylindre d’au moins 0,5 dioptrie d’un verre ou d’au moins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0,25 dioptrie pour chacun des deux verres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- variation d’au moins 0,5 dioptrie de l’addition (pour un verre) ou d’au moins 0,25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 pour chacun des deux verres, en cas de presbytie et en l’absence de variation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de la vision de loin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- somme des variations (en valeur absolue) de loin et de près d’au moins 0,5 dioptrie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(pour un verre), en cas de presbytie et en présence de variation de la vision de loin ;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- variation de l’axe du cylindre de plus de 20° pour un cylindre (+) inférieur ou égal à 1,00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dioptrie ;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- variation de l’axe du cylindre de plus de 10° pour un cylindre (+) de 1,25 à 4,00 dioptries;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- variation de l’axe du cylindre de plus de 5° pour un cylindre (+) &gt; 4,00 dioptries. </w:t>
            </w:r>
          </w:p>
        </w:tc>
      </w:tr>
      <w:tr>
        <w:trPr>
          <w:trHeight w:hRule="exact" w:val="1626"/>
        </w:trPr>
        <w:tc>
          <w:tcPr>
            <w:tcW w:type="dxa" w:w="3586"/>
            <w:tcBorders>
              <w:start w:sz="8.0" w:val="single" w:color="#221F1F"/>
              <w:top w:sz="7.200000000000273" w:val="single" w:color="#221F1F"/>
              <w:end w:sz="7.2000000000000455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69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Constatation de l’évolution de la vue </w:t>
            </w:r>
          </w:p>
        </w:tc>
        <w:tc>
          <w:tcPr>
            <w:tcW w:type="dxa" w:w="3584"/>
            <w:tcBorders>
              <w:start w:sz="7.2000000000000455" w:val="single" w:color="#221F1F"/>
              <w:top w:sz="7.200000000000273" w:val="single" w:color="#221F1F"/>
              <w:end w:sz="8.0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8" w:val="left"/>
                <w:tab w:pos="1804" w:val="left"/>
                <w:tab w:pos="2104" w:val="left"/>
                <w:tab w:pos="3020" w:val="left"/>
              </w:tabs>
              <w:autoSpaceDE w:val="0"/>
              <w:widowControl/>
              <w:spacing w:line="192" w:lineRule="auto" w:before="98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Soit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présentation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à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l’opticien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d’une </w:t>
            </w:r>
          </w:p>
          <w:p>
            <w:pPr>
              <w:autoSpaceDN w:val="0"/>
              <w:tabs>
                <w:tab w:pos="1048" w:val="left"/>
                <w:tab w:pos="2280" w:val="left"/>
                <w:tab w:pos="3310" w:val="left"/>
              </w:tabs>
              <w:autoSpaceDE w:val="0"/>
              <w:widowControl/>
              <w:spacing w:line="192" w:lineRule="auto" w:before="14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nouvelle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prescription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médicale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et </w:t>
            </w:r>
          </w:p>
          <w:p>
            <w:pPr>
              <w:autoSpaceDN w:val="0"/>
              <w:autoSpaceDE w:val="0"/>
              <w:widowControl/>
              <w:spacing w:line="192" w:lineRule="auto" w:before="14" w:after="8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comparaison avec l’ancienne,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717"/>
              <w:gridCol w:w="717"/>
              <w:gridCol w:w="717"/>
              <w:gridCol w:w="717"/>
              <w:gridCol w:w="717"/>
            </w:tblGrid>
            <w:tr>
              <w:trPr>
                <w:trHeight w:hRule="exact" w:val="240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Soit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adaptation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de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la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6" w:after="0"/>
                    <w:ind w:left="102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00000"/>
                      <w:sz w:val="16"/>
                    </w:rPr>
                    <w:t xml:space="preserve">prescription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2" w:lineRule="auto" w:before="6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médicale par l’opticien-lunetier lors d’un </w:t>
            </w:r>
          </w:p>
          <w:p>
            <w:pPr>
              <w:autoSpaceDN w:val="0"/>
              <w:autoSpaceDE w:val="0"/>
              <w:widowControl/>
              <w:spacing w:line="192" w:lineRule="auto" w:before="14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renouvellement de délivrance. </w:t>
            </w:r>
          </w:p>
        </w:tc>
        <w:tc>
          <w:tcPr>
            <w:tcW w:type="dxa" w:w="3590"/>
            <w:tcBorders>
              <w:start w:sz="8.0" w:val="single" w:color="#221F1F"/>
              <w:top w:sz="7.200000000000273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  <w:tab w:pos="1788" w:val="left"/>
                <w:tab w:pos="2100" w:val="left"/>
                <w:tab w:pos="3026" w:val="left"/>
              </w:tabs>
              <w:autoSpaceDE w:val="0"/>
              <w:widowControl/>
              <w:spacing w:line="192" w:lineRule="auto" w:before="458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Sur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présentation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à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l’opticien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d’une </w:t>
            </w:r>
          </w:p>
          <w:p>
            <w:pPr>
              <w:autoSpaceDN w:val="0"/>
              <w:tabs>
                <w:tab w:pos="1268" w:val="left"/>
                <w:tab w:pos="2714" w:val="left"/>
              </w:tabs>
              <w:autoSpaceDE w:val="0"/>
              <w:widowControl/>
              <w:spacing w:line="192" w:lineRule="auto" w:before="14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nouvelle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prescription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médicale </w:t>
            </w:r>
          </w:p>
          <w:p>
            <w:pPr>
              <w:autoSpaceDN w:val="0"/>
              <w:autoSpaceDE w:val="0"/>
              <w:widowControl/>
              <w:spacing w:line="192" w:lineRule="auto" w:before="14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ophtalmologique. </w:t>
            </w:r>
          </w:p>
        </w:tc>
      </w:tr>
      <w:tr>
        <w:trPr>
          <w:trHeight w:hRule="exact" w:val="506"/>
        </w:trPr>
        <w:tc>
          <w:tcPr>
            <w:tcW w:type="dxa" w:w="10760"/>
            <w:gridSpan w:val="3"/>
            <w:tcBorders>
              <w:start w:sz="8.0" w:val="single" w:color="#221F1F"/>
              <w:top w:sz="8.0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Renouvellement anticipé en cas d’évolution de la réfraction liée à des situations médicales particulières </w:t>
            </w:r>
          </w:p>
        </w:tc>
      </w:tr>
      <w:tr>
        <w:trPr>
          <w:trHeight w:hRule="exact" w:val="540"/>
        </w:trPr>
        <w:tc>
          <w:tcPr>
            <w:tcW w:type="dxa" w:w="3586"/>
            <w:tcBorders>
              <w:start w:sz="8.0" w:val="single" w:color="#221F1F"/>
              <w:top w:sz="8.0" w:val="single" w:color="#221F1F"/>
              <w:end w:sz="7.2000000000000455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576" w:right="432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Périodicité de renouvellement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7174"/>
            <w:gridSpan w:val="2"/>
            <w:tcBorders>
              <w:start w:sz="7.2000000000000455" w:val="single" w:color="#221F1F"/>
              <w:top w:sz="8.0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8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Aucun délai de renouvellement des verres </w:t>
            </w:r>
          </w:p>
        </w:tc>
      </w:tr>
      <w:tr>
        <w:trPr>
          <w:trHeight w:hRule="exact" w:val="544"/>
        </w:trPr>
        <w:tc>
          <w:tcPr>
            <w:tcW w:type="dxa" w:w="3586"/>
            <w:tcBorders>
              <w:start w:sz="8.0" w:val="single" w:color="#221F1F"/>
              <w:top w:sz="8.0" w:val="single" w:color="#221F1F"/>
              <w:end w:sz="7.2000000000000455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288" w:right="288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Cas d’application de la périodicité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dérogatoire </w:t>
            </w:r>
          </w:p>
        </w:tc>
        <w:tc>
          <w:tcPr>
            <w:tcW w:type="dxa" w:w="7174"/>
            <w:gridSpan w:val="2"/>
            <w:tcBorders>
              <w:start w:sz="7.2000000000000455" w:val="single" w:color="#221F1F"/>
              <w:top w:sz="8.0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Cf. liste des pathologies concernées dans l’arrêté du 3 décembre 2018 parue au JO du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13/12/2018. </w:t>
            </w:r>
          </w:p>
        </w:tc>
      </w:tr>
      <w:tr>
        <w:trPr>
          <w:trHeight w:hRule="exact" w:val="542"/>
        </w:trPr>
        <w:tc>
          <w:tcPr>
            <w:tcW w:type="dxa" w:w="3586"/>
            <w:tcBorders>
              <w:start w:sz="8.0" w:val="single" w:color="#221F1F"/>
              <w:top w:sz="8.0" w:val="single" w:color="#221F1F"/>
              <w:end w:sz="7.2000000000000455" w:val="single" w:color="#221F1F"/>
              <w:bottom w:sz="8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5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Constatation de l’évolution de la vue </w:t>
            </w:r>
          </w:p>
        </w:tc>
        <w:tc>
          <w:tcPr>
            <w:tcW w:type="dxa" w:w="7174"/>
            <w:gridSpan w:val="2"/>
            <w:tcBorders>
              <w:start w:sz="7.2000000000000455" w:val="single" w:color="#221F1F"/>
              <w:top w:sz="8.0" w:val="single" w:color="#221F1F"/>
              <w:end w:sz="7.200000000000728" w:val="single" w:color="#221F1F"/>
              <w:bottom w:sz="8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Présentation à l’opticien d’une nouvelle prescription médicale ophtalmologique avec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mention de l’existence d’une situation médicale particulière. </w:t>
            </w:r>
          </w:p>
        </w:tc>
      </w:tr>
    </w:tbl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>DENTAIRE</w:t>
      </w:r>
    </w:p>
    <w:p>
      <w:pPr>
        <w:autoSpaceDN w:val="0"/>
        <w:autoSpaceDE w:val="0"/>
        <w:widowControl/>
        <w:spacing w:line="192" w:lineRule="auto" w:before="198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Trois paniers de soins prothétiques sont ainsi définis :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254" w:after="0"/>
        <w:ind w:left="650" w:right="0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panier « 100% santé » (les soins prothétiques dentaires concernés sont définis dans l’arrêté du 24 mai 2019) remboursé aux </w:t>
      </w:r>
    </w:p>
    <w:p>
      <w:pPr>
        <w:autoSpaceDN w:val="0"/>
        <w:autoSpaceDE w:val="0"/>
        <w:widowControl/>
        <w:spacing w:line="192" w:lineRule="auto" w:before="14" w:after="0"/>
        <w:ind w:left="10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frais réels </w:t>
      </w:r>
      <w:r>
        <w:rPr>
          <w:rFonts w:ascii="Poppins" w:hAnsi="Poppins" w:eastAsia="Poppins"/>
          <w:b/>
          <w:i w:val="0"/>
          <w:color w:val="000000"/>
          <w:sz w:val="16"/>
        </w:rPr>
        <w:t>sans pouvoir excéder les honoraires limites de facturation qui s’imposent aux dentistes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,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panier aux tarifs maîtrisés / modérés, remboursé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sans pouvoir excéder les honoraires limites de facturation et les </w:t>
      </w:r>
    </w:p>
    <w:p>
      <w:pPr>
        <w:autoSpaceDN w:val="0"/>
        <w:autoSpaceDE w:val="0"/>
        <w:widowControl/>
        <w:spacing w:line="192" w:lineRule="auto" w:before="14" w:after="0"/>
        <w:ind w:left="1010" w:right="0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garanties prévues dans le tableau de garanties,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panier aux tarifs libres, permettant de choisir librement les techniques et les matériaux les plus sophistiqués,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remboursé </w:t>
      </w:r>
    </w:p>
    <w:p>
      <w:pPr>
        <w:autoSpaceDN w:val="0"/>
        <w:autoSpaceDE w:val="0"/>
        <w:widowControl/>
        <w:spacing w:line="192" w:lineRule="auto" w:before="14" w:after="0"/>
        <w:ind w:left="1010" w:right="0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dans la limite des garanties prévues dans le tableau de garanties. </w:t>
      </w:r>
    </w:p>
    <w:p>
      <w:pPr>
        <w:autoSpaceDN w:val="0"/>
        <w:autoSpaceDE w:val="0"/>
        <w:widowControl/>
        <w:spacing w:line="190" w:lineRule="auto" w:before="1198" w:after="0"/>
        <w:ind w:left="0" w:right="246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8 | 22 </w:t>
      </w:r>
    </w:p>
    <w:p>
      <w:pPr>
        <w:autoSpaceDN w:val="0"/>
        <w:autoSpaceDE w:val="0"/>
        <w:widowControl/>
        <w:spacing w:line="190" w:lineRule="auto" w:before="26" w:after="0"/>
        <w:ind w:left="0" w:right="282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AIDE AUDITIVE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classes d’équipement auditif sont ainsi définies :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auditif de « classe I » sans reste à charge : cet équipement est remboursé aux frais réels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sans pouvoir excéder les prix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limites de vente qui s’imposent aux audioprothésistes pour l’application du 100% santé.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L’équipement auditif de « classe II » : cet équipement auditif est remboursé dans les conditions fixées dans le tableau de garanties, qui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respectent le plafond de 1 700 euros prévu dans le cadre du contrat responsable.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Ce plafond n’inclut pas les prestations annexes à </w:t>
      </w:r>
      <w:r>
        <w:rPr>
          <w:rFonts w:ascii="Poppins" w:hAnsi="Poppins" w:eastAsia="Poppins"/>
          <w:b/>
          <w:i w:val="0"/>
          <w:color w:val="000000"/>
          <w:sz w:val="16"/>
        </w:rPr>
        <w:t>l’aide auditive telles que le ticket modérateur des consommables, des piles ou des accessoires.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En revanche, ce plafond inclut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systématiquement la prise en charge du ticket modérateur ainsi que la part prise en charge par l’assurance maladie obligatoire.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prise en charge d’une aide auditive par oreille </w:t>
      </w:r>
      <w:r>
        <w:rPr>
          <w:rFonts w:ascii="Poppins" w:hAnsi="Poppins" w:eastAsia="Poppins"/>
          <w:b/>
          <w:i w:val="0"/>
          <w:color w:val="000000"/>
          <w:sz w:val="16"/>
        </w:rPr>
        <w:t>est limitée à une aide auditive tous les quatre (4) ans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suivant la date de facturation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l’aide auditive, ayant fait l’objet d’une prise en charge par l’assurance maladie obligatoire ou par l’assureur.  Le délai court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indépendamment pour chaque équipement de chaque oreille. </w:t>
      </w:r>
    </w:p>
    <w:p>
      <w:pPr>
        <w:autoSpaceDN w:val="0"/>
        <w:autoSpaceDE w:val="0"/>
        <w:widowControl/>
        <w:spacing w:line="192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13 - CADRE JURIDIQUE DU CONTRAT DIT RESPONSABLE </w:t>
      </w:r>
    </w:p>
    <w:p>
      <w:pPr>
        <w:autoSpaceDN w:val="0"/>
        <w:autoSpaceDE w:val="0"/>
        <w:widowControl/>
        <w:spacing w:line="245" w:lineRule="auto" w:before="30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adhésion s’inscrit dans le cadre du dispositif législatif relatif aux contrats d’assurance complémentaire santé dits « contrats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responsables » (article 57 de la loi n° 2004-810 du 13 août 2004 et différents décrets et arrêtés, modifiés par le décret n° 2019-21 du 11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janvier 2019 visant à garantir un accès sans reste à charge à certains équipements d’optique, aides auditives et soins prothétiques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dentaire).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Afin que le présent produit soit qualifié de « responsable », celui-ci ne prend pas en charge les conséquences financières de la baisse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 taux de remboursement liées au non-respect du parcours de soins ainsi que les franchises médicales laissées à la charge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pour les frais relatifs à certaines prestations et produits de santé pris en charge par l’assurance maladie. </w:t>
      </w:r>
    </w:p>
    <w:p>
      <w:pPr>
        <w:autoSpaceDN w:val="0"/>
        <w:autoSpaceDE w:val="0"/>
        <w:widowControl/>
        <w:spacing w:line="192" w:lineRule="auto" w:before="1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L’ensemble des actes de prévention prévu au titre de l’article R871-2 II du Code de la Sécurité sociale est pris en charge. </w:t>
      </w:r>
    </w:p>
    <w:p>
      <w:pPr>
        <w:autoSpaceDN w:val="0"/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d’évolution de la réglementation régissant les « contrats responsables », les garanties de la présente adhésion feront l’objet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modifications pour rester en conformité avec ce cadre juridique, après information préalable de l’adhérent. </w:t>
      </w:r>
    </w:p>
    <w:p>
      <w:pPr>
        <w:autoSpaceDN w:val="0"/>
        <w:autoSpaceDE w:val="0"/>
        <w:widowControl/>
        <w:spacing w:line="192" w:lineRule="auto" w:before="1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tarif pourra également être revu, à la hausse comme à la baisse, en fonction des modifications apportées sur les garanties. </w:t>
      </w:r>
    </w:p>
    <w:p>
      <w:pPr>
        <w:autoSpaceDN w:val="0"/>
        <w:autoSpaceDE w:val="0"/>
        <w:widowControl/>
        <w:spacing w:line="190" w:lineRule="auto" w:before="266" w:after="2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14 - MODIFICATIONS DES GARANTIES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8"/>
        </w:trPr>
        <w:tc>
          <w:tcPr>
            <w:tcW w:type="dxa" w:w="262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A LA DEMANDE DE L’ADHÉRENT </w:t>
            </w:r>
          </w:p>
        </w:tc>
      </w:tr>
    </w:tbl>
    <w:p>
      <w:pPr>
        <w:autoSpaceDN w:val="0"/>
        <w:tabs>
          <w:tab w:pos="1010" w:val="left"/>
          <w:tab w:pos="1370" w:val="left"/>
        </w:tabs>
        <w:autoSpaceDE w:val="0"/>
        <w:widowControl/>
        <w:spacing w:line="245" w:lineRule="auto" w:before="12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cours de vie de l’adhésion, l'adhérent peut demander la modification de son niveau de garantie sous réserve de déclaration par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et d’acceptation par l’assureur, à la hausse ou à la baisse, </w:t>
      </w:r>
      <w:r>
        <w:rPr>
          <w:rFonts w:ascii="Poppins" w:hAnsi="Poppins" w:eastAsia="Poppins"/>
          <w:b w:val="0"/>
          <w:i w:val="0"/>
          <w:color w:val="0070C0"/>
          <w:sz w:val="16"/>
        </w:rPr>
        <w:t xml:space="preserve">au plus tard trois (3) mois avant la date d’échéance de l’adhésion,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écrivant par :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courrier à l’adres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se suivante : KIASSURE –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27 Place aux huiles - 13001 MARSEILLE. </w:t>
      </w:r>
    </w:p>
    <w:p>
      <w:pPr>
        <w:autoSpaceDN w:val="0"/>
        <w:tabs>
          <w:tab w:pos="1370" w:val="left"/>
        </w:tabs>
        <w:autoSpaceDE w:val="0"/>
        <w:widowControl/>
        <w:spacing w:line="190" w:lineRule="auto" w:before="16" w:after="0"/>
        <w:ind w:left="10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mail à l’adresse :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hyperlink r:id="rId12" w:history="1">
          <w:r>
            <w:rPr>
              <w:rStyle w:val="Hyperlink"/>
            </w:rPr>
            <w:t>contact@kiassure.com</w:t>
          </w:r>
        </w:hyperlink>
      </w:r>
    </w:p>
    <w:p>
      <w:pPr>
        <w:autoSpaceDN w:val="0"/>
        <w:autoSpaceDE w:val="0"/>
        <w:widowControl/>
        <w:spacing w:line="192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modification doit intervenir suivant la date d’effet de l’adhésion ou la date d’effet d’un avenant. </w:t>
      </w:r>
    </w:p>
    <w:p>
      <w:pPr>
        <w:autoSpaceDN w:val="0"/>
        <w:tabs>
          <w:tab w:pos="1370" w:val="left"/>
        </w:tabs>
        <w:autoSpaceDE w:val="0"/>
        <w:widowControl/>
        <w:spacing w:line="245" w:lineRule="auto" w:before="14" w:after="0"/>
        <w:ind w:left="1010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cours de la première année d’adhésion, l'adhérent a la faculté de modifier uniquement à la hausse ses choix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garanties, ce choix devant nécessairement être maintenu jusqu'à la prochaine échéance de l'adhésion. </w:t>
      </w:r>
    </w:p>
    <w:p>
      <w:pPr>
        <w:autoSpaceDN w:val="0"/>
        <w:tabs>
          <w:tab w:pos="1370" w:val="left"/>
        </w:tabs>
        <w:autoSpaceDE w:val="0"/>
        <w:widowControl/>
        <w:spacing w:line="245" w:lineRule="auto" w:before="14" w:after="0"/>
        <w:ind w:left="1010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Au-delà de la première année d’adhésion, l'adhérent a la faculté de modifier uniquement à la baisse ses choix de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garanties, ce choix devant nécessairement être maintenu jusqu'à la prochaine échéance de l'adhésion. 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tout état de cause, la modification du niveau de garantie s’appliquera à ses éventuels ayants droit. </w:t>
      </w:r>
    </w:p>
    <w:p>
      <w:pPr>
        <w:autoSpaceDN w:val="0"/>
        <w:autoSpaceDE w:val="0"/>
        <w:widowControl/>
        <w:spacing w:line="245" w:lineRule="auto" w:before="254" w:after="0"/>
        <w:ind w:left="290" w:right="276" w:firstLine="0"/>
        <w:jc w:val="both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Tout Accident ou Maladie, entraînant une Hospitalisation, ayant une date de survenance antérieure à la prise d’effet de l’avenant,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sera indemnisable, sous réserve de déclaration et d’acceptation par le Gestionnaire du contrat sur la base des garanties acquises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antérieurement à la prise d’effet de l’avenant, et ce pendant toute la durée du sinistre, y compris les rechutes éventuelles (même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pathologie).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688" w:after="0"/>
        <w:ind w:left="10232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9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A L’INITIATIVE DE L’ASSUREUR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5360" w:space="0"/>
            <w:col w:w="60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5360" w:space="0"/>
            <w:col w:w="6018" w:space="0"/>
          </w:cols>
          <w:docGrid w:linePitch="360"/>
        </w:sectPr>
      </w:pPr>
    </w:p>
    <w:p>
      <w:pPr>
        <w:autoSpaceDN w:val="0"/>
        <w:tabs>
          <w:tab w:pos="1010" w:val="left"/>
        </w:tabs>
        <w:autoSpaceDE w:val="0"/>
        <w:widowControl/>
        <w:spacing w:line="245" w:lineRule="auto" w:before="0" w:after="0"/>
        <w:ind w:left="650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d’évolution législative, règlementaire et/ou de l’intervention du régime de la Sécurité sociale, le contrat peut être modifié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cours d’année. Les nouvelles conditions de garanties et/ou de cotisations prennent alors effet à la date d’effet mentionnée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sur la notification de la modification.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Jusqu’à la date d’effet de cette notification, les dispositions antérieures continuent à s’appliquer sauf si les nouvelles dispositions sont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d’ordre public et donc d’application immédiate.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6" w:after="0"/>
        <w:ind w:left="650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les résultats techniques du contrat le nécessitent, l’assureur peut également proposer un aménagement des garanties et/ou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une révision des cotisations. Ces aménagements sont arrêtés d’un commun accord entre le Souscripteur du contrat et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et sont applicables à l’ensemble des adhérents.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modification des garanties et/ou de révision des cotisations telle que mentionnée aux alinéas précédents, l’Adhérent dispose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faculté de résilier dans les trente (30) jours qui suivent la réception de la notification. Le contrat est alors résilié dans les dix (10)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jours suivants la réception de la notification de résiliation.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d’absence de réponse dans les trente (30) jours de la notification, l’assureur considérera que l’adhérent a accepté les nouvelles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conditions. Elles prendront effet à la date de modification mentionnée sur le courrier.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Jusqu’à la date d’effet de la modification du contrat, les dispositions antérieures continuent à s’appliquer au contrat. </w:t>
      </w:r>
    </w:p>
    <w:p>
      <w:pPr>
        <w:autoSpaceDN w:val="0"/>
        <w:autoSpaceDE w:val="0"/>
        <w:widowControl/>
        <w:spacing w:line="192" w:lineRule="auto" w:before="506" w:after="2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15 - AJOUT OU SORTIE DES AYANTS DROIT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6"/>
        </w:trPr>
        <w:tc>
          <w:tcPr>
            <w:tcW w:type="dxa" w:w="262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A L’ÉCHÉANCE PRINCIPALE </w:t>
            </w:r>
          </w:p>
        </w:tc>
      </w:tr>
    </w:tbl>
    <w:p>
      <w:pPr>
        <w:autoSpaceDN w:val="0"/>
        <w:tabs>
          <w:tab w:pos="1010" w:val="left"/>
          <w:tab w:pos="1370" w:val="left"/>
        </w:tabs>
        <w:autoSpaceDE w:val="0"/>
        <w:widowControl/>
        <w:spacing w:line="245" w:lineRule="auto" w:before="12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a la possibilité de demander par écrit l’ajout ou la sortie d’un ayant droit, </w:t>
      </w:r>
      <w:r>
        <w:rPr>
          <w:rFonts w:ascii="Poppins" w:hAnsi="Poppins" w:eastAsia="Poppins"/>
          <w:b w:val="0"/>
          <w:i w:val="0"/>
          <w:color w:val="0070C0"/>
          <w:sz w:val="16"/>
        </w:rPr>
        <w:t xml:space="preserve">au plus tard 2 (deux) mois </w:t>
      </w:r>
      <w:r>
        <w:rPr>
          <w:rFonts w:ascii="Poppins" w:hAnsi="Poppins" w:eastAsia="Poppins"/>
          <w:b w:val="0"/>
          <w:i w:val="0"/>
          <w:color w:val="000000"/>
          <w:sz w:val="16"/>
        </w:rPr>
        <w:t>avant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l’échéance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principale de l’adhésion, en écrivant à l’adresse suivante :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courrier à l’adres</w:t>
      </w:r>
      <w:r>
        <w:rPr>
          <w:rFonts w:ascii="Poppins" w:hAnsi="Poppins" w:eastAsia="Poppins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se suivante : KIASSURE –</w:t>
          </w:r>
        </w:hyperlink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27 Place aux huiles - 13001 MARSEILLE. </w:t>
      </w:r>
    </w:p>
    <w:p>
      <w:pPr>
        <w:autoSpaceDN w:val="0"/>
        <w:tabs>
          <w:tab w:pos="1370" w:val="left"/>
        </w:tabs>
        <w:autoSpaceDE w:val="0"/>
        <w:widowControl/>
        <w:spacing w:line="190" w:lineRule="auto" w:before="16" w:after="0"/>
        <w:ind w:left="10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mail à l’adresse :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hyperlink r:id="rId12" w:history="1">
          <w:r>
            <w:rPr>
              <w:rStyle w:val="Hyperlink"/>
            </w:rPr>
            <w:t>contact@kiassure.com</w:t>
          </w:r>
        </w:hyperlink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L’ajout ou la sortie d’un ayant droit sera matérialisé par un Avenant.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HORS ÉCHÉANCE PRINCIPALE </w:t>
      </w:r>
    </w:p>
    <w:p>
      <w:pPr>
        <w:autoSpaceDN w:val="0"/>
        <w:autoSpaceDE w:val="0"/>
        <w:widowControl/>
        <w:spacing w:line="190" w:lineRule="auto" w:before="304" w:after="0"/>
        <w:ind w:left="65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2.1.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>Ajout d’un ayant droit</w:t>
      </w:r>
    </w:p>
    <w:p>
      <w:pPr>
        <w:autoSpaceDN w:val="0"/>
        <w:autoSpaceDE w:val="0"/>
        <w:widowControl/>
        <w:spacing w:line="245" w:lineRule="auto" w:before="19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un événement survient en cours d’année entraînant l’acquisition de la qualité d’ayant droit, d’une personne que l’Adhérent souhaite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assurer, il doit adresser une demande écrite, à cet effet :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un délai de trente (30) jours suivant cet événement, s’il s’agit d’une naissance ou adoption,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un délai de quinze (15) jours suivant cet événement pour les autres demandes. </w:t>
      </w:r>
    </w:p>
    <w:p>
      <w:pPr>
        <w:autoSpaceDN w:val="0"/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 réserve des pièces justifiant de la date de l’événement et des conditions permettant d’être désigné comme ayant droit,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modification du contrat prendra alors effet :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naissance du nouveau-né,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jugement d’un enfant adopté,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l’union avec son conjoint. </w:t>
      </w:r>
    </w:p>
    <w:p>
      <w:pPr>
        <w:autoSpaceDN w:val="0"/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la demande est formulée au-delà des délais ci-dessus, la modification du contrat prendra effet à la date de réception de la demande,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 réserve de la production des pièces justificatives. </w:t>
      </w:r>
    </w:p>
    <w:p>
      <w:pPr>
        <w:autoSpaceDN w:val="0"/>
        <w:autoSpaceDE w:val="0"/>
        <w:widowControl/>
        <w:spacing w:line="192" w:lineRule="auto" w:before="260" w:after="0"/>
        <w:ind w:left="65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Sortie d’un ayant droit </w:t>
      </w:r>
    </w:p>
    <w:p>
      <w:pPr>
        <w:autoSpaceDN w:val="0"/>
        <w:autoSpaceDE w:val="0"/>
        <w:widowControl/>
        <w:spacing w:line="245" w:lineRule="auto" w:before="200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un événement survient en cours d’année entraînant la perte de la qualité d’ayant droit, l’adhérent doit le déclarer par écrit </w:t>
      </w:r>
      <w:r>
        <w:rPr>
          <w:rFonts w:ascii="Poppins" w:hAnsi="Poppins" w:eastAsia="Poppins"/>
          <w:b w:val="0"/>
          <w:i w:val="0"/>
          <w:color w:val="5B9BD5"/>
          <w:sz w:val="16"/>
        </w:rPr>
        <w:t xml:space="preserve">dans les </w:t>
      </w:r>
      <w:r>
        <w:rPr>
          <w:rFonts w:ascii="Poppins" w:hAnsi="Poppins" w:eastAsia="Poppins"/>
          <w:b w:val="0"/>
          <w:i w:val="0"/>
          <w:color w:val="5B9BD5"/>
          <w:sz w:val="16"/>
        </w:rPr>
        <w:t xml:space="preserve">quinze (15) jours suivant cet événement.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modification du contrat prendra effet, sous réserve de la production des pièces justifiant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date de l’événement et de la fin des conditions permettant d’être désigné comme ayant droit :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décès, au lendemain du décès,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●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la date de réception de la déclaration pour les autres cas (séparation ou divorce, cessation ou changement d’affiliation au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Régime Obligatoire)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des prestations ont été versées au-delà de ce délai, l’Assureur pourra demander à l’Adhérent le remboursement des prestations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indûment réglées pour cet Ayant-droit.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28" w:after="0"/>
        <w:ind w:left="10172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10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tabs>
          <w:tab w:pos="717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58110" cy="94996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un des ayants droit ne remplissait plus les conditions prévues pour être Bénéficiaire, les garanties cesseraient de plein droit et sans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formalité pour celui-ci. </w:t>
      </w:r>
    </w:p>
    <w:p>
      <w:pPr>
        <w:autoSpaceDN w:val="0"/>
        <w:autoSpaceDE w:val="0"/>
        <w:widowControl/>
        <w:spacing w:line="192" w:lineRule="auto" w:before="1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L’ajout ou la sortie d’un ayant droit sera matérialisé par un Avenant. </w:t>
      </w:r>
    </w:p>
    <w:p>
      <w:pPr>
        <w:autoSpaceDN w:val="0"/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AJUSTEMENT SUR LA COTISATION </w:t>
      </w:r>
    </w:p>
    <w:p>
      <w:pPr>
        <w:autoSpaceDN w:val="0"/>
        <w:autoSpaceDE w:val="0"/>
        <w:widowControl/>
        <w:spacing w:line="245" w:lineRule="auto" w:before="20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d’ajout ou de sortie d’ayant droit, la cotisation sera ajustée en conséquence à compter de la date d’effet de l’Avenant constatant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modification. La différence de cotisation sera ainsi mentionnée dans l’Avenant :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S’il s’agit d’un montant en faveur de l’assureur, il devra être réglé conformément aux dispositions de l’article 20.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S’il s’agit d’un montant en faveur de l’Adhérent, il devra être réglé sous réserve de l’absence d’arriéré de prime à compenser. </w:t>
      </w:r>
    </w:p>
    <w:p>
      <w:pPr>
        <w:autoSpaceDN w:val="0"/>
        <w:autoSpaceDE w:val="0"/>
        <w:widowControl/>
        <w:spacing w:line="192" w:lineRule="auto" w:before="266" w:after="29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16 - EXCLUSIONS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6652"/>
        </w:trPr>
        <w:tc>
          <w:tcPr>
            <w:tcW w:type="dxa" w:w="1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Les actes ne figurant pas sur la Nomenclature Générale des Actes Professionnels (NGAP) ou dans la Classification Commune des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Actes Médicaux (CCAM) ne sont pas remboursés,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sauf cas particuliers prévus à l’adhésion.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Les exclusions ci-dessous s’appliquent à toutes les garanties d’assurance,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à l’exception des garanties minimum et maximum des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contrats responsables.</w:t>
            </w:r>
          </w:p>
          <w:p>
            <w:pPr>
              <w:autoSpaceDN w:val="0"/>
              <w:tabs>
                <w:tab w:pos="828" w:val="left"/>
              </w:tabs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Les garanties ne s’exercent pas en cas :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De guerre civile ou étrangère, d’émeutes et mouvement populaires </w:t>
            </w:r>
            <w:r>
              <w:br/>
            </w:r>
            <w:r>
              <w:tab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De désintégration du noyau atomique ou de radiations ionisantes,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De traitements ou interventions chirurgicales dans un but de rajeunissement ou esthétique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(sauf les actes remboursés par </w:t>
            </w:r>
            <w:r>
              <w:tab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le Régime Obligatoire qui seront pris en charge à 100% du tarif de responsabilité)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, de cures d’amaigrissement, de sommeil, de </w:t>
            </w:r>
            <w:r>
              <w:tab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désintoxication, de séjours en institut médico-pédagogique et établissements similaires,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</w:t>
            </w:r>
            <w:r>
              <w:tab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D’une aggravation due à l’inobservation intentionnelle par l’Assuré des prescriptions du médecin. </w:t>
            </w:r>
          </w:p>
          <w:p>
            <w:pPr>
              <w:autoSpaceDN w:val="0"/>
              <w:autoSpaceDE w:val="0"/>
              <w:widowControl/>
              <w:spacing w:line="190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Sont également applicables les exclusions imposées par le dispositif législatif des contrats dits « responsables ».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Même si votre Régime Obligatoire est intervenu, ne donnent pas lieu à prestation pour les hospitalisations, actes chirurgicaux, soins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et prothèses dentaires, actes de kinésithérapie :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conséquences de l’éthylisme aigu ou chronique de la personne assurée, l’usage de stupéfiants ou de tranquillisants non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prescrits médicalement,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frais de séjour climatique à la campagne, à la mer, à la montagne et en colonie sanitaire (sauf en Sanatorium ou en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Préventorium),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cures d’amaigrissement, de rajeunissement, de désintoxication et de thalassothérapie,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traitements à visée esthétique, à l’exception de ceux consécutifs à un accident garanti,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traitements psychanalytiques,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interventions chirurgicales à visée reconstructrice, esthétique ou plastique à l’exception de celles consécutives à un accident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garanti, les interventions comportant une réduction de la masse graisseuse, ainsi que les interventions pour rhinoplastie et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septoplastie nasale. Restent néanmoins garanties les rhinoplasties justifiées par un traumatisme nasal survenu pendant la période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de garantie,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interventions chirurgicales pour hypertrophie ou hypotrophie mammaires, ainsi que les interventions comportant une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lipectomie, une liposuccion, une lipoaspiration, une liposculpture, une plastie abdominale,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traitements, hospitalisations et interventions chirurgicales pour les troubles de l’identité sexuelle,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séjours en centres, services ou établissements dits de longs séjours, de gérontologie, de gériatrie,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séjours psychopédagogiques, pédagogiques, à visée diététique ou de rééducation alimentaire,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les différentes étapes de la Procréation Médicalement Assistée (PMA),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maisons d’accueil spécialisé (MAS),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- établissement d’hébergement pour personnes âgées dépendantes (EPHAD). </w:t>
            </w:r>
          </w:p>
        </w:tc>
      </w:tr>
    </w:tbl>
    <w:p>
      <w:pPr>
        <w:autoSpaceDN w:val="0"/>
        <w:autoSpaceDE w:val="0"/>
        <w:widowControl/>
        <w:spacing w:line="245" w:lineRule="auto" w:before="268" w:after="0"/>
        <w:ind w:left="290" w:right="72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17 - ADAPTATION DE L’ADHESION PAR SUITE DE MODIFICATIONS DU </w:t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REGI</w:t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>M</w:t>
      </w: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E DE BASE DE LA SECURITE SOCIALE </w:t>
      </w:r>
    </w:p>
    <w:p>
      <w:pPr>
        <w:autoSpaceDN w:val="0"/>
        <w:autoSpaceDE w:val="0"/>
        <w:widowControl/>
        <w:spacing w:line="245" w:lineRule="auto" w:before="54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garanties de la présente adhésion, sa tarification et les modalités de mise en jeu de l’assurance ont été fixées compte tenu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dispositions du régime obligatoire d’assurance maladie en vigueur lors de sa prise d’effet. Si ces dispositions ou les règles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d’indemnisation de l’assurance maladie venaient à être modifiées, l’Assureur se réserve la faculté de procéder à une révision du contrat,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compter du premier jour du mois suivant l’application par cet organisme des dispositions nouvelles.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conserve, dans ce cas, la possibilité de demander un aménagement des garanties ou la résiliation de l’adhésion, sans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application du délai de préavis.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574" w:after="0"/>
        <w:ind w:left="10216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11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8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18 - PRESTATIONS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5576" w:space="0"/>
            <w:col w:w="58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5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5576" w:space="0"/>
            <w:col w:w="58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8"/>
        </w:trPr>
        <w:tc>
          <w:tcPr>
            <w:tcW w:type="dxa" w:w="262"/>
            <w:tcBorders>
              <w:top w:sz="11.199999999999932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1.199999999999932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REMBOURSEMENT DES PRESTATIONS </w:t>
            </w:r>
          </w:p>
        </w:tc>
      </w:tr>
    </w:tbl>
    <w:p>
      <w:pPr>
        <w:autoSpaceDN w:val="0"/>
        <w:autoSpaceDE w:val="0"/>
        <w:widowControl/>
        <w:spacing w:line="245" w:lineRule="auto" w:before="12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dépenses de prestations sont remboursées en fonction de l’offre et du niveau de garanties auquel l’Adhérent a adhéré, qui figurent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certificat d’adhésion. Elles ne peuvent en aucun cas être supérieures aux dépenses réelles. </w:t>
      </w:r>
    </w:p>
    <w:p>
      <w:pPr>
        <w:autoSpaceDN w:val="0"/>
        <w:tabs>
          <w:tab w:pos="1010" w:val="left"/>
          <w:tab w:pos="1370" w:val="left"/>
        </w:tabs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demandes de remboursement de prestations sont à adresser au centre de gestion :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courrier à l’adresse suivante : CPMS - Gestion KIASSURE - TSA 10516 - 75427 PARIS CEDEX 09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mail à l’adresse :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>kiassure@cpms.fr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Ou directement sur le site internet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hyperlink r:id="rId13" w:history="1">
          <w:r>
            <w:rPr>
              <w:rStyle w:val="Hyperlink"/>
            </w:rPr>
            <w:t>www.cpms.fr</w:t>
          </w:r>
        </w:hyperlink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remboursement est appliqué séparément pour chaque poste de frais pris en charge par le Régime d’assurance maladie.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Il est toujours subordonné au remboursement préalable par le Régime d’assurance maladie, sauf dispositions contraires figurant au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tableau des garanties.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prestations sont réglées dans les soixante-douze (72) heures entre la réception du dossier complet et l'expédition du titre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paiement, sauf cas fortuit ou de force majeure.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prestations sont réglées en Euros et auprès d’un Établissement bancaire situé dans l’Espace Unique de paiement en euros (ou SEPA).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décomptes seront adressés chaque mois par mail et seront disponibles en ligne dans l’espace personnel des assurés géré par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Gestionnaire Prestation. </w:t>
      </w:r>
    </w:p>
    <w:p>
      <w:pPr>
        <w:autoSpaceDN w:val="0"/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TÉLÉTRANSMISSION </w:t>
      </w:r>
    </w:p>
    <w:p>
      <w:pPr>
        <w:autoSpaceDN w:val="0"/>
        <w:autoSpaceDE w:val="0"/>
        <w:widowControl/>
        <w:spacing w:line="245" w:lineRule="auto" w:before="20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transmission des décomptes de remboursements des assurés bénéficiaires peut être effectuée directement par les caisses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d’assurance maladie, sous forme d’échange de données informatiques.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L’assuré bénéficiant de la télétransmission de ses décomptes de remboursements pourra envoyer ses justificatifs complémentaires,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avant même le remboursement de la Sécurité sociale.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rejet de la télétransmission, l’assuré sera amené à transmettre l’original de son décompte. Seuls les décomptes pour lesquels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 remboursement n’a pas été traité automatiquement devront être envoyés.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CUMUL D’ORGANISMES ASSUREURS </w:t>
      </w:r>
    </w:p>
    <w:p>
      <w:pPr>
        <w:autoSpaceDN w:val="0"/>
        <w:autoSpaceDE w:val="0"/>
        <w:widowControl/>
        <w:spacing w:line="245" w:lineRule="auto" w:before="198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garanties de même nature contractées auprès de plusieurs organismes assureurs produisent leurs effets dans la limite de chaque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garantie quelle que soit sa date de souscription et de la dépense engagée. Dans cette limite, le bénéficiaire peut obtenir l’indemnisation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s’adressant à l’organisme de son choix.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remboursements ou les indemnisations des frais occasionnés par une maladie, une maternité ou un accident ne peuvent excéder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montant des frais restant à la charge de l’assuré ou de l’adhérent après les remboursements de toute nature auxquels il a droit 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avant la prise en charge instaurée par l’article L. 861-3 du code de la sécurité sociale. </w:t>
      </w:r>
    </w:p>
    <w:p>
      <w:pPr>
        <w:autoSpaceDN w:val="0"/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4.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TIERS PAYANT </w:t>
      </w:r>
    </w:p>
    <w:p>
      <w:pPr>
        <w:autoSpaceDN w:val="0"/>
        <w:autoSpaceDE w:val="0"/>
        <w:widowControl/>
        <w:spacing w:line="190" w:lineRule="auto" w:before="202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L’adhésion au contrat </w:t>
      </w:r>
      <w:r>
        <w:rPr>
          <w:rFonts w:ascii="Poppins" w:hAnsi="Poppins" w:eastAsia="Poppins"/>
          <w:b/>
          <w:i w:val="0"/>
          <w:color w:val="000000"/>
          <w:sz w:val="16"/>
        </w:rPr>
        <w:t>IZY SANTÉ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permet de bénéficier des avantages d’une carte de tiers payant. </w:t>
      </w:r>
    </w:p>
    <w:p>
      <w:pPr>
        <w:autoSpaceDN w:val="0"/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dépenses de pharmacie remboursables par le régime d’assurance maladie, l’assuré est dispensé du paiement du ticket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modérateur.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 avantage est étendu aux autres dépenses de santé auprès de tous les professionnels de santé conventionnés, qui acceptent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dispositif.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carte de Tiers payant permet également de bénéficier d’une prise en charge dans la limite de la garantie souscrite, en cas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d’hospitalisation en France par l’intermédiaire de l’établissement hospitalier auprès de l’organisme de Tiers payant ou sur simple </w:t>
      </w:r>
      <w:r>
        <w:rPr>
          <w:rFonts w:ascii="Poppins" w:hAnsi="Poppins" w:eastAsia="Poppins"/>
          <w:b w:val="0"/>
          <w:i w:val="0"/>
          <w:color w:val="000000"/>
          <w:sz w:val="16"/>
        </w:rPr>
        <w:t>demande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 au Gestionnaire Prestation.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suspension ou de résiliation du contrat, l’adhérent s’engage à restituer immédiatement la carte de Tiers payant. Il s’engage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également à rembourser à l’Assureur les prestations indûment réglées aux praticiens postérieurement à cette suspension ou cette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résiliation.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232" w:after="0"/>
        <w:ind w:left="10184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12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78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5.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PIÈCES NÉCESSAIRES AU PAIEMENT DES PRESTATIONS </w:t>
      </w:r>
    </w:p>
    <w:p>
      <w:pPr>
        <w:autoSpaceDN w:val="0"/>
        <w:autoSpaceDE w:val="0"/>
        <w:widowControl/>
        <w:spacing w:line="245" w:lineRule="auto" w:before="20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Pour obtenir le règlement de ses prestations, l’adhérent doit envoyer au Gestionnaire Prestation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les 3 mois qui suivent la fin du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traitement, les pièces justificatives accompagnées d’une demande datée et signée comportant le numéro d’adhésion.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liste des pièces justificatives à fournir est la suivante :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décomptes originaux des remboursements du Régime Obligatoire justifiant les prestations qui ont été servies. (Dans les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départements dans lesquels un accord a été passé avec les organismes de Régimes Obligatoires, une telle formalité ne sera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pas nécessaire),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notes d’honoraires et factures détaillées justifiant des frais réellement engagés, notamment pour le transport hospitalier,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factures d’hospitalisation si celle-ci n’a pas donné lieu à prise en charge préalable, notamment pour la chambre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particulière, le forfait journalier et le lit accompagnant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factures des pharmaciens lorsque la garantie Tiers payant n’a pu être mise en jeu ou en cas de dépassement du tarif de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responsabilité,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facture détaillée des frais engagés pour les prothèses dentaires,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frais d’optique, la demande de prise en charge et la facture de l’opticien distinguant le prix de la monture de celui des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verres ou indiquant les frais de lentilles. L’évolution de la vue devra être justifiée soit par la présentation d’une nouvelle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prescription médicale portant une correction différente de la précédente ou soit sur la présentation de la prescription initiale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comportant des mentions de l’opticien en application de l’article R165-1 du code de la Sécurité Sociale. Pour les lentilles non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remboursées par le Régime Obligatoire, joindre également une ordonnance de moins de deux ans.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6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les cures thermales, la facture détaillée des frais engagés, ainsi que le décompte du remboursement du Régime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Obligatoire,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l’Adhérent ou ses ayants droit bénéficient d’une autre couverture complémentaire, les originaux des décomptes établis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l’organisme en cause,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d’accident mettant en cause un tiers responsable identifié, les coordonnées du tiers responsable ou de son Assureur,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afin de pouvoir engager les recours,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facture détaillée du praticien diplômé d’Etat pour une consultation de médecine naturelle/douce : ostéopathe, pédicure,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podologue, étiopathe, homéopathe, acupuncteur, chiropracteur, mésothérapeute, réflexologue, diététicien, nutritionniste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factures originales pour tous les actes et frais non remboursés par le Régime Obligatoire mais dont les garanties sont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couvertes par ce contrat.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Seuls les décomptes originaux tiennent lieu de justificatifs. Si les renseignements fournis sont insuffisants pour le règlement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prestations, l’Assureur pourra demander de fournir des justificatifs complémentaires. </w:t>
      </w:r>
    </w:p>
    <w:p>
      <w:pPr>
        <w:autoSpaceDN w:val="0"/>
        <w:autoSpaceDE w:val="0"/>
        <w:widowControl/>
        <w:spacing w:line="192" w:lineRule="auto" w:before="254" w:after="242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tout état de cause, tout justificatif produit plus de 2 ans après la date de soin ne pourra pas faire l’objet de remboursement.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1486"/>
        </w:trPr>
        <w:tc>
          <w:tcPr>
            <w:tcW w:type="dxa" w:w="1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08" w:right="74" w:firstLine="0"/>
              <w:jc w:val="both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Toute fausse déclaration sur la date, la nature, les causes, les circonstances et les conséquences d’un événement à l’origine de la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demande de règlement entraîne la déchéance de tout droit à garantie. Il est en est de même en cas de faux documents, faux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renseignements ou de l’absence de production de pièces. </w:t>
            </w:r>
          </w:p>
          <w:p>
            <w:pPr>
              <w:autoSpaceDN w:val="0"/>
              <w:autoSpaceDE w:val="0"/>
              <w:widowControl/>
              <w:spacing w:line="245" w:lineRule="auto" w:before="16" w:after="0"/>
              <w:ind w:left="108" w:right="74" w:firstLine="0"/>
              <w:jc w:val="both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L’Assureur se réserve le droit de procéder à tout contrôle des informations transmises lors de la gestion des prestations. Les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prestations déjà réglées pour un événement en cause doivent être remboursées à l’assureur, sans préjudice d’une possible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demand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e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 de dommages et intérêts en justice. </w:t>
            </w:r>
          </w:p>
        </w:tc>
      </w:tr>
    </w:tbl>
    <w:p>
      <w:pPr>
        <w:autoSpaceDN w:val="0"/>
        <w:autoSpaceDE w:val="0"/>
        <w:widowControl/>
        <w:spacing w:line="190" w:lineRule="auto" w:before="270" w:after="2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19 - CONTROLE, PROCEDURE D’EXPERTISE ET ARBITRAGE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8"/>
        </w:trPr>
        <w:tc>
          <w:tcPr>
            <w:tcW w:type="dxa" w:w="262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CONTRÔLE DES DÉPENSES 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0"/>
        <w:ind w:left="290" w:right="27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médecin-conseil de l’assureur peut demander à l’adhérent tout renseignement ou document complémentaire qu’il juge utile et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cas échéant demander une expertise médicale, afin de permettre l’appréciation du droit aux prestations, notamment en ce qui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concerne le principe et la fréquence de l’engagement des dépenses et leur montant.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Sous peine de déchéance, l’adhérent doit lui communiquer ces informations, soit directement sous pli confidentiel soit par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l’intermédiaire de son médecin, et se soumettre à toute expertise médicale éventuelle.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fonction du résultat de ces contrôles,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l’Assureur se réserve le droit de contester, au regard des dispositions du présent contrat, la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prise en charge des frais dont le remboursement est demandé ou le montant de sa prise en charge.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convention expresse, l’Adhérent reconnaît le droit de subordonner la mise en jeu de la garantie au respect de ces conditions.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En cas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de refus de l’assuré, l’Assureur pourra, de convention expresse, s’opposer à la mise en jeu de la garantie.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78" w:after="0"/>
        <w:ind w:left="10178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13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78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190" w:lineRule="auto" w:before="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PROCÉDURE D’EXPERTISE </w:t>
      </w:r>
    </w:p>
    <w:p>
      <w:pPr>
        <w:autoSpaceDN w:val="0"/>
        <w:autoSpaceDE w:val="0"/>
        <w:widowControl/>
        <w:spacing w:line="245" w:lineRule="auto" w:before="20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médecins et délégués missionnés par l’Assureur auront le droit de venir constater l’état de santé de l’Adhérent. Dans le cas où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ne peut se déplacer, le médecin missionné doit avoir accès à son lieu de résidence.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>ARBITRAGE</w:t>
      </w:r>
    </w:p>
    <w:p>
      <w:pPr>
        <w:autoSpaceDN w:val="0"/>
        <w:autoSpaceDE w:val="0"/>
        <w:widowControl/>
        <w:spacing w:line="245" w:lineRule="auto" w:before="200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persistance d’un désaccord sur les conclusions du médecin expert que l’Assureur a désigné, le différend est soumis à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expertise amiable avant tout recours à la voie judiciaire. Chacune des parties choisit un médecin expert devant régler le différend.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défaut d’accord entre eux, ceux-ci s’adjoignent un troisième expert et tous trois opèrent en commun et à la majorité des voix.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 défaut d’accord entre les médecins sur le nom du tiers expert, la désignation est effectuée par le Président du Tribunal de Grande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Instance du domicile de l’assuré. Cette nomination est faite sur simple requête signée des deux parties ou d’une seule, l’autre partie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ayant été convoquée par lettre recommandée. Les trois médecins opèrent en commun et à la majorité des voix.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Chaque partie paie les frais et honoraires de son représentant. Les honoraires du tiers médecin sont supportés à charge égale par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parties. </w:t>
      </w:r>
    </w:p>
    <w:p>
      <w:pPr>
        <w:autoSpaceDN w:val="0"/>
        <w:autoSpaceDE w:val="0"/>
        <w:widowControl/>
        <w:spacing w:line="190" w:lineRule="auto" w:before="266" w:after="2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20 - COTISATIONS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8"/>
        </w:trPr>
        <w:tc>
          <w:tcPr>
            <w:tcW w:type="dxa" w:w="262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MONTANT DE LA COTISATION </w:t>
            </w:r>
          </w:p>
        </w:tc>
      </w:tr>
    </w:tbl>
    <w:p>
      <w:pPr>
        <w:autoSpaceDN w:val="0"/>
        <w:autoSpaceDE w:val="0"/>
        <w:widowControl/>
        <w:spacing w:line="245" w:lineRule="auto" w:before="12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est fixée au Certificat d’Adhésion. Elle est exprimée en Euros, tous frais et taxes inclus. Elle tient compte d’un certain nombre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paramètres tels que le régime obligatoire de l’adhérent, les garanties choisies, l’âge des assurés, la composition familiale et la zone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géographique. Elle ne dépend pas de l’état de santé des assurés.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totale due par l’adhérent correspond au cumul des cotisations de chaque assuré. </w:t>
      </w:r>
    </w:p>
    <w:p>
      <w:pPr>
        <w:autoSpaceDN w:val="0"/>
        <w:autoSpaceDE w:val="0"/>
        <w:widowControl/>
        <w:spacing w:line="190" w:lineRule="auto" w:before="262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VARIATION DE LA COTISATION </w:t>
      </w:r>
    </w:p>
    <w:p>
      <w:pPr>
        <w:autoSpaceDN w:val="0"/>
        <w:autoSpaceDE w:val="0"/>
        <w:widowControl/>
        <w:spacing w:line="192" w:lineRule="auto" w:before="200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évolue en fonction de l’âge atteint de l’adhérent et de ses ayants droit à l’échéance de l’adhésion. 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cours de contrat, la cotisation peut varier en cas de :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4" w:after="0"/>
        <w:ind w:left="650" w:right="4608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modification de la législation sociale et/ou fiscale,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changement de garanties,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ajout ou sortie d’ayant droit,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changement ou modification du régime d’assurance maladie,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changement de domicile entraînant un changement de zone tarifaire.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ailleurs, en cas de modification du taux de taxe sur les conventions d’assurance ou d’un prélèvement indirect, celle-ci sera appliquée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conformément aux dispositions réglementaires.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RÉVISION DE LA COTISATION </w:t>
      </w:r>
    </w:p>
    <w:p>
      <w:pPr>
        <w:autoSpaceDN w:val="0"/>
        <w:autoSpaceDE w:val="0"/>
        <w:widowControl/>
        <w:spacing w:line="245" w:lineRule="auto" w:before="19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peut être amené à réévaluer le montant des cotisations, notamment en fonction des résultats techniques des garanties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même nature et/ou de l’évolution prévisionnelle des dépenses de santé. </w:t>
      </w:r>
    </w:p>
    <w:p>
      <w:pPr>
        <w:autoSpaceDN w:val="0"/>
        <w:autoSpaceDE w:val="0"/>
        <w:widowControl/>
        <w:spacing w:line="245" w:lineRule="auto" w:before="1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augmentations de cotisations ont généralement lieu chaque année à la date d’échéance du contrat. Le nouveau montant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cotisation sera communiqué à l’avis d’échéance annuelle. Dans ce cadre, les augmentations de cotisations seront notifiées à l’adhérent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écrit au moins deux (2 mois) avant la date prévue de l’entrée en vigueur, à moins que les délais réglementaires ne permettent pas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respecter ce délai. </w:t>
      </w:r>
    </w:p>
    <w:p>
      <w:pPr>
        <w:autoSpaceDN w:val="0"/>
        <w:autoSpaceDE w:val="0"/>
        <w:widowControl/>
        <w:spacing w:line="245" w:lineRule="auto" w:before="256" w:after="0"/>
        <w:ind w:left="288" w:right="144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pourra être informé par notification. L’adhérent ne pourra exiger comme moyen de preuve de cette information l’envoi d’un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courrier recommandé. L’adhérent pourra refuser cette modification en résiliant le contrat dans le mois qui suit la réception du courrier.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430" w:after="0"/>
        <w:ind w:left="10168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14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4.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MODALITÉS DE PAIEMENT DE LA COTISATION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6080" w:space="0"/>
            <w:col w:w="52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6080" w:space="0"/>
            <w:col w:w="529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cotisation est payable d’avance, selon le fractionnement choisi à l’adhésion par l’adhérent : périodicité annuelle, semestrielle,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trimestrielle ou mensuelle. Le paiement et l’encaissement de cotisations inexactes ou partielles ne sauraient valoir délivrance ou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maintien des garanties.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prélèvement automatique est obligatoire pour les paiements mensuels. Le prélèvement s’effectue pour chaque mois de quittance </w:t>
      </w:r>
      <w:r>
        <w:rPr>
          <w:rFonts w:ascii="Poppins" w:hAnsi="Poppins" w:eastAsia="Poppins"/>
          <w:b w:val="0"/>
          <w:i w:val="0"/>
          <w:color w:val="004F83"/>
          <w:sz w:val="16"/>
        </w:rPr>
        <w:t xml:space="preserve">au plus tard le quinze (15) du mois précédant la quittance.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En cas de rejet de prélèvement bancaire, les frais de représentation et les frais financiers sont mis à la charge de l’adhérent.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5.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DÉFAUT DE PAIEMENT </w:t>
      </w:r>
    </w:p>
    <w:p>
      <w:pPr>
        <w:autoSpaceDN w:val="0"/>
        <w:autoSpaceDE w:val="0"/>
        <w:widowControl/>
        <w:spacing w:line="245" w:lineRule="auto" w:before="200" w:after="0"/>
        <w:ind w:left="290" w:right="276" w:firstLine="0"/>
        <w:jc w:val="both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Si l’adhérent ne paie pas la cotisation dans les dix (10) jours de son échéance, l’assureur peut – indépendamment de son droit de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poursuite en justice – adresser à l’adhérent une lettre recommandée valant mise en demeure. Conformément à l’article L.113-3 du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Code des Assurances, les garanties seront suspendues trente (30) jours après l’envoi de cette mise en demeure.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La suspension de garanties entraîne, pour chaque assuré, la perte de tout droit aux garanties prévues par la présente adhésion pour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des événements survenus pendant la période de suspension.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En cas de paiement de l’intégralité de la cotisation restant due dans les dix jours suivant la suspension des garanties, celles-ci seront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remises en vigueur le lendemain midi du jour du paiement. </w:t>
      </w:r>
    </w:p>
    <w:p>
      <w:pPr>
        <w:autoSpaceDN w:val="0"/>
        <w:autoSpaceDE w:val="0"/>
        <w:widowControl/>
        <w:spacing w:line="245" w:lineRule="auto" w:before="254" w:after="0"/>
        <w:ind w:left="290" w:right="276" w:firstLine="0"/>
        <w:jc w:val="both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À défaut, l’adhésion sera automatiquement résiliée dix (10) jours après l’expiration du délai de trente (30) jours précité. Dans ce cas,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la portion de cotisation relative à la période postérieure à la date d’effet de la résiliation sera acquise à titre de dommages et intérêts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et l’assureur pourra en poursuivre le recouvrement. S’y ajouteront les frais de recouvrement et les intérêts de retard qui seront à la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charge de l’adhérent.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21 - LOI MADELIN </w:t>
      </w:r>
    </w:p>
    <w:p>
      <w:pPr>
        <w:autoSpaceDN w:val="0"/>
        <w:autoSpaceDE w:val="0"/>
        <w:widowControl/>
        <w:spacing w:line="245" w:lineRule="auto" w:before="308" w:after="0"/>
        <w:ind w:left="290" w:right="26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cotisations de l’adhésion sont éligibles à la loi N°94-126 du 11 février 1994 dite « loi Madelin » au bénéfice des Travailleurs Non Salariés.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Toutefois, pour bénéficier des avantages de la loi, l’adhérent doit, chaque année, fournir une attestation de paiement de ses cotisations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 Régime Obligatoire de retraite et de prévoyance. </w:t>
      </w:r>
    </w:p>
    <w:p>
      <w:pPr>
        <w:autoSpaceDN w:val="0"/>
        <w:autoSpaceDE w:val="0"/>
        <w:widowControl/>
        <w:spacing w:line="192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22 - SUBROGATION </w:t>
      </w:r>
    </w:p>
    <w:p>
      <w:pPr>
        <w:autoSpaceDN w:val="0"/>
        <w:autoSpaceDE w:val="0"/>
        <w:widowControl/>
        <w:spacing w:line="245" w:lineRule="auto" w:before="54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vertu du Code des assurances, l’assureur est subrogé dans les droits et actions des assurés envers tout responsable jusqu’à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concurrence de l’indemnité qu’il a versée.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ou l’ayant droit atteint d’une blessure imputable à un tiers doit en informer l’organisme assureur lors de sa demande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prestation.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23 - PRESCRIPTION </w:t>
      </w:r>
    </w:p>
    <w:p>
      <w:pPr>
        <w:autoSpaceDN w:val="0"/>
        <w:autoSpaceDE w:val="0"/>
        <w:widowControl/>
        <w:spacing w:line="192" w:lineRule="auto" w:before="30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Conformément au code des assurances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L114-1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Toutes actions dérivant d’un contrat d’assurance sont prescrites par deux ans à compter de l’événement qui y donne naissance. Par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exception, les actions dérivant d'un contrat d'assurance relatives à des dommages résultant de mouvements de terrain consécutifs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sécheresse-réhydratation des sols, reconnus comme une catastrophe naturelle dans les conditions prévues à l'article L. 125-1, sont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prescrites par cinq ans à compter de l'événement qui y donne naissance. </w:t>
      </w:r>
    </w:p>
    <w:p>
      <w:pPr>
        <w:autoSpaceDN w:val="0"/>
        <w:tabs>
          <w:tab w:pos="1010" w:val="left"/>
          <w:tab w:pos="1370" w:val="left"/>
        </w:tabs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Toutefois, ce délai ne court :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réticence, omission, déclaration fausse ou inexacte sur le risque couru, que du jour où l’assureur en a eu </w:t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connaissance;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cas de sinistre, que du jour où les intéressés en ont eu connaissance, s’ils prouvent qu’ils l’ont ignoré jusque-là. </w:t>
      </w:r>
    </w:p>
    <w:p>
      <w:pPr>
        <w:autoSpaceDN w:val="0"/>
        <w:autoSpaceDE w:val="0"/>
        <w:widowControl/>
        <w:spacing w:line="245" w:lineRule="auto" w:before="14" w:after="0"/>
        <w:ind w:left="288" w:right="144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Quand l’action de l’Adhérent contre l’assureur a pour cause le recours d’un tiers, le délai de la prescription ne court que du jour où 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tiers a exercé une action en justice contre l’Adhérent ou a été indemnisé par ce dernier. La prescription est portée à dix ans dans les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260" w:after="0"/>
        <w:ind w:left="10172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15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tabs>
          <w:tab w:pos="717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58110" cy="94996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contrats d’assurance sur la vie lorsque le bénéficiaire est une personne distincte du souscripteur et, dans les contrats d’assurance contre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accidents atteignant les personnes, lorsque les bénéficiaires sont les ayants droit de l’adhérent décédé. Pour les contrats d’assurance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sur la vie, nonobstant les dispositions du 2°, les actions du bénéficiaire sont prescrites au plus tard trente ans à compter du décès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L114-2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prescription est interrompue par une des causes ordinaires d’interruption de la prescription et par la désignation d’experts à la suite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sinistre. L’interruption de la prescription de l’action peut, en outre, résulter de l’envoi d’une lettre recommandée avec accusé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réception adressée par l’assureur à l’Adhérent en ce qui concerne l’action en paiement de la prime et par l’Adhérent à l’assureur en 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qui concerne le règlement de l’indemnité.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L114-3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dérogation à l’article 2254 du code civil, les parties au contrat d’assurance ne peuvent, même d’un commun accord, ni modifier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durée de la prescription, ni ajouter aux causes de suspension ou d’interruption de celle-ci.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4" w:after="0"/>
        <w:ind w:left="290" w:right="2016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  <w:u w:val="single"/>
        </w:rPr>
        <w:t>Conformément au Code civil (Section 3 : Des causes d’interruption de la prescription)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br/>
      </w:r>
      <w:r>
        <w:tab/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2240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reconnaissance par le débiteur du droit de celui contre lequel il prescrivait interrompt le délai de prescription.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2241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La demande en justice, même en référé, interrompt le délai de prescription ainsi que le délai de forclusion. Il en est de même lorsqu’elle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est portée devant une juridiction incompétente ou lorsque l’acte de saisine de la juridiction est annulé par l’effet d’un vice de procédure.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6" w:after="0"/>
        <w:ind w:left="290" w:right="302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2242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L’interruption résultant de la demande en justice produit ses effets jusqu’à l’extinction de l’instance.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2243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L’interruption est non avenue si le demandeur se désiste de sa demande ou laisse périmer l’instance, ou si sa demande est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définitivement rejetée.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2244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délai de prescription ou le délai de forclusion est également interrompu par une mesure conservatoire prise en application du code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procédures civiles d’exécution ou un acte d’exécution forcée.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2245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L’interpellation faite à l’un des débiteurs solidaires par une demande en justice ou par un acte d’exécution forcée ou la reconnaissance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le débiteur du droit de celui contre lequel il prescrivait interrompt le délai de prescription contre tous les autres, même contre leurs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héritiers. En revanche, l’interpellation faite à l’un des héritiers d’un débiteur solidaire ou la reconnaissance de cet héritier n’interrompt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pas le délai de prescription à l’égard des autres cohéritiers, même en cas de créance hypothécaire, si l’obligation est divisible. Cette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interpellation ou cette reconnaissance n’interrompt le délai de prescription, à l’égard des autres codébiteurs, que pour la part dont cet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héritier est tenu. Pour interrompre le délai de prescription pour le tout, à l’égard des autres codébiteurs, il faut l’interpellation faite à tous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héritiers du débiteur décédé ou la reconnaissance de tous ces héritiers.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6" w:after="0"/>
        <w:ind w:left="290" w:right="1728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Article 2246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L’interpellation faite au débiteur principal ou sa reconnaissance interrompt le délai de prescription contre la caution. </w:t>
      </w:r>
    </w:p>
    <w:p>
      <w:pPr>
        <w:autoSpaceDN w:val="0"/>
        <w:autoSpaceDE w:val="0"/>
        <w:widowControl/>
        <w:spacing w:line="192" w:lineRule="auto" w:before="266" w:after="2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24 - EXAMENS DES RECLAMATIONS ET PROCEDURE DE MEDIATION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6"/>
        </w:trPr>
        <w:tc>
          <w:tcPr>
            <w:tcW w:type="dxa" w:w="262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4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1.199999999999818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4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RÉCLAMATIONS </w:t>
            </w:r>
          </w:p>
        </w:tc>
      </w:tr>
    </w:tbl>
    <w:p>
      <w:pPr>
        <w:autoSpaceDN w:val="0"/>
        <w:autoSpaceDE w:val="0"/>
        <w:widowControl/>
        <w:spacing w:line="190" w:lineRule="auto" w:before="12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toute réclamation relative à la distribution, à la gestion de son adhésion ou encore de ses cotisations, l’adhérent doit écrire par : </w:t>
      </w:r>
    </w:p>
    <w:p>
      <w:pPr>
        <w:autoSpaceDN w:val="0"/>
        <w:tabs>
          <w:tab w:pos="1010" w:val="left"/>
        </w:tabs>
        <w:autoSpaceDE w:val="0"/>
        <w:widowControl/>
        <w:spacing w:line="190" w:lineRule="auto" w:before="16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courrier à l’adresse suivante : KIASSURE – 27 Place aux huiles - 13001 MARSEILLE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3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mail à l’adresse : 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>relationclients-gestions@kiassure.com</w:t>
      </w:r>
      <w:r>
        <w:rPr>
          <w:rFonts w:ascii="Poppins" w:hAnsi="Poppins" w:eastAsia="Poppins"/>
          <w:b w:val="0"/>
          <w:i w:val="0"/>
          <w:color w:val="004F83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l’adhésion au contrat a été effectuée par le biais d’un intermédiaire et que la demande relève de son devoir de conseil et d’information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concerne les conditions de commercialisation de l’adhésion, la réclamation doit être exclusivement adressée à cet intermédiaire. </w:t>
      </w:r>
    </w:p>
    <w:p>
      <w:pPr>
        <w:autoSpaceDN w:val="0"/>
        <w:autoSpaceDE w:val="0"/>
        <w:widowControl/>
        <w:spacing w:line="192" w:lineRule="auto" w:before="25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Pour toute réclamation relative à la gestion de ses prestations, l’Adhérent doit écrire par : </w:t>
      </w:r>
    </w:p>
    <w:p>
      <w:pPr>
        <w:autoSpaceDN w:val="0"/>
        <w:tabs>
          <w:tab w:pos="1010" w:val="left"/>
        </w:tabs>
        <w:autoSpaceDE w:val="0"/>
        <w:widowControl/>
        <w:spacing w:line="192" w:lineRule="auto" w:before="14" w:after="0"/>
        <w:ind w:left="6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courrier à l’adresse suivante : CPMS - Service Réclamations – 4 rue auber 75009 PARIS 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mail à l’adresse : </w:t>
      </w: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 xml:space="preserve">qualite@cpms.fr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délais de traitement de la réclamation de l’Adhérent ne peuvent excéder :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dix jours ouvrables à compter de la réception de la réclamation, pour en accuser réception, sauf si la réponse elle-même est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apportée à l’Adhérent dans ce délai,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deux mois entre la date de réception de la réclamation et la date d’envoi de la réponse définitive apportée à l’Adhérent, quelle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que soit l’organisation interne de l’entité ou du groupe auquel elle appartient.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tous les cas, l’Adhérent peut adresser, par écrit, sa réclamation directement à l’Assureur à l’adresse suivante : Acheel, service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réclamation, 128 rue la Boétie, 75008 Paris.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464" w:after="0"/>
        <w:ind w:left="10172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16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MÉDIATION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4861" w:space="0"/>
            <w:col w:w="6516" w:space="0"/>
          </w:cols>
          <w:docGrid w:linePitch="360"/>
        </w:sectPr>
      </w:pPr>
    </w:p>
    <w:p>
      <w:pPr>
        <w:autoSpaceDN w:val="0"/>
        <w:tabs>
          <w:tab w:pos="4470" w:val="left"/>
          <w:tab w:pos="4848" w:val="left"/>
          <w:tab w:pos="5312" w:val="left"/>
        </w:tabs>
        <w:autoSpaceDE w:val="0"/>
        <w:widowControl/>
        <w:spacing w:line="245" w:lineRule="auto" w:before="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le litige persiste, ou en l’absence de réponse, après une première réclamation écrite, l’adhérent peut saisir le Médiateur, deux mois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après cette première réclamation écrite, en écrivant à :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M. le Médiateur de l’Assurance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TSA 50110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75441 Paris Cedex 09 </w:t>
      </w:r>
    </w:p>
    <w:p>
      <w:pPr>
        <w:autoSpaceDN w:val="0"/>
        <w:autoSpaceDE w:val="0"/>
        <w:widowControl/>
        <w:spacing w:line="190" w:lineRule="auto" w:before="256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par voie électronique en complétant le formulaire disponible sur le site internet suivant : </w:t>
      </w:r>
    </w:p>
    <w:p>
      <w:pPr>
        <w:autoSpaceDN w:val="0"/>
        <w:autoSpaceDE w:val="0"/>
        <w:widowControl/>
        <w:spacing w:line="190" w:lineRule="auto" w:before="25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4F83"/>
          <w:sz w:val="16"/>
          <w:u w:val="single"/>
        </w:rPr>
        <w:t>https://www.mediation-assurance.org</w:t>
      </w:r>
      <w:r>
        <w:rPr>
          <w:rFonts w:ascii="Poppins" w:hAnsi="Poppins" w:eastAsia="Poppins"/>
          <w:b w:val="0"/>
          <w:i w:val="0"/>
          <w:color w:val="004F83"/>
          <w:sz w:val="16"/>
        </w:rPr>
        <w:t xml:space="preserve"> </w:t>
      </w:r>
    </w:p>
    <w:p>
      <w:pPr>
        <w:autoSpaceDN w:val="0"/>
        <w:autoSpaceDE w:val="0"/>
        <w:widowControl/>
        <w:spacing w:line="192" w:lineRule="auto" w:before="266" w:after="2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25 – PROTECTION DES DONNEES A CARACTERES PERSONNELLES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4" w:type="dxa"/>
      </w:tblPr>
      <w:tblGrid>
        <w:gridCol w:w="5688"/>
        <w:gridCol w:w="5688"/>
      </w:tblGrid>
      <w:tr>
        <w:trPr>
          <w:trHeight w:hRule="exact" w:val="616"/>
        </w:trPr>
        <w:tc>
          <w:tcPr>
            <w:tcW w:type="dxa" w:w="262"/>
            <w:tcBorders>
              <w:top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2" w:after="0"/>
              <w:ind w:left="2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>1.</w:t>
            </w:r>
          </w:p>
        </w:tc>
        <w:tc>
          <w:tcPr>
            <w:tcW w:type="dxa" w:w="10574"/>
            <w:tcBorders>
              <w:top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2" w:after="0"/>
              <w:ind w:left="12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4F83"/>
                <w:sz w:val="20"/>
              </w:rPr>
              <w:t xml:space="preserve">IDENTIFICATION DU RESPONSABLE DE TRAITEMENT </w:t>
            </w:r>
          </w:p>
        </w:tc>
      </w:tr>
    </w:tbl>
    <w:p>
      <w:pPr>
        <w:autoSpaceDN w:val="0"/>
        <w:autoSpaceDE w:val="0"/>
        <w:widowControl/>
        <w:spacing w:line="245" w:lineRule="auto" w:before="12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clause a pour objet d’informer l’Adhérent de manière plus détaillée des traitements de données à caractère personnel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concernant mis en œuvre par les responsables de traitement mentionnés ci-après et cela, conformément au Règlement (UE) 2016/679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du Parlement Européen et du conseil du 27 avril 2016 relatif à la protection des personnes physiques à l’égard du traitement des données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caractère personnel et à la libre circulation de ces données.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données à caractère personnel recueillies dans le cadre de cette adhésion font l’objet d’un traitement dont le responsable de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traitement est ACHEEL SA en tant qu’Assureur à l’exception des opérations suivantes dont le responsable de traitement concernant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moyens techniques et essentiels en tant que Délégataires, est : </w:t>
      </w:r>
    </w:p>
    <w:p>
      <w:pPr>
        <w:autoSpaceDN w:val="0"/>
        <w:tabs>
          <w:tab w:pos="1442" w:val="left"/>
        </w:tabs>
        <w:autoSpaceDE w:val="0"/>
        <w:widowControl/>
        <w:spacing w:line="192" w:lineRule="auto" w:before="254" w:after="0"/>
        <w:ind w:left="10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Souscription des contrats : KIASSURE – 27 Place aux huiles - 13001 MARSEILLE, </w:t>
      </w:r>
    </w:p>
    <w:p>
      <w:pPr>
        <w:autoSpaceDN w:val="0"/>
        <w:tabs>
          <w:tab w:pos="1442" w:val="left"/>
        </w:tabs>
        <w:autoSpaceDE w:val="0"/>
        <w:widowControl/>
        <w:spacing w:line="192" w:lineRule="auto" w:before="34" w:after="0"/>
        <w:ind w:left="10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de la vie du contrat : KIASSURE – 27 Place aux huiles - 13001 MARSEILLE </w:t>
      </w:r>
    </w:p>
    <w:p>
      <w:pPr>
        <w:autoSpaceDN w:val="0"/>
        <w:tabs>
          <w:tab w:pos="1442" w:val="left"/>
        </w:tabs>
        <w:autoSpaceDE w:val="0"/>
        <w:widowControl/>
        <w:spacing w:line="192" w:lineRule="auto" w:before="14" w:after="0"/>
        <w:ind w:left="10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Encaissement et recouvrement des primes : KIASSURE – 27 Place aux huiles - 13001 MARSEILLE </w:t>
      </w:r>
    </w:p>
    <w:p>
      <w:pPr>
        <w:autoSpaceDN w:val="0"/>
        <w:tabs>
          <w:tab w:pos="1442" w:val="left"/>
        </w:tabs>
        <w:autoSpaceDE w:val="0"/>
        <w:widowControl/>
        <w:spacing w:line="192" w:lineRule="auto" w:before="14" w:after="0"/>
        <w:ind w:left="10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et règlement des sinistres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: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CPMS - Gestion KIASSURE - TSA 10516 - 75427 PARIS cedex 09 </w:t>
      </w:r>
    </w:p>
    <w:p>
      <w:pPr>
        <w:autoSpaceDN w:val="0"/>
        <w:tabs>
          <w:tab w:pos="1442" w:val="left"/>
          <w:tab w:pos="1802" w:val="left"/>
          <w:tab w:pos="2162" w:val="left"/>
        </w:tabs>
        <w:autoSpaceDE w:val="0"/>
        <w:widowControl/>
        <w:spacing w:line="245" w:lineRule="auto" w:before="14" w:after="0"/>
        <w:ind w:left="1082" w:right="46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des réclamations dites de niveau 1 :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KIASSURE – 27 Place aux huiles - 13001 MARSEILLE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CPMS - Service Réclamations – 4 rue auber 75009 PARIS </w:t>
      </w:r>
    </w:p>
    <w:p>
      <w:pPr>
        <w:autoSpaceDN w:val="0"/>
        <w:tabs>
          <w:tab w:pos="1442" w:val="left"/>
        </w:tabs>
        <w:autoSpaceDE w:val="0"/>
        <w:widowControl/>
        <w:spacing w:line="192" w:lineRule="auto" w:before="14" w:after="0"/>
        <w:ind w:left="108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Archivage des pièces de gestion et documents comptables : KIASSURE – 27 Place aux huiles - 13001 MARSEILLE </w:t>
      </w:r>
    </w:p>
    <w:p>
      <w:pPr>
        <w:autoSpaceDN w:val="0"/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LES FINALITÉS DE CE TRAITEMENT </w:t>
      </w:r>
    </w:p>
    <w:p>
      <w:pPr>
        <w:autoSpaceDN w:val="0"/>
        <w:tabs>
          <w:tab w:pos="1082" w:val="left"/>
          <w:tab w:pos="1442" w:val="left"/>
          <w:tab w:pos="1802" w:val="left"/>
          <w:tab w:pos="2162" w:val="left"/>
        </w:tabs>
        <w:autoSpaceDE w:val="0"/>
        <w:widowControl/>
        <w:spacing w:line="245" w:lineRule="auto" w:before="19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de l’adhésion au présent contrat, l’Adhérent est informé que ses données à caractère personnel sont utilisées pour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finalités suivantes :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« Passation, gestion et exécution des contrats d’assurance » sur la base légale de l’article 6,1°, b) du RGPD. Cette finalité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regroupe les traitements suivants : </w:t>
      </w:r>
      <w:r>
        <w:br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Étude des besoins spécifiques de chaque assuré éventuel afin de proposer des contrats adaptés ; </w:t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Examen, acceptation, contrôle et surveillance du risque (« l’appréciation des risques assurantiels ») </w:t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Exécution des garanties du contrat </w:t>
      </w:r>
      <w:r>
        <w:br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du contrat et des clients </w:t>
      </w:r>
      <w:r>
        <w:br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Gestion des réclamations et contentieux </w:t>
      </w:r>
      <w:r>
        <w:br/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Exercice des recours le cas échéant </w:t>
      </w:r>
      <w:r>
        <w:tab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L’élaboration des statistiques et études actuarielles. Cette finalité a pour base juridique l’intérêt légitime du </w:t>
      </w:r>
      <w:r>
        <w:tab/>
      </w:r>
      <w:r>
        <w:tab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responsable de traitement (article 6, 1°f) du RGPD).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ce titre, les catégories de données à caractère personnelles susceptibles d’être collectées et déduites sont (liste non exhaustive) :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données d’identification (état civil, coordonnées…), les données relatives à la gestion du contrat, les données relatives à la situation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familiale, les données nécessaires au paiement de la prime d’assurance, les données relatives à la situation professionnelle, les données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nécessaires à l’appréciation du risque, les données relatives à la détermination ou à l’évaluation des préjudices et des prestations,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données de santé ainsi que le NIR, utilisé dans les conditions prévues par le décret n°2019-341 du 19 avril 2019 relative à la mise en œuvre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traitements comportant l’usage du numéro d’inscription au répertoire national d’identification des personnes physiques ou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nécessitant la consultation de ce répertoire.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176" w:after="0"/>
        <w:ind w:left="10188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17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tabs>
          <w:tab w:pos="717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58110" cy="94996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42" w:val="left"/>
          <w:tab w:pos="1802" w:val="left"/>
          <w:tab w:pos="2162" w:val="left"/>
        </w:tabs>
        <w:autoSpaceDE w:val="0"/>
        <w:widowControl/>
        <w:spacing w:line="245" w:lineRule="auto" w:before="0" w:after="0"/>
        <w:ind w:left="1082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« Prospection commerciale » par voie postale, par appels téléphoniques ou par voie électronique lorsque l’Adhérent est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déjà client pour des biens et services analogues à ceux déjà fournis, sur la base légale de l’article 6, 1°, f) du RGPD (Intérêt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Légitime). Cette finalité regroupe les traitements suivants, notamment :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Actions de fidélisation,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Opérations de parrainage,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Jeux concours, </w:t>
      </w:r>
      <w:r>
        <w:br/>
      </w:r>
      <w:r>
        <w:tab/>
      </w:r>
      <w:r>
        <w:tab/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Opérations de statistiques commerciales </w:t>
      </w:r>
    </w:p>
    <w:p>
      <w:pPr>
        <w:autoSpaceDN w:val="0"/>
        <w:tabs>
          <w:tab w:pos="1442" w:val="left"/>
        </w:tabs>
        <w:autoSpaceDE w:val="0"/>
        <w:widowControl/>
        <w:spacing w:line="245" w:lineRule="auto" w:before="254" w:after="0"/>
        <w:ind w:left="1082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« Prospection commerciale » par voie électronique, sur la base légale de l’article 6, 1°, a) du RGPD (Consentement). Cette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finalité regroupe l’envoi de prospection commerciale par voie électronique (email, SMS…). </w:t>
      </w:r>
    </w:p>
    <w:p>
      <w:pPr>
        <w:autoSpaceDN w:val="0"/>
        <w:autoSpaceDE w:val="0"/>
        <w:widowControl/>
        <w:spacing w:line="245" w:lineRule="auto" w:before="254" w:after="0"/>
        <w:ind w:left="290" w:right="26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Aux titres des finalités « Prospection commerciale « , les catégories de données à caractère personnelles susceptibles d’être collectées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et déduites sont (liste non exhaustive) : les données relatives à l’identification des personnes, les données relatives au suivi de la relation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commerciale, les données du parcours digital, les données relatives à l’organisation et au traitement des jeux-concours, ou de toute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opération promotionnelle. </w:t>
      </w:r>
    </w:p>
    <w:p>
      <w:pPr>
        <w:autoSpaceDN w:val="0"/>
        <w:tabs>
          <w:tab w:pos="1442" w:val="left"/>
        </w:tabs>
        <w:autoSpaceDE w:val="0"/>
        <w:widowControl/>
        <w:spacing w:line="245" w:lineRule="auto" w:before="256" w:after="0"/>
        <w:ind w:left="1082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« La Lutte contre la fraude », sur la base légale de l’article 6,1°, f) du RGPD (Intérêt Légitime). Cette finalité peut, notamment,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conduire à l’inscription sur une liste de personnes présentant un risque de fraude, inscription pouvant avoir pour effet un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allongement de l’étude du dossier de l’Adhérent, voire la réduction ou le refus du bénéfice d’un droit, d’une prestation,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d’un contrat ou service proposés.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À ce titre, les catégories de données à caractère personnelles susceptibles d’être collectées et déduites sont (liste non exhaustive) :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données relatives aux anomalies, incohérences et signalement pouvant révéler une fraude, les données relatives aux investigations,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l’instruction du dossier de fraude et à l’évaluation du périmètre de la fraude, ou encore les données d’identification des personnes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intervenant dans la détection et la gestion de la fraude. </w:t>
      </w:r>
    </w:p>
    <w:p>
      <w:pPr>
        <w:autoSpaceDN w:val="0"/>
        <w:tabs>
          <w:tab w:pos="1442" w:val="left"/>
        </w:tabs>
        <w:autoSpaceDE w:val="0"/>
        <w:widowControl/>
        <w:spacing w:line="245" w:lineRule="auto" w:before="256" w:after="0"/>
        <w:ind w:left="1082" w:right="144" w:firstLine="0"/>
        <w:jc w:val="left"/>
      </w:pP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« Le respect des obligations légales et réglementaires », en particulier « la lutte contre le blanchiment des capitaux et le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financement du terrorisme », sur la base légale de l’article 6, 1°, c) du RGPD (Respect d’une obligation légale). </w:t>
      </w:r>
    </w:p>
    <w:p>
      <w:pPr>
        <w:autoSpaceDN w:val="0"/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co-responsables de traitement s’engagent à ne pas exploiter les données personnelles de l’Adhérent et des bénéficiaires pour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d’autres finalités que celles précitées.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ailleurs, certaines données peuvent émaner d’organismes sociaux de base ou complémentaires, d’organismes professionnels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contribuant à la gestion des contrats d’assurance et de toute autorité administrative habilitée. </w:t>
      </w:r>
    </w:p>
    <w:p>
      <w:pPr>
        <w:autoSpaceDN w:val="0"/>
        <w:autoSpaceDE w:val="0"/>
        <w:widowControl/>
        <w:spacing w:line="245" w:lineRule="auto" w:before="1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informations collectées seront conservées dans des bases de données sécurisées pour toute la durée nécessaire à l’exécution du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contrat d’assurance en référence aux délais de prescriptions légales et sous réserve des obligations légales et réglementaires. </w:t>
      </w:r>
    </w:p>
    <w:p>
      <w:pPr>
        <w:autoSpaceDN w:val="0"/>
        <w:autoSpaceDE w:val="0"/>
        <w:widowControl/>
        <w:spacing w:line="190" w:lineRule="auto" w:before="262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LES DESTINATAIRES OU LES CATÉGORIES DE DESTINATAIRES </w:t>
      </w:r>
    </w:p>
    <w:p>
      <w:pPr>
        <w:autoSpaceDN w:val="0"/>
        <w:autoSpaceDE w:val="0"/>
        <w:widowControl/>
        <w:spacing w:line="245" w:lineRule="auto" w:before="438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Les données concernant l’Adhérent pourront être communiquées en tant que de besoin et au regard des finalités mentionnées ci-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dessus, aux personnels chargés de la gestion commerciale clients/prospects ou de la passation, gestion et l’exécution des contrats,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>délégataires de gestion, les intermédiaires d’assurance, les partenaires et prestataires, les co-responsables de traitement, les sous-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traitants, les assureurs offrant des prestations complémentaires le cas échéant, les réassureurs, les organismes sociaux dès lors que les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régimes sociaux interviennent dans le règlement des sinistres. </w:t>
      </w:r>
    </w:p>
    <w:p>
      <w:pPr>
        <w:autoSpaceDN w:val="0"/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Concernant plus spécifiquement la fraude, les données à caractère personnel pourront être transmises aux personnels en relation avec </w:t>
      </w:r>
      <w:r>
        <w:rPr>
          <w:rFonts w:ascii="Poppins" w:hAnsi="Poppins" w:eastAsia="Poppins"/>
          <w:b w:val="0"/>
          <w:i w:val="0"/>
          <w:color w:val="000000"/>
          <w:sz w:val="16"/>
        </w:rPr>
        <w:t>la clientèle et les gestionnaires de contrats et de sinistre, les personnels habilités en charge de la lutte contre la fraude, de la lutte anti-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blanchiment et du contrôle interne, les inspecteurs, enquêteurs, experts et auditeurs, le personnel habilité de la direction générale,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direction juridique ou encore le service contentieux, les autres responsables de traitement intervenant dans le cadre du dossier fraude,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organismes sociaux, les auxiliaires de justice et officiers ministériels, l’autorité judiciaire, médiateur, s’il y a lieu les victimes de fraudes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leurs représentants.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Concernant plus spécifiquement la lutte contre le blanchiment des capitaux et le financement du terrorisme, et du respect des sanctions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économiques et financières internationales, les personnels habilités du service chargé de la lutte contre le blanchiment, notamment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ceux ayant la qualité de correspondant ou déclarant TRACFIN, la cellule de renseignement financier TRACFIN du ministère de l’économie,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finances et de l’industrie, les autorités de contrôles compétentes au sens du Code Monétaire et Financier.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1434" w:after="0"/>
        <w:ind w:left="10172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18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pgSz w:w="11911" w:h="16841"/>
          <w:pgMar w:top="2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sectPr>
          <w:pgSz w:w="11911" w:h="16841"/>
          <w:pgMar w:top="2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0" w:right="0" w:firstLine="0"/>
        <w:jc w:val="center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4.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LOCALISATION DE TRAITEMENTS DES DONNÉES PERSONNELLES </w:t>
      </w:r>
    </w:p>
    <w:p>
      <w:pPr>
        <w:sectPr>
          <w:type w:val="continuous"/>
          <w:pgSz w:w="11911" w:h="16841"/>
          <w:pgMar w:top="2" w:right="258" w:bottom="76" w:left="276" w:header="720" w:footer="720" w:gutter="0"/>
          <w:cols w:num="2" w:equalWidth="0">
            <w:col w:w="6938" w:space="0"/>
            <w:col w:w="44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56"/>
        <w:sectPr>
          <w:type w:val="nextColumn"/>
          <w:pgSz w:w="11911" w:h="16841"/>
          <w:pgMar w:top="2" w:right="258" w:bottom="76" w:left="276" w:header="720" w:footer="720" w:gutter="0"/>
          <w:cols w:num="2" w:equalWidth="0">
            <w:col w:w="6938" w:space="0"/>
            <w:col w:w="44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co-responsables de traitement ont adopté des normes internes en matière de protection des données et de sécurité informatique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afin de garantir la protection et la sécurité des données de l’Adhérent.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Si des données à caractère personnel de l’Adhérent et des bénéficiaires venaient à être traitées chez un tiers situé dans un pays hors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l’Union européenne et ne présentant pas un niveau de protection des données personnelles reconnu adéquat par la Commission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européenne, les co-responsables de traitement s’assureront que le tiers s’est engagé par contrat, via les clauses contractuelles types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Commission européenne, au respect de la réglementation européenne en matière de protection des données à caractère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personnel.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S’agissant des traitements réalisés par des partenaires externes, une vigilance toute particulière est apportée quant à la localisation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traitements, leur niveau de sécurisation (opérationnel et technique) et le niveau de protection des données personnelles du pays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destinataire, afin de garantir un niveau de protection optimal.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traitements réalisés aujourd’hui hors de l’Espace Économique Européen concernent des traitements de supervision d’infrastructures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(surveillance des plateformes informatiques, surveillance de l’opérabilité des solutions ou gestion des sauvegardes), principalement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opérés par nos partenaires bancaires et les éditeurs de logiciel. Ces traitements opérés depuis des pays tiers font l’objet d’un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encadrement juridique (Clauses contractuelles types, Binding Corporate Rules). </w:t>
      </w:r>
    </w:p>
    <w:p>
      <w:pPr>
        <w:autoSpaceDN w:val="0"/>
        <w:autoSpaceDE w:val="0"/>
        <w:widowControl/>
        <w:spacing w:line="190" w:lineRule="auto" w:before="262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5.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LES DURÉES DE CONSERVATION </w:t>
      </w:r>
    </w:p>
    <w:p>
      <w:pPr>
        <w:autoSpaceDN w:val="0"/>
        <w:autoSpaceDE w:val="0"/>
        <w:widowControl/>
        <w:spacing w:line="245" w:lineRule="auto" w:before="200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durées de conservation des données à caractère personnel traitées dans le cadre de la gestion des contrats d’assurance et de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relation clients avec l’Adhérent et les bénéficiaires varient en fonction des finalités susvisées et sont conformes aux recommandations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CNIL. </w:t>
      </w:r>
    </w:p>
    <w:p>
      <w:pPr>
        <w:autoSpaceDN w:val="0"/>
        <w:autoSpaceDE w:val="0"/>
        <w:widowControl/>
        <w:spacing w:line="245" w:lineRule="auto" w:before="14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tout état de cause, le calcul de ces durées est réalisé en fonction des finalités pour lesquelles les données sont collectées, de la durée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relation contractuelle, des obligations légales des co-responsables et des prescriptions légales applicables.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6.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L’EXERCICE DES DROITS </w:t>
      </w:r>
    </w:p>
    <w:p>
      <w:pPr>
        <w:autoSpaceDN w:val="0"/>
        <w:autoSpaceDE w:val="0"/>
        <w:widowControl/>
        <w:spacing w:line="190" w:lineRule="auto" w:before="200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du traitement que nous effectuons l’Adhérent dispose dans les conditions prévues par la réglementation :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256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D’un droit d’accès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l’Adhérent a le droit d’obtenir du responsable du traitement la confirmation que des données à caractère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personnel le concernant sont ou ne sont pas traitées, et lorsqu’elles le sont, l’accès auxdites données à caractère personnel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ainsi que des informations relatives aux traitements dont il fait l’objet.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6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D’un droit de rectification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l’Adhérent a le droit d’obtenir du responsable du traitement la rectification des données à caractère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personnel la concernant qui sont inexactes.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6" w:after="0"/>
        <w:ind w:left="650" w:right="144" w:firstLine="0"/>
        <w:jc w:val="left"/>
      </w:pP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D’un droit de suppression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L’Adhérent peut obtenir l’effacement des données à caractère personnel le concernant, notamment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les données ne sont plus nécessaires au regard des finalités initiales ou encore lorsqu’il a retiré son consentement. </w:t>
      </w: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Du droit de définir des directives relatives au sort de ses données personnelles en cas de décès.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6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D’un droit à la limitation du traitement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L’Adhérent, en complément de l’exercice d’un droit sur ses données à caractère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personnel, peut demander la limitation du traitement pendant une durée permettant au responsable de traitement de faire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droit ou non à l’exercice de son droit.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D’un droit à la portabilité des données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L’Adhérent peut récupérer dans un format structuré les données qu’il nous a fournies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ces dernières sont nécessaires au contrat ou lorsqu’il a consenti à l’utilisation de ces données. Ces données peuvent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être transmises directement au responsable du traitement de son choix lorsque cela est techniquement possible.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>Droit d’opposition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: L’Adhérent peut s’opposer à tout moment, pour des raisons tenant à sa situation particulière, à un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traitement de données à caractère personnel fondé sur l’intérêt légitime ou concernant la prospection commerciale,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notamment. </w:t>
      </w:r>
    </w:p>
    <w:p>
      <w:pPr>
        <w:autoSpaceDN w:val="0"/>
        <w:tabs>
          <w:tab w:pos="1010" w:val="left"/>
        </w:tabs>
        <w:autoSpaceDE w:val="0"/>
        <w:widowControl/>
        <w:spacing w:line="245" w:lineRule="auto" w:before="14" w:after="0"/>
        <w:ind w:left="65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Décision individuelle automatisée, y compris le profilage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: L’Adhérent a le droit de ne pas faire l’objet d’une décision fondée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exclusivement sur un traitement automatisé, y compris le profilage, produisant des effets juridiques la concernant ou l’affectant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manière significative de façon similaire. Dans le cadre de la souscription et l’exécution du contrat, les risques à assurer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peuvent, à partir d’informations concernant l’Adhérent ou concernant ses biens, être appréciés et quantifiés suivant des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traitements automatisés ou faire intervenir des éléments de profilage le concernant. De tels traitements peuvent avoir un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impact sur la tarification ou l'ajustement des garanties. L’Adhérent dispose du droit d’obtenir une intervention humaine de la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part du responsable du traitement, d’exprimer son point de point de vue et de contester la décision. </w:t>
      </w:r>
    </w:p>
    <w:p>
      <w:pPr>
        <w:autoSpaceDN w:val="0"/>
        <w:autoSpaceDE w:val="0"/>
        <w:widowControl/>
        <w:spacing w:line="245" w:lineRule="auto" w:before="14" w:after="0"/>
        <w:ind w:left="101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Aussi, dans le cadre d’opérations de prospection et afin de permettre à l’Adhérent de bénéficier d’une couverture d’assurance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aussi complète que possible et de bénéficier de produits ou services contribuant à ses besoins de protection en matière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d’assurance, certaines données le concernant ou concernant les risques à assurer, peuvent ou pourront entraîner des décisions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464" w:after="0"/>
        <w:ind w:left="10174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19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2" w:right="258" w:bottom="76" w:left="276" w:header="720" w:footer="720" w:gutter="0"/>
          <w:cols/>
          <w:docGrid w:linePitch="360"/>
        </w:sectPr>
      </w:pPr>
    </w:p>
    <w:p>
      <w:pPr>
        <w:autoSpaceDN w:val="0"/>
        <w:tabs>
          <w:tab w:pos="7172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658110" cy="94996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101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automatisées ou fondées sur le profilage, consistant notamment à lui adresser certaines offres commerciales. L’Adhérent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dispose d’un droit d’opposition à recevoir des offres commerciales basées sur une opération de profilage. </w:t>
      </w:r>
    </w:p>
    <w:p>
      <w:pPr>
        <w:autoSpaceDN w:val="0"/>
        <w:autoSpaceDE w:val="0"/>
        <w:widowControl/>
        <w:spacing w:line="245" w:lineRule="auto" w:before="254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Concernant le consentement, L’Adhérent a le droit de retirer son consentement donné pour un traitement fondé sur cette base. Ce retrait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vaut pour l’avenir et ne remet pas en cause la licéité des traitements déjà effectués. Il est susceptible de rendre l’exécution du contrat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impossible sans être pour autant une cause de résiliation reconnue par le droit des assurances. </w:t>
      </w:r>
    </w:p>
    <w:p>
      <w:pPr>
        <w:autoSpaceDN w:val="0"/>
        <w:autoSpaceDE w:val="0"/>
        <w:widowControl/>
        <w:spacing w:line="245" w:lineRule="auto" w:before="254" w:after="0"/>
        <w:ind w:left="290" w:right="276" w:firstLine="0"/>
        <w:jc w:val="both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L’Adhérent est informé que le retrait de données à caractère personnel nécessaires à l’exécution du contrat est susceptible de rendre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impossible l’exécution du contrat. Dans une telle hypothèse, cette impossibilité d’exécution peut être une cause contractuellement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définie de déchéance de garantie. </w:t>
      </w:r>
    </w:p>
    <w:p>
      <w:pPr>
        <w:autoSpaceDN w:val="0"/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7.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COORDONNÉES DU DÉLÉGUÉ À LA PROTECTION DES DONNÉES PERSONNELLES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45" w:lineRule="auto" w:before="200" w:after="0"/>
        <w:ind w:left="290" w:right="216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peut exercer ses droits sur simple demande :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Auprès de l’Assureur, par mail à l’adresse électronique suivante :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 </w:t>
      </w:r>
      <w:r>
        <w:rPr>
          <w:rFonts w:ascii="Poppins" w:hAnsi="Poppins" w:eastAsia="Poppins"/>
          <w:b/>
          <w:i w:val="0"/>
          <w:color w:val="004F83"/>
          <w:sz w:val="16"/>
          <w:u w:val="single"/>
        </w:rPr>
        <w:hyperlink r:id="rId14" w:history="1">
          <w:r>
            <w:rPr>
              <w:rStyle w:val="Hyperlink"/>
            </w:rPr>
            <w:t>dpo@acheel.com</w:t>
          </w:r>
        </w:hyperlink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>par mail à l’adresse électronique suivante :</w:t>
      </w:r>
      <w:r>
        <w:rPr>
          <w:rFonts w:ascii="Poppins" w:hAnsi="Poppins" w:eastAsia="Poppins"/>
          <w:b/>
          <w:i w:val="0"/>
          <w:color w:val="004F83"/>
          <w:sz w:val="16"/>
          <w:u w:val="single"/>
        </w:rPr>
        <w:t>dpo@kiassure.com</w:t>
      </w:r>
      <w:r>
        <w:rPr>
          <w:rFonts w:ascii="Poppins" w:hAnsi="Poppins" w:eastAsia="Poppins"/>
          <w:b/>
          <w:i w:val="0"/>
          <w:color w:val="004F83"/>
          <w:sz w:val="16"/>
        </w:rPr>
        <w:t xml:space="preserve"> </w:t>
      </w:r>
      <w:r>
        <w:br/>
      </w:r>
      <w:r>
        <w:tab/>
      </w:r>
      <w:r>
        <w:rPr>
          <w:rFonts w:ascii="Poppins" w:hAnsi="Poppins" w:eastAsia="Poppins"/>
          <w:b/>
          <w:i w:val="0"/>
          <w:color w:val="063363"/>
          <w:sz w:val="16"/>
        </w:rPr>
        <w:t>−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courrier papier à l’adresse suivante : KIASSURE – DPO – 27 Place aux huiles - 13001 MARSEILLE. </w:t>
      </w:r>
    </w:p>
    <w:p>
      <w:pPr>
        <w:autoSpaceDN w:val="0"/>
        <w:autoSpaceDE w:val="0"/>
        <w:widowControl/>
        <w:spacing w:line="190" w:lineRule="auto" w:before="262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8.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DROIT D’INTRODUIRE UNE RÉCLAMATION </w:t>
      </w:r>
    </w:p>
    <w:p>
      <w:pPr>
        <w:autoSpaceDN w:val="0"/>
        <w:autoSpaceDE w:val="0"/>
        <w:widowControl/>
        <w:spacing w:line="245" w:lineRule="auto" w:before="200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peut introduire une réclamation auprès de la Commission Nationale de l’Informatique et des Libertés (Cnil – Service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Plaintes – 3 Place de Fontenoy – TSA 80715 – 75334, PARIS CEDEX 07). </w:t>
      </w:r>
    </w:p>
    <w:p>
      <w:pPr>
        <w:autoSpaceDN w:val="0"/>
        <w:autoSpaceDE w:val="0"/>
        <w:widowControl/>
        <w:spacing w:line="190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26 - AUTORITE DE CONTRÔLE </w:t>
      </w:r>
    </w:p>
    <w:p>
      <w:pPr>
        <w:autoSpaceDN w:val="0"/>
        <w:tabs>
          <w:tab w:pos="3452" w:val="left"/>
          <w:tab w:pos="4810" w:val="left"/>
          <w:tab w:pos="4852" w:val="left"/>
        </w:tabs>
        <w:autoSpaceDE w:val="0"/>
        <w:widowControl/>
        <w:spacing w:line="245" w:lineRule="auto" w:before="306" w:after="0"/>
        <w:ind w:left="290" w:right="115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L’autorité chargée du contrôle de l’entreprise d’assurance qui accorde les garanties prévues par la présente adhésion est : 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l’Autorité de Contrôle Prudentiel et de Résolution (ACPR)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4 place de Budapest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75436 Paris Cedex 09. </w:t>
      </w:r>
    </w:p>
    <w:p>
      <w:pPr>
        <w:autoSpaceDN w:val="0"/>
        <w:autoSpaceDE w:val="0"/>
        <w:widowControl/>
        <w:spacing w:line="192" w:lineRule="auto" w:before="266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27 - OPPOSITION AU DEMARCHAGE TELEPHONIQUE </w:t>
      </w:r>
    </w:p>
    <w:p>
      <w:pPr>
        <w:autoSpaceDN w:val="0"/>
        <w:autoSpaceDE w:val="0"/>
        <w:widowControl/>
        <w:spacing w:line="245" w:lineRule="auto" w:before="30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Conformément aux dispositions des articles L. 223-1 et L. 223-2 du Code de la consommation, l’Adhérent est informé qu’il existe une liste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d’opposition gratuite au démarchage téléphonique sur laquelle il peut s’inscrire à l’adresse suivante : bloctel.gouv.fr. </w:t>
      </w:r>
    </w:p>
    <w:p>
      <w:pPr>
        <w:autoSpaceDN w:val="0"/>
        <w:autoSpaceDE w:val="0"/>
        <w:widowControl/>
        <w:spacing w:line="245" w:lineRule="auto" w:before="25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Cette inscription permet à l’Adhérent de ne pas être sollicité par démarchage téléphonique sur des produits d’assurance auxquels il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n’aurait pas souscrit. En tout état de cause l’inscription sur cette liste n’interdit pas de joindre téléphoniquement l’Adhérent dans le cadre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l’exécution d’un contrat en cours et ayant un rapport avec l'objet de son contrat, y compris lorsqu'il s'agit de lui proposer des produits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des services afférents ou complémentaires à l'objet du contrat en cours ou de nature à améliorer ses performances ou sa qualité. </w:t>
      </w:r>
    </w:p>
    <w:p>
      <w:pPr>
        <w:autoSpaceDN w:val="0"/>
        <w:autoSpaceDE w:val="0"/>
        <w:widowControl/>
        <w:spacing w:line="190" w:lineRule="auto" w:before="268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28 - DROIT DE RENONCIATION </w:t>
      </w:r>
    </w:p>
    <w:p>
      <w:pPr>
        <w:autoSpaceDN w:val="0"/>
        <w:autoSpaceDE w:val="0"/>
        <w:widowControl/>
        <w:spacing w:line="192" w:lineRule="auto" w:before="304" w:after="0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Conformément au Code des assurances, l’Adhérent dispose d’un droit de renonciation au présent contrat. </w:t>
      </w:r>
    </w:p>
    <w:p>
      <w:pPr>
        <w:autoSpaceDN w:val="0"/>
        <w:tabs>
          <w:tab w:pos="650" w:val="left"/>
        </w:tabs>
        <w:autoSpaceDE w:val="0"/>
        <w:widowControl/>
        <w:spacing w:line="190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1. 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Si le Contrat est vendu à distance (Article L. 112-2-1 du Code des assurances) </w:t>
      </w:r>
    </w:p>
    <w:p>
      <w:pPr>
        <w:autoSpaceDN w:val="0"/>
        <w:autoSpaceDE w:val="0"/>
        <w:widowControl/>
        <w:spacing w:line="245" w:lineRule="auto" w:before="202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d’une vente à distance, l’Adhérent dispose d’un délai de renonciation de quatorze (14) jours calendaires révolus à compter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 la date de signature de son contrat, soit à compter du jour où l’Adhérent a reçu les conditions contractuelles et les informations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particulières si cette dernière date est postérieure. </w:t>
      </w:r>
    </w:p>
    <w:p>
      <w:pPr>
        <w:autoSpaceDN w:val="0"/>
        <w:autoSpaceDE w:val="0"/>
        <w:widowControl/>
        <w:spacing w:line="192" w:lineRule="auto" w:before="260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2.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Si le Contrat est vendu par démarchage (Article L. 112-9 du Code des assurances) </w:t>
      </w:r>
    </w:p>
    <w:p>
      <w:pPr>
        <w:autoSpaceDN w:val="0"/>
        <w:autoSpaceDE w:val="0"/>
        <w:widowControl/>
        <w:spacing w:line="245" w:lineRule="auto" w:before="200" w:after="0"/>
        <w:ind w:left="290" w:right="268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Dans le cadre d’une vente par démarchage, c’est-à-dire par sollicitation d’un client, même à sa demande, à son domicile, sa résidence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sur son lieu de travail, en vue de lui proposer la souscription d’un contrat, l’Adhérent dispose d’un délai de renonciation de quatorze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(14) jours calendaires révolus à compter du jour de la conclusion du contrat d’assurance.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970" w:after="0"/>
        <w:ind w:left="10138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20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04F83"/>
          <w:sz w:val="20"/>
        </w:rPr>
        <w:t>3.</w:t>
      </w:r>
      <w:r>
        <w:rPr>
          <w:rFonts w:ascii="Poppins SemiBold" w:hAnsi="Poppins SemiBold" w:eastAsia="Poppins SemiBold"/>
          <w:b/>
          <w:i w:val="0"/>
          <w:color w:val="004F83"/>
          <w:sz w:val="20"/>
        </w:rPr>
        <w:t xml:space="preserve">Modalités d’exercice du droit de renonciation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6230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1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6230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90" w:right="331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Lorsque l’Adhérent exerce son droit de renonciation, il doit écrire un courrier à l’adresse suivante :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KIASSURE – 27 Place aux huiles - 13001 MARSEILLE. </w:t>
      </w:r>
    </w:p>
    <w:p>
      <w:pPr>
        <w:autoSpaceDN w:val="0"/>
        <w:autoSpaceDE w:val="0"/>
        <w:widowControl/>
        <w:spacing w:line="245" w:lineRule="auto" w:before="25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L’assureur rembourse la cotisation perçue de l’adhérent en application de l’adhésion, à l’exception du montant qui lui est dû en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contrepartie du commencement d’exécution. </w:t>
      </w:r>
    </w:p>
    <w:p>
      <w:pPr>
        <w:autoSpaceDN w:val="0"/>
        <w:autoSpaceDE w:val="0"/>
        <w:widowControl/>
        <w:spacing w:line="245" w:lineRule="auto" w:before="16" w:after="0"/>
        <w:ind w:left="290" w:right="266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remboursement intervient au plus tard dans les trente (30) jours suivant la réception par l’assureur de la notification de la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renonciation. Toutefois, si des prestations ont été versées, l’adhérent devra les restituer intégralement, préalablement à la restitution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cotisations. </w:t>
      </w:r>
    </w:p>
    <w:p>
      <w:pPr>
        <w:autoSpaceDN w:val="0"/>
        <w:autoSpaceDE w:val="0"/>
        <w:widowControl/>
        <w:spacing w:line="190" w:lineRule="auto" w:before="256" w:after="242"/>
        <w:ind w:left="2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est invité à utiliser le modèle de renonciation suivant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3408"/>
        </w:trPr>
        <w:tc>
          <w:tcPr>
            <w:tcW w:type="dxa" w:w="110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92" w:right="748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Nom, Prénom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Adresse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N° du contrat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Mode paiement :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Montant de la cotisation déjà acquittée 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Madame, Monsieur,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Conformément au code des assurances, j’entends par la présente renoncer au contrat d’assurance cité en référence que j’ai souscrit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le : xx/xx/xxxx. </w:t>
            </w:r>
          </w:p>
          <w:p>
            <w:pPr>
              <w:autoSpaceDN w:val="0"/>
              <w:autoSpaceDE w:val="0"/>
              <w:widowControl/>
              <w:spacing w:line="192" w:lineRule="auto" w:before="14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Je souhaite donc qu’il soit résilié à compter de la date de réception de cet écrit par vos soins. </w:t>
            </w:r>
          </w:p>
          <w:p>
            <w:pPr>
              <w:autoSpaceDN w:val="0"/>
              <w:autoSpaceDE w:val="0"/>
              <w:widowControl/>
              <w:spacing w:line="192" w:lineRule="auto" w:before="14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Je vous prie d’agréer, Madame, Monsieur, l’expression de mes salutations distinguées. </w:t>
            </w:r>
          </w:p>
          <w:p>
            <w:pPr>
              <w:autoSpaceDN w:val="0"/>
              <w:autoSpaceDE w:val="0"/>
              <w:widowControl/>
              <w:spacing w:line="245" w:lineRule="auto" w:before="254" w:after="0"/>
              <w:ind w:left="92" w:right="964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 xml:space="preserve">Fait à xx, le xx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Signatu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re</w:t>
            </w:r>
          </w:p>
        </w:tc>
      </w:tr>
    </w:tbl>
    <w:p>
      <w:pPr>
        <w:autoSpaceDN w:val="0"/>
        <w:autoSpaceDE w:val="0"/>
        <w:widowControl/>
        <w:spacing w:line="192" w:lineRule="auto" w:before="268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29 – TAUX DE REDISTRIBUTION ET DE FRAIS DE GESTION </w:t>
      </w:r>
    </w:p>
    <w:p>
      <w:pPr>
        <w:autoSpaceDN w:val="0"/>
        <w:autoSpaceDE w:val="0"/>
        <w:widowControl/>
        <w:spacing w:line="245" w:lineRule="auto" w:before="306" w:after="0"/>
        <w:ind w:left="290" w:right="43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En application de l’arrêté du 6 mai 2020 précisant les modalités de communication liées aux frais de gestion, ACHEEL communique à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l’Adhérent le détail des taux relatifs à ses contrats frais de santé au titre de l’année 2023. </w:t>
      </w:r>
    </w:p>
    <w:p>
      <w:pPr>
        <w:autoSpaceDN w:val="0"/>
        <w:tabs>
          <w:tab w:pos="574" w:val="left"/>
        </w:tabs>
        <w:autoSpaceDE w:val="0"/>
        <w:widowControl/>
        <w:spacing w:line="245" w:lineRule="auto" w:before="254" w:after="0"/>
        <w:ind w:left="290" w:right="288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taux de redistribution s’élève à 63%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ratio entre le montant des prestations versées pour le remboursement et l’indemnisation des frais occasionnés par une maladie,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une maternité ou un accident et le montant des cotisations ou primes afférentes à ces garanties représente la part des cotisations ou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primes collectées, hors taxes, par l’organisme assureur au titre de l’ensemble des garanties couvrant le remboursement ou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l’indemnisation des frais précités, qui est utilisée pour le versement des prestations correspondant à ces garanties. </w:t>
      </w:r>
    </w:p>
    <w:p>
      <w:pPr>
        <w:autoSpaceDN w:val="0"/>
        <w:tabs>
          <w:tab w:pos="574" w:val="left"/>
        </w:tabs>
        <w:autoSpaceDE w:val="0"/>
        <w:widowControl/>
        <w:spacing w:line="245" w:lineRule="auto" w:before="254" w:after="0"/>
        <w:ind w:left="290" w:right="144" w:firstLine="0"/>
        <w:jc w:val="left"/>
      </w:pPr>
      <w:r>
        <w:rPr>
          <w:rFonts w:ascii="Symbol" w:hAnsi="Symbol" w:eastAsia="Symbol"/>
          <w:b w:val="0"/>
          <w:i w:val="0"/>
          <w:color w:val="004F83"/>
          <w:sz w:val="16"/>
        </w:rPr>
        <w:t>•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 montant total des frais de gestion, exprimé en pourcentage des cotisations hors taxes, s’élève à 35%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 ratio entre le montant total des frais de gestion au titre du remboursement et de l’indemnisation des frais occasionnés par une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maladie, une maternité ou un accident et le montant des cotisations ou primes afférentes à ces garanties représente la part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cotisations ou primes collectées, hors taxes, par l’organisme assureur au titre de l’ensemble des garanties couvrant le remboursement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ou l’indemnisation des frais précités, qui est utilisée pour le financement des frais de gestion. </w:t>
      </w:r>
    </w:p>
    <w:p>
      <w:pPr>
        <w:autoSpaceDN w:val="0"/>
        <w:autoSpaceDE w:val="0"/>
        <w:widowControl/>
        <w:spacing w:line="245" w:lineRule="auto" w:before="256" w:after="0"/>
        <w:ind w:left="290" w:right="576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Ces frais de gestion recouvrent l’ensemble des sommes engagées pour concevoir les contrats, les commercialiser (dont le réseau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commercial, le marketing, les commissions des intermédiaires), les souscrire (dont l’encaissement des cotisations, la gestion des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résiliations, le suivi comptable et juridique) et les gérer (dont le remboursement, la gestion du tiers payant, l’information client,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l’assistance, les services, les prestations complémentaires), c’est-à-dire accomplir toutes les tâches incombant à l’organisme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assureur dans le respect des garanties contractuelles.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2506" w:after="0"/>
        <w:ind w:left="10184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21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sectPr>
          <w:pgSz w:w="11911" w:h="16841"/>
          <w:pgMar w:top="4" w:right="258" w:bottom="76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20520" cy="6350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0" w:lineRule="auto" w:before="188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30 - FAUSSE DECLARATION </w:t>
      </w:r>
    </w:p>
    <w:p>
      <w:pPr>
        <w:sectPr>
          <w:type w:val="continuous"/>
          <w:pgSz w:w="11911" w:h="16841"/>
          <w:pgMar w:top="4" w:right="258" w:bottom="76" w:left="276" w:header="720" w:footer="720" w:gutter="0"/>
          <w:cols w:num="2" w:equalWidth="0">
            <w:col w:w="6198" w:space="0"/>
            <w:col w:w="51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58110" cy="94996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94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56"/>
        <w:sectPr>
          <w:type w:val="nextColumn"/>
          <w:pgSz w:w="11911" w:h="16841"/>
          <w:pgMar w:top="4" w:right="258" w:bottom="76" w:left="276" w:header="720" w:footer="720" w:gutter="0"/>
          <w:cols w:num="2" w:equalWidth="0">
            <w:col w:w="6198" w:space="0"/>
            <w:col w:w="5180" w:space="0"/>
          </w:cols>
          <w:docGrid w:linePitch="360"/>
        </w:sectPr>
      </w:pPr>
    </w:p>
    <w:p>
      <w:pPr>
        <w:autoSpaceDN w:val="0"/>
        <w:autoSpaceDE w:val="0"/>
        <w:widowControl/>
        <w:spacing w:line="2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1246"/>
        </w:trPr>
        <w:tc>
          <w:tcPr>
            <w:tcW w:type="dxa" w:w="11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108" w:right="74" w:firstLine="0"/>
              <w:jc w:val="both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Toute réticence ou fausse déclaration intentionnelle de la part de l’Adhérent, quand cette réticence ou fausse déclaration change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l’objet du risque ou en diminue l’opinion pour l’assureur, entraîne pour l’Adhérent et ses ayants-droits la nullité de son contrat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d’assurance au titre de l’article L. 113-8 du Code des assurances. 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Les primes payées demeurent alors acquises à l’assureur, qui a droit au paiement de toutes les primes échues à titre de dommages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et intér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>êt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s. </w:t>
            </w:r>
          </w:p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11377"/>
      </w:tblGrid>
      <w:tr>
        <w:trPr>
          <w:trHeight w:hRule="exact" w:val="1726"/>
        </w:trPr>
        <w:tc>
          <w:tcPr>
            <w:tcW w:type="dxa" w:w="11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Toute omission ou déclaration inexacte de la part de l’Adhérent dont la mauvaise foi n’est pas établie n’entraîne par la nullité du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contrat d’assurance. </w:t>
            </w:r>
          </w:p>
          <w:p>
            <w:pPr>
              <w:autoSpaceDN w:val="0"/>
              <w:autoSpaceDE w:val="0"/>
              <w:widowControl/>
              <w:spacing w:line="245" w:lineRule="auto" w:before="14" w:after="0"/>
              <w:ind w:left="108" w:right="74" w:firstLine="0"/>
              <w:jc w:val="both"/>
            </w:pP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Conformément à l’article L. 113-9 du Code des assurances, si cette omission ou déclaration inexacte et non intentionnelle est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constatée avant tout sinistre, l’assureur a le droit soit de maintenir le contrat, moyennant une augmentation de prime acceptée par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l’assuré, soit de résilier le contrat dix (10) jours après notification à l’assuré. Dans le cas où la constatation n’a lieu qu’après un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sinistre, l’indemnité d’assurance est réduite en proportion du taux des primes payées par rapport au taux des primes qui auraient </w:t>
            </w:r>
            <w:r>
              <w:rPr>
                <w:rFonts w:ascii="Poppins" w:hAnsi="Poppins" w:eastAsia="Poppins"/>
                <w:b/>
                <w:i w:val="0"/>
                <w:color w:val="000000"/>
                <w:sz w:val="16"/>
              </w:rPr>
              <w:t xml:space="preserve">été dues, si les risques avaient été complétement et exactement déclarés. </w:t>
            </w:r>
          </w:p>
        </w:tc>
      </w:tr>
    </w:tbl>
    <w:p>
      <w:pPr>
        <w:autoSpaceDN w:val="0"/>
        <w:autoSpaceDE w:val="0"/>
        <w:widowControl/>
        <w:spacing w:line="192" w:lineRule="auto" w:before="268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31 - DECHEANCE </w:t>
      </w:r>
    </w:p>
    <w:p>
      <w:pPr>
        <w:autoSpaceDN w:val="0"/>
        <w:autoSpaceDE w:val="0"/>
        <w:widowControl/>
        <w:spacing w:line="245" w:lineRule="auto" w:before="334" w:after="0"/>
        <w:ind w:left="290" w:right="276" w:firstLine="0"/>
        <w:jc w:val="both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Toute fausse déclaration sur la date, la nature, les causes, les circonstances et les conséquences d’un événement à l’origine de la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demande de règlement entraîne la déchéance de tout droit à garantie. Il est en est de même en cas de faux documents, faux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renseignements ou de l’absence de production de pièces. </w:t>
      </w:r>
    </w:p>
    <w:p>
      <w:pPr>
        <w:autoSpaceDN w:val="0"/>
        <w:autoSpaceDE w:val="0"/>
        <w:widowControl/>
        <w:spacing w:line="245" w:lineRule="auto" w:before="14" w:after="0"/>
        <w:ind w:left="290" w:right="276" w:firstLine="0"/>
        <w:jc w:val="both"/>
      </w:pPr>
      <w:r>
        <w:rPr>
          <w:rFonts w:ascii="Poppins" w:hAnsi="Poppins" w:eastAsia="Poppins"/>
          <w:b/>
          <w:i w:val="0"/>
          <w:color w:val="000000"/>
          <w:sz w:val="16"/>
        </w:rPr>
        <w:t xml:space="preserve">L’Assureur se réserve le droit de procéder à tout contrôle des informations transmises lors de la gestion des prestations. Les 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prestations déjà réglées pour un événement en cause doivent être remboursées à l’assureur, sans préjudice d’une possible </w:t>
      </w:r>
      <w:r>
        <w:rPr>
          <w:rFonts w:ascii="Poppins" w:hAnsi="Poppins" w:eastAsia="Poppins"/>
          <w:b/>
          <w:i w:val="0"/>
          <w:color w:val="000000"/>
          <w:sz w:val="16"/>
        </w:rPr>
        <w:t>demand</w:t>
      </w:r>
      <w:r>
        <w:rPr>
          <w:rFonts w:ascii="Poppins" w:hAnsi="Poppins" w:eastAsia="Poppins"/>
          <w:b/>
          <w:i w:val="0"/>
          <w:color w:val="000000"/>
          <w:sz w:val="16"/>
        </w:rPr>
        <w:t>e</w:t>
      </w:r>
      <w:r>
        <w:rPr>
          <w:rFonts w:ascii="Poppins" w:hAnsi="Poppins" w:eastAsia="Poppins"/>
          <w:b/>
          <w:i w:val="0"/>
          <w:color w:val="000000"/>
          <w:sz w:val="16"/>
        </w:rPr>
        <w:t xml:space="preserve"> de dommages et intérêts en justice. </w:t>
      </w:r>
    </w:p>
    <w:p>
      <w:pPr>
        <w:autoSpaceDN w:val="0"/>
        <w:autoSpaceDE w:val="0"/>
        <w:widowControl/>
        <w:spacing w:line="192" w:lineRule="auto" w:before="294" w:after="0"/>
        <w:ind w:left="290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28"/>
        </w:rPr>
        <w:t xml:space="preserve">ARTICLE 32 - JURIDICTION COMPETENTE </w:t>
      </w:r>
    </w:p>
    <w:p>
      <w:pPr>
        <w:autoSpaceDN w:val="0"/>
        <w:autoSpaceDE w:val="0"/>
        <w:widowControl/>
        <w:spacing w:line="245" w:lineRule="auto" w:before="306" w:after="0"/>
        <w:ind w:left="290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A défaut de règlement amiable, toute difficulté entre les parties liées à l’exécution ou à l’interprétation du contrat sera portée devant le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tribunal français compétent. </w:t>
      </w:r>
    </w:p>
    <w:p>
      <w:pPr>
        <w:autoSpaceDN w:val="0"/>
        <w:tabs>
          <w:tab w:pos="10368" w:val="left"/>
        </w:tabs>
        <w:autoSpaceDE w:val="0"/>
        <w:widowControl/>
        <w:spacing w:line="245" w:lineRule="auto" w:before="7048" w:after="0"/>
        <w:ind w:left="10150" w:right="144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6"/>
        </w:rPr>
        <w:t xml:space="preserve">Page 22 | 22 </w:t>
      </w:r>
      <w:r>
        <w:br/>
      </w:r>
      <w:r>
        <w:tab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IZYNI-06/2024 </w:t>
      </w:r>
    </w:p>
    <w:sectPr w:rsidR="00FC693F" w:rsidRPr="0006063C" w:rsidSect="00034616">
      <w:type w:val="continuous"/>
      <w:pgSz w:w="11911" w:h="16841"/>
      <w:pgMar w:top="4" w:right="258" w:bottom="76" w:left="2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mailto:contact@kiassure.com" TargetMode="External"/><Relationship Id="rId13" Type="http://schemas.openxmlformats.org/officeDocument/2006/relationships/hyperlink" Target="http://www.cpms.fr/" TargetMode="External"/><Relationship Id="rId14" Type="http://schemas.openxmlformats.org/officeDocument/2006/relationships/hyperlink" Target="mailto:dpo@ache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