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4576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1651000</wp:posOffset>
            </wp:positionH>
            <wp:positionV relativeFrom="page">
              <wp:posOffset>800100</wp:posOffset>
            </wp:positionV>
            <wp:extent cx="76200" cy="63500"/>
            <wp:wrapNone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635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1562100</wp:posOffset>
            </wp:positionH>
            <wp:positionV relativeFrom="page">
              <wp:posOffset>927100</wp:posOffset>
            </wp:positionV>
            <wp:extent cx="38100" cy="50800"/>
            <wp:wrapNone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1854200</wp:posOffset>
            </wp:positionH>
            <wp:positionV relativeFrom="page">
              <wp:posOffset>1828800</wp:posOffset>
            </wp:positionV>
            <wp:extent cx="25400" cy="25400"/>
            <wp:wrapNone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1485900</wp:posOffset>
            </wp:positionH>
            <wp:positionV relativeFrom="page">
              <wp:posOffset>1828800</wp:posOffset>
            </wp:positionV>
            <wp:extent cx="25400" cy="25400"/>
            <wp:wrapNone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1511300</wp:posOffset>
            </wp:positionH>
            <wp:positionV relativeFrom="page">
              <wp:posOffset>1638300</wp:posOffset>
            </wp:positionV>
            <wp:extent cx="63500" cy="25400"/>
            <wp:wrapNone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1612900</wp:posOffset>
            </wp:positionH>
            <wp:positionV relativeFrom="page">
              <wp:posOffset>1358900</wp:posOffset>
            </wp:positionV>
            <wp:extent cx="25400" cy="25400"/>
            <wp:wrapNone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1574800</wp:posOffset>
            </wp:positionH>
            <wp:positionV relativeFrom="page">
              <wp:posOffset>1320800</wp:posOffset>
            </wp:positionV>
            <wp:extent cx="25400" cy="25400"/>
            <wp:wrapNone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1612900</wp:posOffset>
            </wp:positionH>
            <wp:positionV relativeFrom="page">
              <wp:posOffset>1231900</wp:posOffset>
            </wp:positionV>
            <wp:extent cx="25400" cy="25400"/>
            <wp:wrapNone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1828800</wp:posOffset>
            </wp:positionH>
            <wp:positionV relativeFrom="page">
              <wp:posOffset>901700</wp:posOffset>
            </wp:positionV>
            <wp:extent cx="25400" cy="38100"/>
            <wp:wrapNone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1892300</wp:posOffset>
            </wp:positionH>
            <wp:positionV relativeFrom="page">
              <wp:posOffset>660400</wp:posOffset>
            </wp:positionV>
            <wp:extent cx="50800" cy="38100"/>
            <wp:wrapNone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-15240</wp:posOffset>
            </wp:positionH>
            <wp:positionV relativeFrom="page">
              <wp:posOffset>-19050</wp:posOffset>
            </wp:positionV>
            <wp:extent cx="7578090" cy="4688602"/>
            <wp:wrapNone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578090" cy="4688602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1397000</wp:posOffset>
            </wp:positionH>
            <wp:positionV relativeFrom="page">
              <wp:posOffset>2222500</wp:posOffset>
            </wp:positionV>
            <wp:extent cx="38100" cy="38100"/>
            <wp:wrapNone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1371600</wp:posOffset>
            </wp:positionH>
            <wp:positionV relativeFrom="page">
              <wp:posOffset>1879600</wp:posOffset>
            </wp:positionV>
            <wp:extent cx="63500" cy="63500"/>
            <wp:wrapNone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635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1955800</wp:posOffset>
            </wp:positionH>
            <wp:positionV relativeFrom="page">
              <wp:posOffset>1816100</wp:posOffset>
            </wp:positionV>
            <wp:extent cx="38100" cy="38100"/>
            <wp:wrapNone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1968500</wp:posOffset>
            </wp:positionH>
            <wp:positionV relativeFrom="page">
              <wp:posOffset>1803400</wp:posOffset>
            </wp:positionV>
            <wp:extent cx="38100" cy="38100"/>
            <wp:wrapNone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1625600</wp:posOffset>
            </wp:positionH>
            <wp:positionV relativeFrom="page">
              <wp:posOffset>1066800</wp:posOffset>
            </wp:positionV>
            <wp:extent cx="50800" cy="63500"/>
            <wp:wrapNone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635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660400</wp:posOffset>
            </wp:positionH>
            <wp:positionV relativeFrom="page">
              <wp:posOffset>9118600</wp:posOffset>
            </wp:positionV>
            <wp:extent cx="1866900" cy="1574800"/>
            <wp:wrapNone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574800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1906"/>
      </w:tblGrid>
      <w:tr>
        <w:trPr>
          <w:trHeight w:hRule="exact" w:val="1270"/>
        </w:trPr>
        <w:tc>
          <w:tcPr>
            <w:tcW w:type="dxa" w:w="11906"/>
            <w:tcBorders>
              <w:top w:sz="16.0" w:val="single" w:color="#FFFFFF"/>
            </w:tcBorders>
            <w:shd w:fill="03569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08" w:lineRule="exact" w:before="356" w:after="0"/>
              <w:ind w:left="0" w:right="0" w:firstLine="0"/>
              <w:jc w:val="center"/>
            </w:pPr>
            <w:r>
              <w:rPr>
                <w:rFonts w:ascii="BrandingSF" w:hAnsi="BrandingSF" w:eastAsia="BrandingSF"/>
                <w:b/>
                <w:i w:val="0"/>
                <w:color w:val="FFFFFF"/>
                <w:sz w:val="60"/>
              </w:rPr>
              <w:t>LES POINTS FORTS DU PRODUIT</w:t>
            </w:r>
          </w:p>
        </w:tc>
      </w:tr>
    </w:tbl>
    <w:p>
      <w:pPr>
        <w:autoSpaceDN w:val="0"/>
        <w:autoSpaceDE w:val="0"/>
        <w:widowControl/>
        <w:spacing w:line="408" w:lineRule="exact" w:before="322" w:after="338"/>
        <w:ind w:left="1152" w:right="1296" w:firstLine="0"/>
        <w:jc w:val="center"/>
      </w:pPr>
      <w:r>
        <w:rPr>
          <w:rFonts w:ascii="Montserrat" w:hAnsi="Montserrat" w:eastAsia="Montserrat"/>
          <w:b/>
          <w:i w:val="0"/>
          <w:color w:val="03579E"/>
          <w:sz w:val="34"/>
        </w:rPr>
        <w:t xml:space="preserve">UNE  COMPLÉMENTAIRE SANTÉ NON RESPONSABLE </w:t>
      </w:r>
      <w:r>
        <w:rPr>
          <w:rFonts w:ascii="Montserrat" w:hAnsi="Montserrat" w:eastAsia="Montserrat"/>
          <w:b/>
          <w:i w:val="0"/>
          <w:color w:val="03579E"/>
          <w:sz w:val="34"/>
        </w:rPr>
        <w:t xml:space="preserve">COMPÉTITIVE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40.0" w:type="dxa"/>
      </w:tblPr>
      <w:tblGrid>
        <w:gridCol w:w="5953"/>
        <w:gridCol w:w="5953"/>
      </w:tblGrid>
      <w:tr>
        <w:trPr>
          <w:trHeight w:hRule="exact" w:val="1156"/>
        </w:trPr>
        <w:tc>
          <w:tcPr>
            <w:tcW w:type="dxa" w:w="2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38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20700" cy="5334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700" cy="533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46" w:after="0"/>
              <w:ind w:left="984" w:right="288" w:firstLine="0"/>
              <w:jc w:val="left"/>
            </w:pPr>
            <w:r>
              <w:rPr>
                <w:rFonts w:ascii="BrandingSF" w:hAnsi="BrandingSF" w:eastAsia="BrandingSF"/>
                <w:b/>
                <w:i w:val="0"/>
                <w:color w:val="03579E"/>
                <w:sz w:val="24"/>
              </w:rPr>
              <w:t xml:space="preserve">DES REMBOURSEMENTS RENFORCÉS QUI COUVRENT LES </w:t>
            </w:r>
            <w:r>
              <w:rPr>
                <w:rFonts w:ascii="BrandingSF" w:hAnsi="BrandingSF" w:eastAsia="BrandingSF"/>
                <w:b/>
                <w:i w:val="0"/>
                <w:color w:val="03579E"/>
                <w:sz w:val="24"/>
              </w:rPr>
              <w:t xml:space="preserve">BESOINS ESSENTIELS </w:t>
            </w:r>
          </w:p>
          <w:p>
            <w:pPr>
              <w:autoSpaceDN w:val="0"/>
              <w:autoSpaceDE w:val="0"/>
              <w:widowControl/>
              <w:spacing w:line="278" w:lineRule="exact" w:before="276" w:after="0"/>
              <w:ind w:left="984" w:right="0" w:firstLine="0"/>
              <w:jc w:val="left"/>
            </w:pPr>
            <w:r>
              <w:rPr>
                <w:rFonts w:ascii="HelveticaNeueLTStd" w:hAnsi="HelveticaNeueLTStd" w:eastAsia="HelveticaNeueLTStd"/>
                <w:b w:val="0"/>
                <w:i w:val="0"/>
                <w:color w:val="000000"/>
                <w:sz w:val="20"/>
              </w:rPr>
              <w:t xml:space="preserve">•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20"/>
              </w:rPr>
              <w:t xml:space="preserve"> Une prise en charge compétitive des soins courants avec un </w:t>
            </w:r>
          </w:p>
        </w:tc>
      </w:tr>
    </w:tbl>
    <w:p>
      <w:pPr>
        <w:autoSpaceDN w:val="0"/>
        <w:autoSpaceDE w:val="0"/>
        <w:widowControl/>
        <w:spacing w:line="14" w:lineRule="exact" w:before="0" w:after="114"/>
        <w:ind w:left="0" w:right="0"/>
      </w:pPr>
    </w:p>
    <w:p>
      <w:pPr>
        <w:sectPr>
          <w:pgSz w:w="11906" w:h="16838"/>
          <w:pgMar w:top="1440" w:right="0" w:bottom="238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76" w:lineRule="exact" w:before="0" w:after="0"/>
        <w:ind w:left="864" w:right="288" w:firstLine="0"/>
        <w:jc w:val="center"/>
      </w:pPr>
      <w:r>
        <w:rPr>
          <w:rFonts w:ascii="BrandingSF" w:hAnsi="BrandingSF" w:eastAsia="BrandingSF"/>
          <w:b/>
          <w:i w:val="0"/>
          <w:color w:val="000000"/>
          <w:sz w:val="24"/>
        </w:rPr>
        <w:t xml:space="preserve">ADHÉSION À PARTIR DE </w:t>
      </w:r>
      <w:r>
        <w:br/>
      </w:r>
      <w:r>
        <w:rPr>
          <w:rFonts w:ascii="BrandingSF" w:hAnsi="BrandingSF" w:eastAsia="BrandingSF"/>
          <w:b/>
          <w:i w:val="0"/>
          <w:color w:val="000000"/>
          <w:sz w:val="24"/>
        </w:rPr>
        <w:t xml:space="preserve">18 ANS ET SANS LIMITE D’ÂGE </w:t>
      </w:r>
    </w:p>
    <w:p>
      <w:pPr>
        <w:sectPr>
          <w:type w:val="continuous"/>
          <w:pgSz w:w="11906" w:h="16838"/>
          <w:pgMar w:top="1440" w:right="0" w:bottom="238" w:left="0" w:header="720" w:footer="720" w:gutter="0"/>
          <w:cols w:num="2" w:equalWidth="0">
            <w:col w:w="4478" w:space="0"/>
            <w:col w:w="7428" w:space="0"/>
          </w:cols>
          <w:docGrid w:linePitch="360"/>
        </w:sectPr>
      </w:pPr>
    </w:p>
    <w:p>
      <w:pPr>
        <w:autoSpaceDN w:val="0"/>
        <w:autoSpaceDE w:val="0"/>
        <w:widowControl/>
        <w:spacing w:line="314" w:lineRule="exact" w:before="0" w:after="0"/>
        <w:ind w:left="534" w:right="860" w:firstLine="0"/>
        <w:jc w:val="both"/>
      </w:pPr>
      <w:r>
        <w:rPr>
          <w:rFonts w:ascii="Montserrat" w:hAnsi="Montserrat" w:eastAsia="Montserrat"/>
          <w:b w:val="0"/>
          <w:i w:val="0"/>
          <w:color w:val="000000"/>
          <w:sz w:val="20"/>
        </w:rPr>
        <w:t xml:space="preserve">remboursement des  </w:t>
      </w:r>
      <w:r>
        <w:rPr>
          <w:rFonts w:ascii="Montserrat" w:hAnsi="Montserrat" w:eastAsia="Montserrat"/>
          <w:b/>
          <w:i w:val="0"/>
          <w:color w:val="000000"/>
          <w:sz w:val="20"/>
        </w:rPr>
        <w:t>honoraires médicaux jusqu’à 200%</w:t>
      </w:r>
      <w:r>
        <w:rPr>
          <w:rFonts w:ascii="Montserrat" w:hAnsi="Montserrat" w:eastAsia="Montserrat"/>
          <w:b w:val="0"/>
          <w:i w:val="0"/>
          <w:color w:val="000000"/>
          <w:sz w:val="20"/>
        </w:rPr>
        <w:t xml:space="preserve">* </w:t>
      </w:r>
      <w:r>
        <w:rPr>
          <w:rFonts w:ascii="Montserrat" w:hAnsi="Montserrat" w:eastAsia="Montserrat"/>
          <w:b w:val="0"/>
          <w:i w:val="0"/>
          <w:color w:val="000000"/>
          <w:sz w:val="20"/>
        </w:rPr>
        <w:t xml:space="preserve">et </w:t>
      </w:r>
      <w:r>
        <w:rPr>
          <w:rFonts w:ascii="Montserrat" w:hAnsi="Montserrat" w:eastAsia="Montserrat"/>
          <w:b/>
          <w:i w:val="0"/>
          <w:color w:val="000000"/>
          <w:sz w:val="20"/>
        </w:rPr>
        <w:t xml:space="preserve">jusqu’à 150%* pour les actes d’imagerie, d’échographie, </w:t>
      </w:r>
      <w:r>
        <w:rPr>
          <w:rFonts w:ascii="Montserrat" w:hAnsi="Montserrat" w:eastAsia="Montserrat"/>
          <w:b/>
          <w:i w:val="0"/>
          <w:color w:val="000000"/>
          <w:sz w:val="20"/>
        </w:rPr>
        <w:t xml:space="preserve">les honoraires paramédicaux et les analyses/examens de </w:t>
      </w:r>
      <w:r>
        <w:rPr>
          <w:rFonts w:ascii="Montserrat" w:hAnsi="Montserrat" w:eastAsia="Montserrat"/>
          <w:b/>
          <w:i w:val="0"/>
          <w:color w:val="000000"/>
          <w:sz w:val="20"/>
        </w:rPr>
        <w:t xml:space="preserve">laboratoire. </w:t>
      </w:r>
    </w:p>
    <w:p>
      <w:pPr>
        <w:autoSpaceDN w:val="0"/>
        <w:autoSpaceDE w:val="0"/>
        <w:widowControl/>
        <w:spacing w:line="296" w:lineRule="exact" w:before="24" w:after="32"/>
        <w:ind w:left="386" w:right="0" w:firstLine="0"/>
        <w:jc w:val="left"/>
      </w:pPr>
      <w:r>
        <w:rPr>
          <w:rFonts w:ascii="HelveticaNeueLTStd" w:hAnsi="HelveticaNeueLTStd" w:eastAsia="HelveticaNeueLTStd"/>
          <w:b w:val="0"/>
          <w:i w:val="0"/>
          <w:color w:val="000000"/>
          <w:sz w:val="20"/>
        </w:rPr>
        <w:t xml:space="preserve">• </w:t>
      </w:r>
      <w:r>
        <w:rPr>
          <w:rFonts w:ascii="Montserrat" w:hAnsi="Montserrat" w:eastAsia="Montserrat"/>
          <w:b/>
          <w:i w:val="0"/>
          <w:color w:val="000000"/>
          <w:sz w:val="20"/>
        </w:rPr>
        <w:t xml:space="preserve">Des avantages tarifaires selon votre profil familial : </w:t>
      </w:r>
    </w:p>
    <w:p>
      <w:pPr>
        <w:sectPr>
          <w:type w:val="nextColumn"/>
          <w:pgSz w:w="11906" w:h="16838"/>
          <w:pgMar w:top="1440" w:right="0" w:bottom="238" w:left="0" w:header="720" w:footer="720" w:gutter="0"/>
          <w:cols w:num="2" w:equalWidth="0">
            <w:col w:w="4478" w:space="0"/>
            <w:col w:w="7428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40.0" w:type="dxa"/>
      </w:tblPr>
      <w:tblGrid>
        <w:gridCol w:w="5953"/>
        <w:gridCol w:w="5953"/>
      </w:tblGrid>
      <w:tr>
        <w:trPr>
          <w:trHeight w:hRule="exact" w:val="946"/>
        </w:trPr>
        <w:tc>
          <w:tcPr>
            <w:tcW w:type="dxa" w:w="2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20700" cy="5207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700" cy="520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44" w:val="left"/>
                <w:tab w:pos="1132" w:val="left"/>
              </w:tabs>
              <w:autoSpaceDE w:val="0"/>
              <w:widowControl/>
              <w:spacing w:line="310" w:lineRule="exact" w:before="0" w:after="0"/>
              <w:ind w:left="984" w:right="288" w:firstLine="0"/>
              <w:jc w:val="lef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20"/>
              </w:rPr>
              <w:t>-10% pour les couples et les familles, dont monoparentales</w:t>
            </w:r>
            <w:r>
              <w:rPr>
                <w:rFonts w:ascii="HelveticaNeueLTStd" w:hAnsi="HelveticaNeueLTStd" w:eastAsia="HelveticaNeueLTStd"/>
                <w:b w:val="0"/>
                <w:i w:val="0"/>
                <w:color w:val="000000"/>
                <w:sz w:val="20"/>
              </w:rPr>
              <w:t xml:space="preserve">• 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20"/>
              </w:rPr>
              <w:t xml:space="preserve">Prise en charge </w:t>
            </w:r>
            <w:r>
              <w:rPr>
                <w:rFonts w:ascii="Montserrat" w:hAnsi="Montserrat" w:eastAsia="Montserrat"/>
                <w:b/>
                <w:i w:val="0"/>
                <w:color w:val="000000"/>
                <w:sz w:val="20"/>
              </w:rPr>
              <w:t>de la médecine naturelle</w:t>
            </w:r>
            <w:r>
              <w:rPr>
                <w:rFonts w:ascii="Montserrat" w:hAnsi="Montserrat" w:eastAsia="Montserrat"/>
                <w:b w:val="0"/>
                <w:i w:val="0"/>
                <w:color w:val="000000"/>
                <w:sz w:val="20"/>
              </w:rPr>
              <w:t xml:space="preserve"> et de </w:t>
            </w:r>
            <w:r>
              <w:rPr>
                <w:rFonts w:ascii="Montserrat" w:hAnsi="Montserrat" w:eastAsia="Montserrat"/>
                <w:b/>
                <w:i w:val="0"/>
                <w:color w:val="000000"/>
                <w:sz w:val="20"/>
              </w:rPr>
              <w:t xml:space="preserve">la cure </w:t>
            </w:r>
            <w:r>
              <w:tab/>
            </w:r>
            <w:r>
              <w:tab/>
            </w:r>
            <w:r>
              <w:rPr>
                <w:rFonts w:ascii="Montserrat" w:hAnsi="Montserrat" w:eastAsia="Montserrat"/>
                <w:b/>
                <w:i w:val="0"/>
                <w:color w:val="000000"/>
                <w:sz w:val="20"/>
              </w:rPr>
              <w:t>thermale</w:t>
            </w:r>
          </w:p>
        </w:tc>
      </w:tr>
    </w:tbl>
    <w:p>
      <w:pPr>
        <w:autoSpaceDN w:val="0"/>
        <w:tabs>
          <w:tab w:pos="1454" w:val="left"/>
          <w:tab w:pos="4864" w:val="left"/>
          <w:tab w:pos="5012" w:val="left"/>
        </w:tabs>
        <w:autoSpaceDE w:val="0"/>
        <w:widowControl/>
        <w:spacing w:line="310" w:lineRule="exact" w:before="0" w:after="0"/>
        <w:ind w:left="1066" w:right="720" w:firstLine="0"/>
        <w:jc w:val="left"/>
      </w:pPr>
      <w:r>
        <w:tab/>
      </w:r>
      <w:r>
        <w:rPr>
          <w:rFonts w:ascii="HelveticaNeueLTStd" w:hAnsi="HelveticaNeueLTStd" w:eastAsia="HelveticaNeueLTStd"/>
          <w:b w:val="0"/>
          <w:i w:val="0"/>
          <w:color w:val="000000"/>
          <w:sz w:val="20"/>
        </w:rPr>
        <w:t xml:space="preserve">• </w:t>
      </w:r>
      <w:r>
        <w:rPr>
          <w:rFonts w:ascii="Montserrat" w:hAnsi="Montserrat" w:eastAsia="Montserrat"/>
          <w:b/>
          <w:i w:val="0"/>
          <w:color w:val="000000"/>
          <w:sz w:val="20"/>
        </w:rPr>
        <w:t xml:space="preserve">Des bonus fidélité qui augmentent au fil des années </w:t>
      </w:r>
      <w:r>
        <w:rPr>
          <w:rFonts w:ascii="Montserrat" w:hAnsi="Montserrat" w:eastAsia="Montserrat"/>
          <w:b w:val="0"/>
          <w:i w:val="0"/>
          <w:color w:val="000000"/>
          <w:sz w:val="20"/>
        </w:rPr>
        <w:t xml:space="preserve">sur les </w:t>
      </w:r>
      <w:r>
        <w:rPr>
          <w:rFonts w:ascii="BrandingSF" w:hAnsi="BrandingSF" w:eastAsia="BrandingSF"/>
          <w:b/>
          <w:i w:val="0"/>
          <w:color w:val="000000"/>
          <w:sz w:val="24"/>
        </w:rPr>
        <w:t xml:space="preserve">TARIFS COMPÉTITIFS POUR </w:t>
      </w:r>
      <w:r>
        <w:tab/>
      </w:r>
      <w:r>
        <w:tab/>
      </w:r>
      <w:r>
        <w:rPr>
          <w:rFonts w:ascii="Montserrat" w:hAnsi="Montserrat" w:eastAsia="Montserrat"/>
          <w:b w:val="0"/>
          <w:i w:val="0"/>
          <w:color w:val="000000"/>
          <w:sz w:val="20"/>
        </w:rPr>
        <w:t xml:space="preserve">postes hospitalisation, dentaire, soins courants et médecine </w:t>
      </w:r>
      <w:r>
        <w:tab/>
      </w:r>
      <w:r>
        <w:rPr>
          <w:rFonts w:ascii="BrandingSF" w:hAnsi="BrandingSF" w:eastAsia="BrandingSF"/>
          <w:b/>
          <w:i w:val="0"/>
          <w:color w:val="000000"/>
          <w:sz w:val="24"/>
        </w:rPr>
        <w:t xml:space="preserve">TOUS LES BUDGETS </w:t>
      </w:r>
      <w:r>
        <w:tab/>
      </w:r>
      <w:r>
        <w:tab/>
      </w:r>
      <w:r>
        <w:rPr>
          <w:rFonts w:ascii="Montserrat" w:hAnsi="Montserrat" w:eastAsia="Montserrat"/>
          <w:b w:val="0"/>
          <w:i w:val="0"/>
          <w:color w:val="000000"/>
          <w:sz w:val="20"/>
        </w:rPr>
        <w:t xml:space="preserve">douce. </w:t>
      </w:r>
    </w:p>
    <w:p>
      <w:pPr>
        <w:autoSpaceDN w:val="0"/>
        <w:autoSpaceDE w:val="0"/>
        <w:widowControl/>
        <w:spacing w:line="274" w:lineRule="exact" w:before="308" w:after="0"/>
        <w:ind w:left="0" w:right="2164" w:firstLine="0"/>
        <w:jc w:val="right"/>
      </w:pPr>
      <w:r>
        <w:rPr>
          <w:rFonts w:ascii="BrandingSF" w:hAnsi="BrandingSF" w:eastAsia="BrandingSF"/>
          <w:b/>
          <w:i w:val="0"/>
          <w:color w:val="03579E"/>
          <w:sz w:val="24"/>
        </w:rPr>
        <w:t xml:space="preserve">DES SERVICES INCLUS DANS VOTRE CONTRAT </w:t>
      </w:r>
    </w:p>
    <w:p>
      <w:pPr>
        <w:autoSpaceDN w:val="0"/>
        <w:autoSpaceDE w:val="0"/>
        <w:widowControl/>
        <w:spacing w:line="320" w:lineRule="exact" w:before="244" w:after="0"/>
        <w:ind w:left="4864" w:right="4608" w:firstLine="0"/>
        <w:jc w:val="left"/>
      </w:pPr>
      <w:r>
        <w:rPr>
          <w:rFonts w:ascii="HelveticaNeueLTStd" w:hAnsi="HelveticaNeueLTStd" w:eastAsia="HelveticaNeueLTStd"/>
          <w:b w:val="0"/>
          <w:i w:val="0"/>
          <w:color w:val="000000"/>
          <w:sz w:val="20"/>
        </w:rPr>
        <w:t xml:space="preserve">•  </w:t>
      </w:r>
      <w:r>
        <w:rPr>
          <w:rFonts w:ascii="Montserrat" w:hAnsi="Montserrat" w:eastAsia="Montserrat"/>
          <w:b/>
          <w:i w:val="0"/>
          <w:color w:val="000000"/>
          <w:sz w:val="20"/>
        </w:rPr>
        <w:t xml:space="preserve">Services d’assistance </w:t>
      </w:r>
      <w:r>
        <w:br/>
      </w:r>
      <w:r>
        <w:rPr>
          <w:rFonts w:ascii="HelveticaNeueLTStd" w:hAnsi="HelveticaNeueLTStd" w:eastAsia="HelveticaNeueLTStd"/>
          <w:b w:val="0"/>
          <w:i w:val="0"/>
          <w:color w:val="000000"/>
          <w:sz w:val="20"/>
        </w:rPr>
        <w:t xml:space="preserve">•  </w:t>
      </w:r>
      <w:r>
        <w:rPr>
          <w:rFonts w:ascii="Montserrat" w:hAnsi="Montserrat" w:eastAsia="Montserrat"/>
          <w:b/>
          <w:i w:val="0"/>
          <w:color w:val="000000"/>
          <w:sz w:val="20"/>
        </w:rPr>
        <w:t>Téléconsulation</w:t>
      </w:r>
    </w:p>
    <w:p>
      <w:pPr>
        <w:autoSpaceDN w:val="0"/>
        <w:autoSpaceDE w:val="0"/>
        <w:widowControl/>
        <w:spacing w:line="502" w:lineRule="exact" w:before="384" w:after="0"/>
        <w:ind w:left="1512" w:right="0" w:firstLine="0"/>
        <w:jc w:val="left"/>
      </w:pPr>
      <w:r>
        <w:rPr>
          <w:rFonts w:ascii="BrandingSF" w:hAnsi="BrandingSF" w:eastAsia="BrandingSF"/>
          <w:b/>
          <w:i w:val="0"/>
          <w:color w:val="FFFFFF"/>
          <w:sz w:val="44"/>
        </w:rPr>
        <w:t>AltoSanté</w:t>
      </w:r>
    </w:p>
    <w:p>
      <w:pPr>
        <w:autoSpaceDN w:val="0"/>
        <w:autoSpaceDE w:val="0"/>
        <w:widowControl/>
        <w:spacing w:line="180" w:lineRule="exact" w:before="110" w:after="0"/>
        <w:ind w:left="0" w:right="1210" w:firstLine="0"/>
        <w:jc w:val="right"/>
      </w:pPr>
      <w:r>
        <w:rPr>
          <w:rFonts w:ascii="Montserrat" w:hAnsi="Montserrat" w:eastAsia="Montserrat"/>
          <w:b w:val="0"/>
          <w:i/>
          <w:color w:val="000000"/>
          <w:sz w:val="14"/>
        </w:rPr>
        <w:t>* de la base de remboursement de la Sécurité Sociale</w:t>
      </w:r>
    </w:p>
    <w:sectPr w:rsidR="00FC693F" w:rsidRPr="0006063C" w:rsidSect="00034616">
      <w:type w:val="continuous"/>
      <w:pgSz w:w="11906" w:h="16838"/>
      <w:pgMar w:top="1440" w:right="0" w:bottom="238" w:left="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