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3683000</wp:posOffset>
            </wp:positionV>
            <wp:extent cx="6591300" cy="67945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794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16.0" w:type="dxa"/>
      </w:tblPr>
      <w:tblGrid>
        <w:gridCol w:w="10860"/>
      </w:tblGrid>
      <w:tr>
        <w:trPr>
          <w:trHeight w:hRule="exact" w:val="710"/>
        </w:trPr>
        <w:tc>
          <w:tcPr>
            <w:tcW w:type="dxa" w:w="10382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10" w:after="0"/>
              <w:ind w:left="202" w:right="5616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6"/>
              </w:rPr>
              <w:t>ASSURANCE COMPLÉMENTAIRE SANTÉ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Document d’information sur le produit d’assurance </w:t>
            </w:r>
          </w:p>
        </w:tc>
      </w:tr>
    </w:tbl>
    <w:p>
      <w:pPr>
        <w:autoSpaceDN w:val="0"/>
        <w:autoSpaceDE w:val="0"/>
        <w:widowControl/>
        <w:spacing w:line="1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94.0" w:type="dxa"/>
      </w:tblPr>
      <w:tblGrid>
        <w:gridCol w:w="10860"/>
      </w:tblGrid>
      <w:tr>
        <w:trPr>
          <w:trHeight w:hRule="exact" w:val="252"/>
        </w:trPr>
        <w:tc>
          <w:tcPr>
            <w:tcW w:type="dxa" w:w="10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co-conçu 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GROUPE SANTIANE HOLDING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− 30/32 Boulevard de Vaugirard - 75015 PARIS − SAS au capital de 511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94.0" w:type="dxa"/>
      </w:tblPr>
      <w:tblGrid>
        <w:gridCol w:w="10860"/>
      </w:tblGrid>
      <w:tr>
        <w:trPr>
          <w:trHeight w:hRule="exact" w:val="386"/>
        </w:trPr>
        <w:tc>
          <w:tcPr>
            <w:tcW w:type="dxa" w:w="10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288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>539 € – RCS Paris 812 962 330 – Intermédiaire en assurances – Immatriculé à l’Orias N°19 004 119 (www.orias.fr). Assuré et co-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conçu 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L’ÉQUITÉ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– 2 rue Pillet-Will 75009 PARIS – SA au capital de 69 213 760 € – RCS Paris 572 084 697 – Entreprise régie </w:t>
            </w:r>
          </w:p>
        </w:tc>
      </w:tr>
    </w:tbl>
    <w:p>
      <w:pPr>
        <w:autoSpaceDN w:val="0"/>
        <w:autoSpaceDE w:val="0"/>
        <w:widowControl/>
        <w:spacing w:line="233" w:lineRule="auto" w:before="0" w:after="0"/>
        <w:ind w:left="618" w:right="0" w:firstLine="0"/>
        <w:jc w:val="left"/>
      </w:pPr>
      <w:r>
        <w:rPr>
          <w:rFonts w:ascii="Montserrat" w:hAnsi="Montserrat" w:eastAsia="Montserrat"/>
          <w:b w:val="0"/>
          <w:i w:val="0"/>
          <w:color w:val="FFFFFF"/>
          <w:sz w:val="16"/>
        </w:rPr>
        <w:t xml:space="preserve">par le Code des assurances – N° d’identifiant unique ADEME : FR232327_03PBRV – Société appartenant au Groupe Generali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4.0" w:type="dxa"/>
      </w:tblPr>
      <w:tblGrid>
        <w:gridCol w:w="10860"/>
      </w:tblGrid>
      <w:tr>
        <w:trPr>
          <w:trHeight w:hRule="exact" w:val="252"/>
        </w:trPr>
        <w:tc>
          <w:tcPr>
            <w:tcW w:type="dxa" w:w="866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32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>immatriculé sur le registre italien des groupes d’assurances sous le numéro 026.</w:t>
            </w:r>
          </w:p>
        </w:tc>
      </w:tr>
    </w:tbl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94.0" w:type="dxa"/>
      </w:tblPr>
      <w:tblGrid>
        <w:gridCol w:w="10860"/>
      </w:tblGrid>
      <w:tr>
        <w:trPr>
          <w:trHeight w:hRule="exact" w:val="336"/>
        </w:trPr>
        <w:tc>
          <w:tcPr>
            <w:tcW w:type="dxa" w:w="680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32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: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NÉOLIANE DYNAMIQUE</w:t>
            </w:r>
          </w:p>
        </w:tc>
      </w:tr>
    </w:tbl>
    <w:p>
      <w:pPr>
        <w:autoSpaceDN w:val="0"/>
        <w:autoSpaceDE w:val="0"/>
        <w:widowControl/>
        <w:spacing w:line="247" w:lineRule="auto" w:before="220" w:after="0"/>
        <w:ind w:left="416" w:right="20" w:firstLine="0"/>
        <w:jc w:val="both"/>
      </w:pPr>
      <w:r>
        <w:rPr>
          <w:rFonts w:ascii="Montserrat" w:hAnsi="Montserrat" w:eastAsia="Montserrat"/>
          <w:b/>
          <w:i w:val="0"/>
          <w:color w:val="575756"/>
          <w:sz w:val="14"/>
        </w:rPr>
        <w:t xml:space="preserve">Ce document d’information présente un résumé des principales garanties et exclusions du produit. Il ne prend pas en compte vos besoins </w:t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et demandes spécifiques. Toutes les informations contractuelles et précontractuelles sur le produit NÉOLIANE DYNAMIQUE sont fournies au </w:t>
      </w:r>
      <w:r>
        <w:rPr>
          <w:rFonts w:ascii="Montserrat" w:hAnsi="Montserrat" w:eastAsia="Montserrat"/>
          <w:b/>
          <w:i w:val="0"/>
          <w:color w:val="575756"/>
          <w:sz w:val="14"/>
        </w:rPr>
        <w:t>client dans d’autres documents et, notamment, dans le tableau de garanties ci-joint, qui détaille le niveau des remboursements</w:t>
      </w:r>
    </w:p>
    <w:p>
      <w:pPr>
        <w:autoSpaceDN w:val="0"/>
        <w:autoSpaceDE w:val="0"/>
        <w:widowControl/>
        <w:spacing w:line="252" w:lineRule="exact" w:before="196" w:after="0"/>
        <w:ind w:left="41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De quel type d’assurance s’agit-il ?</w:t>
      </w:r>
    </w:p>
    <w:p>
      <w:pPr>
        <w:autoSpaceDN w:val="0"/>
        <w:autoSpaceDE w:val="0"/>
        <w:widowControl/>
        <w:spacing w:line="245" w:lineRule="auto" w:before="152" w:after="0"/>
        <w:ind w:left="416" w:right="22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 produit NÉOLIANE DYNAMIQUE est un produit d’Assurance Complémentaire Santé. En cas d’accident, de maladie ou de maternité, il est destiné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à rembourser tout ou une partie des frais de santé restant à la charge de l’adhérent et des éventuels ayants droit, après l’intervention de son Régime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Obligatoire d’assurance maladie et, dans certains cas, des frais non remboursés par ce dernier.</w:t>
      </w:r>
    </w:p>
    <w:p>
      <w:pPr>
        <w:autoSpaceDN w:val="0"/>
        <w:autoSpaceDE w:val="0"/>
        <w:widowControl/>
        <w:spacing w:line="245" w:lineRule="auto" w:before="2" w:after="536"/>
        <w:ind w:left="416" w:right="24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 produit NÉOLIANE DYNAMIQUE est « responsable » car il respecte les obligations et interdictions de prise en charge fixées par la législation. Il est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également « solidaire » car il ne prévoit pas de questionnaire d’état de santé et son tarif ne dépend pas de l’état de santé de l’adhérent. Le produit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NÉOLIANE DYNAMIQUE est conforme au dispositif « 100% Santé » qui permet à l’adhérent de bénéficier d’un zéro reste à charge sur les paniers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optique, dentaire et aides auditives. </w:t>
      </w:r>
    </w:p>
    <w:p>
      <w:pPr>
        <w:sectPr>
          <w:pgSz w:w="11906" w:h="16838"/>
          <w:pgMar w:top="298" w:right="700" w:bottom="466" w:left="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1294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QU’EST CE QUI EST ASSURÉ ? </w:t>
      </w:r>
    </w:p>
    <w:p>
      <w:pPr>
        <w:autoSpaceDN w:val="0"/>
        <w:autoSpaceDE w:val="0"/>
        <w:widowControl/>
        <w:spacing w:line="245" w:lineRule="auto" w:before="306" w:after="0"/>
        <w:ind w:left="628" w:right="258" w:firstLine="2"/>
        <w:jc w:val="both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Les remboursements de frais couverts par l’assurance ne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peuvent pas être plus élevés que les dépenses engagées. Ils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sont soumis à des plafonds qui varient en fonction de la formule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et par conséquent une somme peut rester à votre charge. Le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détail de ces plafonds figure au tableau des garanties ci-joint. </w:t>
      </w:r>
    </w:p>
    <w:p>
      <w:pPr>
        <w:autoSpaceDN w:val="0"/>
        <w:autoSpaceDE w:val="0"/>
        <w:widowControl/>
        <w:spacing w:line="245" w:lineRule="auto" w:before="160" w:after="0"/>
        <w:ind w:left="810" w:right="144" w:hanging="182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LES GARANTIES SYSTÉMATIQUEMENT PRÉVUES :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Secteur conventionné : Frais de séjour, Forfait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journalier hospitalier, Honoraires, Frais de transport, Secteur non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conventionné 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Dentaire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Soins et prothèses 100% Santé (Panier 100% Santé),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Soins dentaires, Inlays-onlays, Parodontologie, Prothèses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dentaires, Implantologie et Orthodontie remboursés par le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Régime Obligatoire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Optique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Équipements verres et montures de la Classe A -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Panier 100% Santé, Monture et verres (équipement de la Classe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B), Lentilles (y compris lentilles jetables) 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Soins courants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Médicaments, Médicaments ou vaccins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prescrits non remboursés par le Régime Obligatoire, Honoraires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médicaux, Honoraires paramédicaux, Analyses et examens de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laboratoire, Médecines naturelles (ostéopathe, homéopathe,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acupuncteur, naturopathe, étiopathe, diététicien, chiropracteur,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micro-kinésithérapeute, pédicure/podologue, réflexologue,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sophrologue, luminothérapeute, hypnothérapeute, </w:t>
      </w:r>
    </w:p>
    <w:p>
      <w:pPr>
        <w:sectPr>
          <w:type w:val="continuous"/>
          <w:pgSz w:w="11906" w:h="16838"/>
          <w:pgMar w:top="298" w:right="700" w:bottom="466" w:left="346" w:header="720" w:footer="720" w:gutter="0"/>
          <w:cols w:num="2" w:equalWidth="0">
            <w:col w:w="5638" w:space="0"/>
            <w:col w:w="5221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0" w:right="0" w:firstLine="0"/>
        <w:jc w:val="center"/>
      </w:pPr>
      <w:r>
        <w:rPr>
          <w:rFonts w:ascii="BrandingSF" w:hAnsi="BrandingSF" w:eastAsia="BrandingSF"/>
          <w:b/>
          <w:i w:val="0"/>
          <w:color w:val="03579E"/>
          <w:sz w:val="22"/>
        </w:rPr>
        <w:t>QU’EST-CE QUI N’EST PAS ASSURÉ ?</w:t>
      </w:r>
    </w:p>
    <w:p>
      <w:pPr>
        <w:autoSpaceDN w:val="0"/>
        <w:tabs>
          <w:tab w:pos="446" w:val="left"/>
        </w:tabs>
        <w:autoSpaceDE w:val="0"/>
        <w:widowControl/>
        <w:spacing w:line="245" w:lineRule="auto" w:before="338" w:after="0"/>
        <w:ind w:left="270" w:right="144" w:firstLine="0"/>
        <w:jc w:val="left"/>
      </w:pP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Les soins reçus en dehors de la période de validité du contrat  ;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Les indemnités versées en complément de la sécurité so-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ciale en cas d’arrêt de travail  ;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La chirurgie non prise en charge par la sécurité sociale,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dans un but de rajeunissement ou esthétique ;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Les cures d’amaigrissement, de sommeil, de désintoxica-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tion ou les séjours en institut médico-pédagogique et établis-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sements similaires</w:t>
      </w:r>
    </w:p>
    <w:p>
      <w:pPr>
        <w:autoSpaceDN w:val="0"/>
        <w:autoSpaceDE w:val="0"/>
        <w:widowControl/>
        <w:spacing w:line="269" w:lineRule="auto" w:before="172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Cette liste n’est pas exhaustive.</w:t>
      </w:r>
    </w:p>
    <w:p>
      <w:pPr>
        <w:autoSpaceDN w:val="0"/>
        <w:autoSpaceDE w:val="0"/>
        <w:widowControl/>
        <w:spacing w:line="250" w:lineRule="exact" w:before="514" w:after="0"/>
        <w:ind w:left="89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Y-A-T-IL DES EXCLUSIONS À LA </w:t>
      </w:r>
    </w:p>
    <w:p>
      <w:pPr>
        <w:autoSpaceDN w:val="0"/>
        <w:autoSpaceDE w:val="0"/>
        <w:widowControl/>
        <w:spacing w:line="250" w:lineRule="exact" w:before="14" w:after="0"/>
        <w:ind w:left="89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COUVERTURE ?</w:t>
      </w:r>
    </w:p>
    <w:p>
      <w:pPr>
        <w:autoSpaceDN w:val="0"/>
        <w:tabs>
          <w:tab w:pos="392" w:val="left"/>
        </w:tabs>
        <w:autoSpaceDE w:val="0"/>
        <w:widowControl/>
        <w:spacing w:line="245" w:lineRule="auto" w:before="348" w:after="102"/>
        <w:ind w:left="260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PRINCIPALES EXCLUSIONS :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5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La participation forfaitaire de 2€ et les franchises sur les boites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médicaments, actes paramédicaux et transport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5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La majoration du Ticket Modérateur et les dépassements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d’honoraires si les dépenses de santé sont réalisées en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dehors du parcours de soins ;</w:t>
      </w:r>
    </w:p>
    <w:p>
      <w:pPr>
        <w:sectPr>
          <w:type w:val="nextColumn"/>
          <w:pgSz w:w="11906" w:h="16838"/>
          <w:pgMar w:top="298" w:right="700" w:bottom="466" w:left="346" w:header="720" w:footer="720" w:gutter="0"/>
          <w:cols w:num="2" w:equalWidth="0">
            <w:col w:w="5638" w:space="0"/>
            <w:col w:w="522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0"/>
        <w:gridCol w:w="3620"/>
        <w:gridCol w:w="3620"/>
      </w:tblGrid>
      <w:tr>
        <w:trPr>
          <w:trHeight w:hRule="exact" w:val="174"/>
        </w:trPr>
        <w:tc>
          <w:tcPr>
            <w:tcW w:type="dxa" w:w="394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4"/>
              </w:rPr>
              <w:t>EQC1095A_IPID_05/2024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1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tabacologue, mésothérapeute, psychomotricien, psychologue, 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6" w:after="0"/>
              <w:ind w:left="264" w:right="144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PRINCIPALES RESTRICTIONS :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5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Lit accompagnant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Prise en charge lorsque l’Hospitalisation </w:t>
            </w:r>
          </w:p>
        </w:tc>
      </w:tr>
      <w:tr>
        <w:trPr>
          <w:trHeight w:hRule="exact" w:val="266"/>
        </w:trPr>
        <w:tc>
          <w:tcPr>
            <w:tcW w:type="dxa" w:w="3620"/>
            <w:vMerge/>
            <w:tcBorders/>
          </w:tcPr>
          <w:p/>
        </w:tc>
        <w:tc>
          <w:tcPr>
            <w:tcW w:type="dxa" w:w="5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16" w:right="43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ergothérapeute, sexologue), Matériel médical ;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Aides auditives :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Équipements 100% Santé (Classe I - Panier </w:t>
            </w:r>
          </w:p>
        </w:tc>
        <w:tc>
          <w:tcPr>
            <w:tcW w:type="dxa" w:w="3620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620"/>
            <w:vMerge/>
            <w:tcBorders/>
          </w:tcPr>
          <w:p/>
        </w:tc>
        <w:tc>
          <w:tcPr>
            <w:tcW w:type="dxa" w:w="3620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5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concerne un enfant de moins de 16 ans, une personne de </w:t>
            </w:r>
          </w:p>
        </w:tc>
      </w:tr>
      <w:tr>
        <w:trPr>
          <w:trHeight w:hRule="exact" w:val="74"/>
        </w:trPr>
        <w:tc>
          <w:tcPr>
            <w:tcW w:type="dxa" w:w="3620"/>
            <w:vMerge/>
            <w:tcBorders/>
          </w:tcPr>
          <w:p/>
        </w:tc>
        <w:tc>
          <w:tcPr>
            <w:tcW w:type="dxa" w:w="5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16" w:right="144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100% Santé), Prothèses auditives de la Classe II.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Prévention </w:t>
            </w:r>
          </w:p>
        </w:tc>
        <w:tc>
          <w:tcPr>
            <w:tcW w:type="dxa" w:w="3620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620"/>
            <w:vMerge/>
            <w:tcBorders/>
          </w:tcPr>
          <w:p/>
        </w:tc>
        <w:tc>
          <w:tcPr>
            <w:tcW w:type="dxa" w:w="3620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4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plus de 70 ans ou encore un malade atteint d’une infirmité  ; </w:t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5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Forfait journalier hospitalier :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Prise en charge dans la limite </w:t>
            </w:r>
          </w:p>
        </w:tc>
      </w:tr>
      <w:tr>
        <w:trPr>
          <w:trHeight w:hRule="exact" w:val="46"/>
        </w:trPr>
        <w:tc>
          <w:tcPr>
            <w:tcW w:type="dxa" w:w="3620"/>
            <w:vMerge/>
            <w:tcBorders/>
          </w:tcPr>
          <w:p/>
        </w:tc>
        <w:tc>
          <w:tcPr>
            <w:tcW w:type="dxa" w:w="5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250" w:lineRule="auto" w:before="124" w:after="0"/>
              <w:ind w:left="234" w:right="144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LA GARANTIE D’ASSISTANCE SYSTÉMATIQUEMENT PRÉVUE :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Aide à domicile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: en cas d’accident ou de maladie soudaine </w:t>
            </w:r>
          </w:p>
        </w:tc>
        <w:tc>
          <w:tcPr>
            <w:tcW w:type="dxa" w:w="3620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3620"/>
            <w:vMerge/>
            <w:tcBorders/>
          </w:tcPr>
          <w:p/>
        </w:tc>
        <w:tc>
          <w:tcPr>
            <w:tcW w:type="dxa" w:w="3620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de 30 jours pour les unités de soins de longue durée (USLD), </w:t>
            </w:r>
          </w:p>
        </w:tc>
      </w:tr>
      <w:tr>
        <w:trPr>
          <w:trHeight w:hRule="exact" w:val="180"/>
        </w:trPr>
        <w:tc>
          <w:tcPr>
            <w:tcW w:type="dxa" w:w="3620"/>
            <w:vMerge/>
            <w:tcBorders/>
          </w:tcPr>
          <w:p/>
        </w:tc>
        <w:tc>
          <w:tcPr>
            <w:tcW w:type="dxa" w:w="3620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des établissements d’hébergement pour personnes âgées </w:t>
            </w:r>
          </w:p>
        </w:tc>
      </w:tr>
      <w:tr>
        <w:trPr>
          <w:trHeight w:hRule="exact" w:val="106"/>
        </w:trPr>
        <w:tc>
          <w:tcPr>
            <w:tcW w:type="dxa" w:w="3620"/>
            <w:vMerge/>
            <w:tcBorders/>
          </w:tcPr>
          <w:p/>
        </w:tc>
        <w:tc>
          <w:tcPr>
            <w:tcW w:type="dxa" w:w="3620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6" w:val="left"/>
              </w:tabs>
              <w:autoSpaceDE w:val="0"/>
              <w:widowControl/>
              <w:spacing w:line="245" w:lineRule="auto" w:before="6" w:after="0"/>
              <w:ind w:left="264" w:right="144" w:firstLine="0"/>
              <w:jc w:val="left"/>
            </w:pP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et des établissements médico-sociaux ;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5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Optique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La fréquence de remboursement pour un </w:t>
            </w:r>
          </w:p>
        </w:tc>
      </w:tr>
      <w:tr>
        <w:trPr>
          <w:trHeight w:hRule="exact" w:val="174"/>
        </w:trPr>
        <w:tc>
          <w:tcPr>
            <w:tcW w:type="dxa" w:w="3620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et imprévisible entrainant une hospitalisation imprévue ou </w:t>
            </w:r>
          </w:p>
        </w:tc>
        <w:tc>
          <w:tcPr>
            <w:tcW w:type="dxa" w:w="3620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3620"/>
            <w:vMerge/>
            <w:tcBorders/>
          </w:tcPr>
          <w:p/>
        </w:tc>
        <w:tc>
          <w:tcPr>
            <w:tcW w:type="dxa" w:w="5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20" w:right="43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programmée ;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Présence d’un proche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: en cas d’accident ou de maladie </w:t>
            </w:r>
          </w:p>
        </w:tc>
        <w:tc>
          <w:tcPr>
            <w:tcW w:type="dxa" w:w="3620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3620"/>
            <w:vMerge/>
            <w:tcBorders/>
          </w:tcPr>
          <w:p/>
        </w:tc>
        <w:tc>
          <w:tcPr>
            <w:tcW w:type="dxa" w:w="3620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équipement optique (1 monture + 2 verres) est tous les deux </w:t>
            </w:r>
          </w:p>
        </w:tc>
      </w:tr>
      <w:tr>
        <w:trPr>
          <w:trHeight w:hRule="exact" w:val="106"/>
        </w:trPr>
        <w:tc>
          <w:tcPr>
            <w:tcW w:type="dxa" w:w="3620"/>
            <w:vMerge/>
            <w:tcBorders/>
          </w:tcPr>
          <w:p/>
        </w:tc>
        <w:tc>
          <w:tcPr>
            <w:tcW w:type="dxa" w:w="3620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ans pour les plus de 16 ans et tous les ans chez les moins </w:t>
            </w:r>
          </w:p>
        </w:tc>
      </w:tr>
      <w:tr>
        <w:trPr>
          <w:trHeight w:hRule="exact" w:val="74"/>
        </w:trPr>
        <w:tc>
          <w:tcPr>
            <w:tcW w:type="dxa" w:w="3620"/>
            <w:vMerge/>
            <w:tcBorders/>
          </w:tcPr>
          <w:p/>
        </w:tc>
        <w:tc>
          <w:tcPr>
            <w:tcW w:type="dxa" w:w="5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2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soudaine et imprévisible entrainant une hospitalisation </w:t>
            </w:r>
          </w:p>
        </w:tc>
        <w:tc>
          <w:tcPr>
            <w:tcW w:type="dxa" w:w="3620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620"/>
            <w:vMerge/>
            <w:tcBorders/>
          </w:tcPr>
          <w:p/>
        </w:tc>
        <w:tc>
          <w:tcPr>
            <w:tcW w:type="dxa" w:w="3620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de 16 ans et tous les 6 mois pour les moins de 6 ans, avec </w:t>
            </w:r>
          </w:p>
        </w:tc>
      </w:tr>
      <w:tr>
        <w:trPr>
          <w:trHeight w:hRule="exact" w:val="80"/>
        </w:trPr>
        <w:tc>
          <w:tcPr>
            <w:tcW w:type="dxa" w:w="3620"/>
            <w:vMerge/>
            <w:tcBorders/>
          </w:tcPr>
          <w:p/>
        </w:tc>
        <w:tc>
          <w:tcPr>
            <w:tcW w:type="dxa" w:w="5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20" w:right="43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imprévue ou programmée ;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Soutien psychologique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: en cas d’évènements ressentis </w:t>
            </w:r>
          </w:p>
        </w:tc>
        <w:tc>
          <w:tcPr>
            <w:tcW w:type="dxa" w:w="362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620"/>
            <w:vMerge/>
            <w:tcBorders/>
          </w:tcPr>
          <w:p/>
        </w:tc>
        <w:tc>
          <w:tcPr>
            <w:tcW w:type="dxa" w:w="3620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possibilité de renouvellement anticipé en cas d’évolution </w:t>
            </w:r>
          </w:p>
        </w:tc>
      </w:tr>
      <w:tr>
        <w:trPr>
          <w:trHeight w:hRule="exact" w:val="106"/>
        </w:trPr>
        <w:tc>
          <w:tcPr>
            <w:tcW w:type="dxa" w:w="3620"/>
            <w:vMerge/>
            <w:tcBorders/>
          </w:tcPr>
          <w:p/>
        </w:tc>
        <w:tc>
          <w:tcPr>
            <w:tcW w:type="dxa" w:w="3620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6" w:val="left"/>
              </w:tabs>
              <w:autoSpaceDE w:val="0"/>
              <w:widowControl/>
              <w:spacing w:line="245" w:lineRule="auto" w:before="6" w:after="0"/>
              <w:ind w:left="264" w:right="144" w:firstLine="0"/>
              <w:jc w:val="left"/>
            </w:pP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de la vue ;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5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Aides auditives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Depuis le du 01/01/2021, renouvellement </w:t>
            </w:r>
          </w:p>
        </w:tc>
      </w:tr>
      <w:tr>
        <w:trPr>
          <w:trHeight w:hRule="exact" w:val="260"/>
        </w:trPr>
        <w:tc>
          <w:tcPr>
            <w:tcW w:type="dxa" w:w="3620"/>
            <w:vMerge/>
            <w:tcBorders/>
          </w:tcPr>
          <w:p/>
        </w:tc>
        <w:tc>
          <w:tcPr>
            <w:tcW w:type="dxa" w:w="5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20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comme traumatisants par l’un des bénéficiaires ;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Avance de fond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: en cas de décès de l’un des bénéficiaires.</w:t>
            </w:r>
          </w:p>
        </w:tc>
        <w:tc>
          <w:tcPr>
            <w:tcW w:type="dxa" w:w="3620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3620"/>
            <w:vMerge/>
            <w:tcBorders/>
          </w:tcPr>
          <w:p/>
        </w:tc>
        <w:tc>
          <w:tcPr>
            <w:tcW w:type="dxa" w:w="3620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tous les 4 ans suivant la date d’acquisition.</w:t>
            </w:r>
          </w:p>
        </w:tc>
      </w:tr>
      <w:tr>
        <w:trPr>
          <w:trHeight w:hRule="exact" w:val="666"/>
        </w:trPr>
        <w:tc>
          <w:tcPr>
            <w:tcW w:type="dxa" w:w="3620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234" w:right="432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LES GARANTIES NON SYSTÉMATIQUEMENT PRÉVUES :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717070"/>
                <w:sz w:val="15"/>
              </w:rPr>
              <w:t xml:space="preserve">•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Hospitalisation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Chambre particulière, Frais accompagnant;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717070"/>
                <w:sz w:val="15"/>
              </w:rPr>
              <w:t xml:space="preserve">•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Dentaire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Actes non remboursés par le Régime Obligatoire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24" w:after="0"/>
              <w:ind w:left="0" w:right="113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Cette liste n’est pas exhaustive.</w:t>
            </w:r>
          </w:p>
        </w:tc>
      </w:tr>
    </w:tbl>
    <w:p>
      <w:pPr>
        <w:autoSpaceDN w:val="0"/>
        <w:tabs>
          <w:tab w:pos="814" w:val="left"/>
        </w:tabs>
        <w:autoSpaceDE w:val="0"/>
        <w:widowControl/>
        <w:spacing w:line="250" w:lineRule="auto" w:before="98" w:after="0"/>
        <w:ind w:left="628" w:right="5472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LES SERVICES SYSTÉMATIQUEMENT PRÉVUS :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Tiers Payant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, via le réseau Viamedis (dispense d’avance de </w:t>
      </w:r>
    </w:p>
    <w:p>
      <w:pPr>
        <w:autoSpaceDN w:val="0"/>
        <w:autoSpaceDE w:val="0"/>
        <w:widowControl/>
        <w:spacing w:line="233" w:lineRule="auto" w:before="0" w:after="0"/>
        <w:ind w:left="628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>frais chez de nombreux professionnels de santé) ;</w:t>
      </w:r>
    </w:p>
    <w:p>
      <w:pPr>
        <w:autoSpaceDN w:val="0"/>
        <w:tabs>
          <w:tab w:pos="1466" w:val="left"/>
          <w:tab w:pos="4272" w:val="left"/>
        </w:tabs>
        <w:autoSpaceDE w:val="0"/>
        <w:widowControl/>
        <w:spacing w:line="250" w:lineRule="auto" w:before="160" w:after="0"/>
        <w:ind w:left="1446" w:right="6048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« Les garanties précédées d’une </w:t>
      </w:r>
      <w:r>
        <w:tab/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 sont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systématiquement prévues au contrat ».</w:t>
      </w:r>
    </w:p>
    <w:p>
      <w:pPr>
        <w:sectPr>
          <w:type w:val="continuous"/>
          <w:pgSz w:w="11906" w:h="16838"/>
          <w:pgMar w:top="298" w:right="700" w:bottom="466" w:left="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92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50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55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OÙ SUIS-JE COUVERT(E) ? </w:t>
            </w:r>
          </w:p>
          <w:p>
            <w:pPr>
              <w:autoSpaceDN w:val="0"/>
              <w:autoSpaceDE w:val="0"/>
              <w:widowControl/>
              <w:spacing w:line="245" w:lineRule="auto" w:before="206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Les garanties d’assurance frais de santé ne bénéf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i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cient qu’aux seuls Assurés résidant à titre principal en France Métropolitaine, pour des frais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engagés sur ces mêmes zones géographiques. Elles s’étendent aux accidents survenus et Maladies contractées à l’étranger lors de voyages ou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de séjours, si le Régime Obligatoire français d’Assurance Maladie de l’adhérent s’applique.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477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52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QUELLES SONT MES OBLIGATIONS ? </w:t>
            </w:r>
          </w:p>
          <w:p>
            <w:pPr>
              <w:autoSpaceDN w:val="0"/>
              <w:autoSpaceDE w:val="0"/>
              <w:widowControl/>
              <w:spacing w:line="230" w:lineRule="auto" w:before="236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Sous peine, en fonction de l’obligation non respectée, de non garantie, de perte du droit à garantie ou de résiliation du contrat : </w:t>
            </w:r>
          </w:p>
          <w:p>
            <w:pPr>
              <w:autoSpaceDN w:val="0"/>
              <w:autoSpaceDE w:val="0"/>
              <w:widowControl/>
              <w:spacing w:line="235" w:lineRule="auto" w:before="168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À la souscription du contrat :</w:t>
            </w:r>
          </w:p>
          <w:p>
            <w:pPr>
              <w:autoSpaceDN w:val="0"/>
              <w:autoSpaceDE w:val="0"/>
              <w:widowControl/>
              <w:spacing w:line="170" w:lineRule="exact" w:before="80" w:after="0"/>
              <w:ind w:left="160" w:right="4608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Remplir avec exactitude la demande d’adhésion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Être adhérent(e) à l’Association GPST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Relever du régime Obligatoire d’Assurance Maladie Français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Fournir tous les documents justificatifs demandés par l’Assureur 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Être âgé(e) entre 18 ans et sans limite d’âge (adhérent principal et conjoint) ;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Régler la cotisation indiquée au certificat d’adhésion.</w:t>
            </w:r>
          </w:p>
          <w:p>
            <w:pPr>
              <w:autoSpaceDN w:val="0"/>
              <w:autoSpaceDE w:val="0"/>
              <w:widowControl/>
              <w:spacing w:line="235" w:lineRule="auto" w:before="168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En cours de vie du contrat :</w:t>
            </w:r>
          </w:p>
          <w:p>
            <w:pPr>
              <w:autoSpaceDN w:val="0"/>
              <w:tabs>
                <w:tab w:pos="264" w:val="left"/>
              </w:tabs>
              <w:autoSpaceDE w:val="0"/>
              <w:widowControl/>
              <w:spacing w:line="170" w:lineRule="exact" w:before="80" w:after="0"/>
              <w:ind w:left="160" w:right="576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Informer l’Assureur des évènements suivants, dans un délai de 15 jours suivant leur survenance : changement d’état civil, cessation ou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changement d’affiliation au Régime Obligatoire, changement de domicile, départ hors de France métropolitaine, cessation de qualité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d’ayant droit, changement de profession ou une cessation d’activité profes-sionnelle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Régler la cotisation prévue à l’échéancier.</w:t>
            </w:r>
          </w:p>
          <w:p>
            <w:pPr>
              <w:autoSpaceDN w:val="0"/>
              <w:autoSpaceDE w:val="0"/>
              <w:widowControl/>
              <w:spacing w:line="235" w:lineRule="auto" w:before="168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En cas de sinistre</w:t>
            </w:r>
          </w:p>
          <w:p>
            <w:pPr>
              <w:autoSpaceDN w:val="0"/>
              <w:tabs>
                <w:tab w:pos="264" w:val="left"/>
              </w:tabs>
              <w:autoSpaceDE w:val="0"/>
              <w:widowControl/>
              <w:spacing w:line="170" w:lineRule="exact" w:before="80" w:after="0"/>
              <w:ind w:left="160" w:right="144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Faire parvenir tous les documents justificatifs nécessaires au paiement des prestations prévues au contrat 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Faire parvenir les demandes de remboursements à l’assureur dans un délai maximum de 2 ans suivant la date de remboursement des soins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de votre Sécurité sociale.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60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4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42900" cy="355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>QUAND ET COMMENT EFFECTUER LES PAIEMENTS ?</w:t>
            </w:r>
          </w:p>
          <w:p>
            <w:pPr>
              <w:autoSpaceDN w:val="0"/>
              <w:autoSpaceDE w:val="0"/>
              <w:widowControl/>
              <w:spacing w:line="233" w:lineRule="auto" w:before="232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cotisations sont payables aux échéances prévues au contrat et suivant les modalités choisies lors de l’adhésion. </w:t>
            </w:r>
          </w:p>
          <w:p>
            <w:pPr>
              <w:autoSpaceDN w:val="0"/>
              <w:autoSpaceDE w:val="0"/>
              <w:widowControl/>
              <w:spacing w:line="245" w:lineRule="auto" w:before="4" w:after="0"/>
              <w:ind w:left="160" w:right="86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La périodicité du paiement peut être mensuelle, trimestrielle, semestrielle ou annuelle. Les cotisations sont payables d’avance, par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prélèvement ou chèque (annuel uniquement).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2768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20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55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4B71B1"/>
                <w:sz w:val="22"/>
              </w:rPr>
              <w:t xml:space="preserve">QUAND COMMENCE LA COUVERTURE ET QUAND PREND-ELLE FIN ? </w:t>
            </w:r>
          </w:p>
          <w:p>
            <w:pPr>
              <w:autoSpaceDN w:val="0"/>
              <w:autoSpaceDE w:val="0"/>
              <w:widowControl/>
              <w:spacing w:line="233" w:lineRule="auto" w:before="162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L’adhésion prend effet à la date indiquée sur le certificat d’adhésion, sous réserve du bon encaissement de la première cotisation. </w:t>
            </w:r>
          </w:p>
          <w:p>
            <w:pPr>
              <w:autoSpaceDN w:val="0"/>
              <w:autoSpaceDE w:val="0"/>
              <w:widowControl/>
              <w:spacing w:line="245" w:lineRule="auto" w:before="4" w:after="0"/>
              <w:ind w:left="160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L’adhésion est conclue pour une durée d’un an à compter de sa prise d’effet et se reconduit tacitement, chaque année, à sa date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d’anniversaire, sauf en cas de résiliation. L’Adhérent dispose d’un délai de renonciation de 14 jours qui commence à courir soit à compter de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la date de signature de son contrat, soit à compter du jour où il a reçu les conditions contractuelles et les informations particulières si cette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dernière date est postérieure.</w:t>
            </w:r>
          </w:p>
          <w:p>
            <w:pPr>
              <w:autoSpaceDN w:val="0"/>
              <w:autoSpaceDE w:val="0"/>
              <w:widowControl/>
              <w:spacing w:line="170" w:lineRule="exact" w:before="0" w:after="0"/>
              <w:ind w:left="160" w:right="432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La couverture prend fin :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résiliation quelqu’en soit le motif, quelle qu’en soit la Partie à l’origine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décès de l’Adhérent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déménagement en dehors de France métropolitaine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retrait total de l’agrément administratif accordé à l’Assureur.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2734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46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COMMENT PUIS-JE RÉSILIER LE CONTRAT ? </w:t>
            </w:r>
          </w:p>
          <w:p>
            <w:pPr>
              <w:autoSpaceDN w:val="0"/>
              <w:autoSpaceDE w:val="0"/>
              <w:widowControl/>
              <w:spacing w:line="245" w:lineRule="auto" w:before="166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L’Adhérent peut résilier son adhésion à chaque échéance anniversaire du contrat moyennant un préavis de deux (2) mois. La résiliation prend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effet la veille de l’échéance annuelle à 24 heures (article L.113-12 du Code des assurances).</w:t>
            </w:r>
          </w:p>
          <w:p>
            <w:pPr>
              <w:autoSpaceDN w:val="0"/>
              <w:autoSpaceDE w:val="0"/>
              <w:widowControl/>
              <w:spacing w:line="170" w:lineRule="exact" w:before="0" w:after="0"/>
              <w:ind w:left="160" w:right="576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Par lettre ou tout autre support durable, par acte extrajudiciaire ou par déclaration adressée au siège social à :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Néoliane Santé – Service Résiliation – 143 Boulevard René Cassin – Immeuble Nouvel’R - Bat C – CS 63278 - 06205 NICE CEDEX 3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Sur l’espace adhérent :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 www.monneoliane.fr, rubrique « Je souhaite résilier ou me rétracter ».</w:t>
            </w:r>
          </w:p>
          <w:p>
            <w:pPr>
              <w:autoSpaceDN w:val="0"/>
              <w:autoSpaceDE w:val="0"/>
              <w:widowControl/>
              <w:spacing w:line="245" w:lineRule="auto" w:before="168" w:after="0"/>
              <w:ind w:left="160" w:right="57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Une fois la première année d’adhésion écoulée, l’Adhérent bénéficie de la même faculté qu’il peut toutefois exercer à tout moment. La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résiliation prend alors effet un (1) mois après réception de la notification de résiliation par l’assureur. </w:t>
            </w:r>
          </w:p>
          <w:p>
            <w:pPr>
              <w:autoSpaceDN w:val="0"/>
              <w:autoSpaceDE w:val="0"/>
              <w:widowControl/>
              <w:spacing w:line="245" w:lineRule="auto" w:before="4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Enfin, en cas de désaccord suite à une modification de ses droits et obligations ou à l’augmentation de sa cotisation, l’Adhérent peut résilier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dans le délai d’un mois suivant la date de réception de la lettre l’en informant.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56" w:right="736" w:bottom="504" w:left="7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