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6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0444"/>
      </w:tblGrid>
      <w:tr>
        <w:trPr>
          <w:trHeight w:hRule="exact" w:val="794"/>
        </w:trPr>
        <w:tc>
          <w:tcPr>
            <w:tcW w:type="dxa" w:w="10382"/>
            <w:tcBorders/>
            <w:shd w:fill="03569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98" w:after="0"/>
              <w:ind w:left="202" w:right="5616" w:firstLine="0"/>
              <w:jc w:val="lef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6"/>
              </w:rPr>
              <w:t>ASSURANCE COMPLÉMENTAIRE SANTÉ</w:t>
            </w:r>
            <w:r>
              <w:br/>
            </w:r>
            <w:r>
              <w:rPr>
                <w:rFonts w:ascii="Montserrat" w:hAnsi="Montserrat" w:eastAsia="Montserrat"/>
                <w:b w:val="0"/>
                <w:i w:val="0"/>
                <w:color w:val="FFFFFF"/>
                <w:sz w:val="16"/>
              </w:rPr>
              <w:t xml:space="preserve">Document d’information sur le produit d’assurance </w:t>
            </w:r>
          </w:p>
        </w:tc>
      </w:tr>
    </w:tbl>
    <w:p>
      <w:pPr>
        <w:autoSpaceDN w:val="0"/>
        <w:autoSpaceDE w:val="0"/>
        <w:widowControl/>
        <w:spacing w:line="17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7.99999999999997" w:type="dxa"/>
      </w:tblPr>
      <w:tblGrid>
        <w:gridCol w:w="10444"/>
      </w:tblGrid>
      <w:tr>
        <w:trPr>
          <w:trHeight w:hRule="exact" w:val="254"/>
        </w:trPr>
        <w:tc>
          <w:tcPr>
            <w:tcW w:type="dxa" w:w="10220"/>
            <w:tcBorders/>
            <w:shd w:fill="03569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FFFFFF"/>
                <w:sz w:val="16"/>
              </w:rPr>
              <w:t xml:space="preserve">Produit co-conçu par </w:t>
            </w:r>
            <w:r>
              <w:rPr>
                <w:rFonts w:ascii="Montserrat" w:hAnsi="Montserrat" w:eastAsia="Montserrat"/>
                <w:b/>
                <w:i w:val="0"/>
                <w:color w:val="FFFFFF"/>
                <w:sz w:val="16"/>
              </w:rPr>
              <w:t>GROUPE SANTIANE HOLDING</w:t>
            </w:r>
            <w:r>
              <w:rPr>
                <w:rFonts w:ascii="Montserrat" w:hAnsi="Montserrat" w:eastAsia="Montserrat"/>
                <w:b w:val="0"/>
                <w:i w:val="0"/>
                <w:color w:val="FFFFFF"/>
                <w:sz w:val="16"/>
              </w:rPr>
              <w:t xml:space="preserve"> − 30/32 Boulevard de Vaugirard - 75015 PARIS − SAS au capital de 511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7.99999999999997" w:type="dxa"/>
      </w:tblPr>
      <w:tblGrid>
        <w:gridCol w:w="10444"/>
      </w:tblGrid>
      <w:tr>
        <w:trPr>
          <w:trHeight w:hRule="exact" w:val="384"/>
        </w:trPr>
        <w:tc>
          <w:tcPr>
            <w:tcW w:type="dxa" w:w="10220"/>
            <w:tcBorders/>
            <w:shd w:fill="03569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FFFFFF"/>
                <w:sz w:val="16"/>
              </w:rPr>
              <w:t>539 € – RCS Paris 812 962 330 – Intermédiaire en assurances – Immatriculé à l’Orias N°19 004 119 (www.orias.fr). Assuré et co-</w:t>
            </w:r>
            <w:r>
              <w:rPr>
                <w:rFonts w:ascii="Montserrat" w:hAnsi="Montserrat" w:eastAsia="Montserrat"/>
                <w:b w:val="0"/>
                <w:i w:val="0"/>
                <w:color w:val="FFFFFF"/>
                <w:sz w:val="16"/>
              </w:rPr>
              <w:t xml:space="preserve">conçu par </w:t>
            </w:r>
            <w:r>
              <w:rPr>
                <w:rFonts w:ascii="Montserrat" w:hAnsi="Montserrat" w:eastAsia="Montserrat"/>
                <w:b/>
                <w:i w:val="0"/>
                <w:color w:val="FFFFFF"/>
                <w:sz w:val="16"/>
              </w:rPr>
              <w:t>L’ÉQUITÉ</w:t>
            </w:r>
            <w:r>
              <w:rPr>
                <w:rFonts w:ascii="Montserrat" w:hAnsi="Montserrat" w:eastAsia="Montserrat"/>
                <w:b w:val="0"/>
                <w:i w:val="0"/>
                <w:color w:val="FFFFFF"/>
                <w:sz w:val="16"/>
              </w:rPr>
              <w:t xml:space="preserve"> – 2 rue Pillet-Will 75009 PARIS – SA au capital de 69 213 760 € – RCS Paris 572 084 697 – Entreprise régie </w:t>
            </w:r>
          </w:p>
        </w:tc>
      </w:tr>
    </w:tbl>
    <w:p>
      <w:pPr>
        <w:autoSpaceDN w:val="0"/>
        <w:autoSpaceDE w:val="0"/>
        <w:widowControl/>
        <w:spacing w:line="230" w:lineRule="auto" w:before="2" w:after="2"/>
        <w:ind w:left="0" w:right="0" w:firstLine="0"/>
        <w:jc w:val="center"/>
      </w:pPr>
      <w:r>
        <w:rPr>
          <w:rFonts w:ascii="Montserrat" w:hAnsi="Montserrat" w:eastAsia="Montserrat"/>
          <w:b w:val="0"/>
          <w:i w:val="0"/>
          <w:color w:val="FFFFFF"/>
          <w:sz w:val="16"/>
        </w:rPr>
        <w:t xml:space="preserve">par le Code des assurances – N° d’identifiant unique ADEME : FR232327_03PBRV – Société appartenant au Groupe Generali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7.99999999999997" w:type="dxa"/>
      </w:tblPr>
      <w:tblGrid>
        <w:gridCol w:w="10444"/>
      </w:tblGrid>
      <w:tr>
        <w:trPr>
          <w:trHeight w:hRule="exact" w:val="250"/>
        </w:trPr>
        <w:tc>
          <w:tcPr>
            <w:tcW w:type="dxa" w:w="8440"/>
            <w:tcBorders/>
            <w:shd w:fill="03569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104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FFFFFF"/>
                <w:sz w:val="16"/>
              </w:rPr>
              <w:t>immatriculé sur le registre italien des groupes d’assurances sous le numéro 026.</w:t>
            </w:r>
          </w:p>
        </w:tc>
      </w:tr>
    </w:tbl>
    <w:p>
      <w:pPr>
        <w:autoSpaceDN w:val="0"/>
        <w:autoSpaceDE w:val="0"/>
        <w:widowControl/>
        <w:spacing w:line="24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7.99999999999997" w:type="dxa"/>
      </w:tblPr>
      <w:tblGrid>
        <w:gridCol w:w="10444"/>
      </w:tblGrid>
      <w:tr>
        <w:trPr>
          <w:trHeight w:hRule="exact" w:val="338"/>
        </w:trPr>
        <w:tc>
          <w:tcPr>
            <w:tcW w:type="dxa" w:w="6600"/>
            <w:tcBorders/>
            <w:shd w:fill="03569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60" w:after="0"/>
              <w:ind w:left="104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FFFFFF"/>
                <w:sz w:val="16"/>
              </w:rPr>
              <w:t xml:space="preserve">Produit : </w:t>
            </w:r>
            <w:r>
              <w:rPr>
                <w:rFonts w:ascii="Montserrat" w:hAnsi="Montserrat" w:eastAsia="Montserrat"/>
                <w:b/>
                <w:i w:val="0"/>
                <w:color w:val="FFFFFF"/>
                <w:sz w:val="16"/>
              </w:rPr>
              <w:t>NÉOLIANE HOSPISANTÉ</w:t>
            </w:r>
          </w:p>
        </w:tc>
      </w:tr>
    </w:tbl>
    <w:p>
      <w:pPr>
        <w:autoSpaceDN w:val="0"/>
        <w:autoSpaceDE w:val="0"/>
        <w:widowControl/>
        <w:spacing w:line="252" w:lineRule="auto" w:before="266" w:after="0"/>
        <w:ind w:left="0" w:right="20" w:firstLine="0"/>
        <w:jc w:val="both"/>
      </w:pPr>
      <w:r>
        <w:rPr>
          <w:rFonts w:ascii="Montserrat" w:hAnsi="Montserrat" w:eastAsia="Montserrat"/>
          <w:b/>
          <w:i w:val="0"/>
          <w:color w:val="575756"/>
          <w:sz w:val="14"/>
        </w:rPr>
        <w:t xml:space="preserve">Ce document d’information présente un résumé des principales garanties et exclusions du produit. Il ne prend pas en compte vos besoins et </w:t>
      </w:r>
      <w:r>
        <w:rPr>
          <w:rFonts w:ascii="Montserrat" w:hAnsi="Montserrat" w:eastAsia="Montserrat"/>
          <w:b/>
          <w:i w:val="0"/>
          <w:color w:val="575756"/>
          <w:sz w:val="14"/>
        </w:rPr>
        <w:t xml:space="preserve">demandes spécifiques. Toutes les informations contractuelles et précontractuelles sur le produit NÉOLIANE HOSPISANTÉ sont fournies au </w:t>
      </w:r>
      <w:r>
        <w:rPr>
          <w:rFonts w:ascii="Montserrat" w:hAnsi="Montserrat" w:eastAsia="Montserrat"/>
          <w:b/>
          <w:i w:val="0"/>
          <w:color w:val="575756"/>
          <w:sz w:val="14"/>
        </w:rPr>
        <w:t>client dans d’autres documents et, notamment, dans le tableau de garanties ci-joint, qui détaille le niveau des remboursements</w:t>
      </w:r>
    </w:p>
    <w:p>
      <w:pPr>
        <w:autoSpaceDN w:val="0"/>
        <w:autoSpaceDE w:val="0"/>
        <w:widowControl/>
        <w:spacing w:line="252" w:lineRule="exact" w:before="128" w:after="0"/>
        <w:ind w:left="0" w:right="0" w:firstLine="0"/>
        <w:jc w:val="left"/>
      </w:pPr>
      <w:r>
        <w:rPr>
          <w:rFonts w:ascii="BrandingSF" w:hAnsi="BrandingSF" w:eastAsia="BrandingSF"/>
          <w:b/>
          <w:i w:val="0"/>
          <w:color w:val="03579E"/>
          <w:sz w:val="22"/>
        </w:rPr>
        <w:t>De quel type d’assurance s’agit-il ?</w:t>
      </w:r>
    </w:p>
    <w:p>
      <w:pPr>
        <w:autoSpaceDN w:val="0"/>
        <w:autoSpaceDE w:val="0"/>
        <w:widowControl/>
        <w:spacing w:line="245" w:lineRule="auto" w:before="76" w:after="96"/>
        <w:ind w:left="0" w:right="22" w:firstLine="0"/>
        <w:jc w:val="both"/>
      </w:pPr>
      <w:r>
        <w:rPr>
          <w:rFonts w:ascii="Montserrat" w:hAnsi="Montserrat" w:eastAsia="Montserrat"/>
          <w:b w:val="0"/>
          <w:i w:val="0"/>
          <w:color w:val="575756"/>
          <w:sz w:val="14"/>
        </w:rPr>
        <w:t xml:space="preserve">Le produit NÉOLIANE HOSPISANTÉ est un produit d’Assurance Complémentaire Santé «NON RESPONSABLE», il ne s’inscrit pas dans le cadre du 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 xml:space="preserve">dispositif législatif relatif aux contrats d’assurance complémentaire santé bénéficiant d’avantages fiscaux et sociaux. Le produit est cependant « 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 xml:space="preserve">solidaire », car il ne prévoit pas de questionnaire d’état de santé et son tarif ne dépend de l’état de santé de l’Assuré. En cas d’accident, de maladie 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 xml:space="preserve">ou de maternité, il est destiné à rembourser tout ou partie des frais de santé restant à la charge de l’adhérent et des éventuels Ayants droit, après 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 xml:space="preserve">l’intervention de son Régime Obligatoire d’assurance maladie et, dans certains cas, des frais non remboursés par ce dernier. Le produit couvre le poste 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 xml:space="preserve">Hospitalisation et, pour les formules les plus couvrantes, le poste soins courants (médicaments et honoraires de médecins généralistes et spécialistes) 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>à l’exclusion des postes optique, dentaire et audiologie.</w:t>
      </w:r>
    </w:p>
    <w:p>
      <w:pPr>
        <w:sectPr>
          <w:pgSz w:w="11906" w:h="16838"/>
          <w:pgMar w:top="284" w:right="700" w:bottom="182" w:left="762" w:header="720" w:footer="720" w:gutter="0"/>
          <w:cols/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2.00000000000003" w:type="dxa"/>
      </w:tblPr>
      <w:tblGrid>
        <w:gridCol w:w="10444"/>
      </w:tblGrid>
      <w:tr>
        <w:trPr>
          <w:trHeight w:hRule="exact" w:val="10858"/>
        </w:trPr>
        <w:tc>
          <w:tcPr>
            <w:tcW w:type="dxa" w:w="5182"/>
            <w:tcBorders>
              <w:start w:sz="16.0" w:val="single" w:color="#03569D"/>
              <w:top w:sz="16.0" w:val="single" w:color="#03569D"/>
              <w:end w:sz="16.0" w:val="single" w:color="#03569D"/>
              <w:bottom w:sz="16.0" w:val="single" w:color="#03569D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26" w:val="left"/>
              </w:tabs>
              <w:autoSpaceDE w:val="0"/>
              <w:widowControl/>
              <w:spacing w:line="240" w:lineRule="auto" w:before="146" w:after="0"/>
              <w:ind w:left="166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55600" cy="381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" cy="381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BrandingSF" w:hAnsi="BrandingSF" w:eastAsia="BrandingSF"/>
                <w:b/>
                <w:i w:val="0"/>
                <w:color w:val="03579E"/>
                <w:sz w:val="22"/>
              </w:rPr>
              <w:t xml:space="preserve">QU’EST CE QUI EST ASSURÉ ? </w:t>
            </w:r>
          </w:p>
          <w:p>
            <w:pPr>
              <w:autoSpaceDN w:val="0"/>
              <w:autoSpaceDE w:val="0"/>
              <w:widowControl/>
              <w:spacing w:line="245" w:lineRule="auto" w:before="390" w:after="0"/>
              <w:ind w:left="160" w:right="122" w:firstLine="2"/>
              <w:jc w:val="both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 xml:space="preserve">Les remboursements de frais couverts par l’assurance ne peuvent pas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 xml:space="preserve">être plus élevés que les dépenses engagées. Ils sont soumis à des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 xml:space="preserve">plafonds qui varient en fonction de la formule et par conséquent une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 xml:space="preserve">somme peut rester à votre charge. </w:t>
            </w:r>
          </w:p>
          <w:p>
            <w:pPr>
              <w:autoSpaceDN w:val="0"/>
              <w:autoSpaceDE w:val="0"/>
              <w:widowControl/>
              <w:spacing w:line="233" w:lineRule="auto" w:before="194" w:after="0"/>
              <w:ind w:left="162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 xml:space="preserve">Le détail de ces plafonds figure au tableau des garanties ci-joint. </w:t>
            </w:r>
          </w:p>
          <w:p>
            <w:pPr>
              <w:autoSpaceDN w:val="0"/>
              <w:autoSpaceDE w:val="0"/>
              <w:widowControl/>
              <w:spacing w:line="266" w:lineRule="auto" w:before="176" w:after="110"/>
              <w:ind w:left="160" w:right="0" w:firstLine="0"/>
              <w:jc w:val="left"/>
            </w:pPr>
            <w:r>
              <w:rPr>
                <w:u w:val="single" w:color="000000"/>
                <w:rFonts w:ascii="Montserrat" w:hAnsi="Montserrat" w:eastAsia="Montserrat"/>
                <w:b/>
                <w:i w:val="0"/>
                <w:color w:val="575756"/>
                <w:sz w:val="16"/>
              </w:rPr>
              <w:t>LES GARANTIES SYSTÉMATIQUEMENT PRÉVUES :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65.99999999999994" w:type="dxa"/>
            </w:tblPr>
            <w:tblGrid>
              <w:gridCol w:w="2591"/>
              <w:gridCol w:w="2591"/>
            </w:tblGrid>
            <w:tr>
              <w:trPr>
                <w:trHeight w:hRule="exact" w:val="474"/>
              </w:trPr>
              <w:tc>
                <w:tcPr>
                  <w:tcW w:type="dxa" w:w="2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78" w:after="0"/>
                    <w:ind w:left="0" w:right="0" w:firstLine="0"/>
                    <w:jc w:val="right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88900" cy="101600"/>
                        <wp:docPr id="2" name="Picture 2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8900" cy="1016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type="dxa" w:w="44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0" w:lineRule="auto" w:before="60" w:after="0"/>
                    <w:ind w:left="16" w:right="288" w:firstLine="0"/>
                    <w:jc w:val="left"/>
                  </w:pPr>
                  <w:r>
                    <w:rPr>
                      <w:rFonts w:ascii="Montserrat" w:hAnsi="Montserrat" w:eastAsia="Montserrat"/>
                      <w:b/>
                      <w:i w:val="0"/>
                      <w:color w:val="575756"/>
                      <w:sz w:val="14"/>
                    </w:rPr>
                    <w:t>Hospitalisation :</w:t>
                  </w:r>
                  <w:r>
                    <w:rPr>
                      <w:rFonts w:ascii="Montserrat" w:hAnsi="Montserrat" w:eastAsia="Montserrat"/>
                      <w:b w:val="0"/>
                      <w:i w:val="0"/>
                      <w:color w:val="575756"/>
                      <w:sz w:val="14"/>
                    </w:rPr>
                    <w:t xml:space="preserve"> Forfait journalier hospitalier, Frais de séjour, </w:t>
                  </w:r>
                  <w:r>
                    <w:rPr>
                      <w:rFonts w:ascii="Montserrat" w:hAnsi="Montserrat" w:eastAsia="Montserrat"/>
                      <w:b w:val="0"/>
                      <w:i w:val="0"/>
                      <w:color w:val="575756"/>
                      <w:sz w:val="14"/>
                    </w:rPr>
                    <w:t>Honoraires, Chambre particulière, Lit accompagnant.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52" w:lineRule="auto" w:before="308" w:after="110"/>
              <w:ind w:left="160" w:right="144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6"/>
              </w:rPr>
              <w:t xml:space="preserve">LES GARANTIES D’ASSISTANCE SYSTÉMATIQUEMENT </w:t>
            </w:r>
            <w:r>
              <w:rPr>
                <w:u w:val="single" w:color="000000"/>
                <w:rFonts w:ascii="Montserrat" w:hAnsi="Montserrat" w:eastAsia="Montserrat"/>
                <w:b/>
                <w:i w:val="0"/>
                <w:color w:val="575756"/>
                <w:sz w:val="16"/>
              </w:rPr>
              <w:t>PRÉVUES :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65.99999999999994" w:type="dxa"/>
            </w:tblPr>
            <w:tblGrid>
              <w:gridCol w:w="2591"/>
              <w:gridCol w:w="2591"/>
            </w:tblGrid>
            <w:tr>
              <w:trPr>
                <w:trHeight w:hRule="exact" w:val="1668"/>
              </w:trPr>
              <w:tc>
                <w:tcPr>
                  <w:tcW w:type="dxa" w:w="2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78" w:after="0"/>
                    <w:ind w:left="0" w:right="0" w:firstLine="0"/>
                    <w:jc w:val="right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88900" cy="101600"/>
                        <wp:docPr id="3" name="Picture 3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8900" cy="1016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autoSpaceDN w:val="0"/>
                    <w:autoSpaceDE w:val="0"/>
                    <w:widowControl/>
                    <w:spacing w:line="240" w:lineRule="auto" w:before="360" w:after="0"/>
                    <w:ind w:left="0" w:right="0" w:firstLine="0"/>
                    <w:jc w:val="right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88900" cy="101600"/>
                        <wp:docPr id="4" name="Picture 4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8900" cy="1016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autoSpaceDN w:val="0"/>
                    <w:autoSpaceDE w:val="0"/>
                    <w:widowControl/>
                    <w:spacing w:line="240" w:lineRule="auto" w:before="340" w:after="0"/>
                    <w:ind w:left="0" w:right="0" w:firstLine="0"/>
                    <w:jc w:val="right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88900" cy="101600"/>
                        <wp:docPr id="5" name="Picture 5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8900" cy="1016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autoSpaceDN w:val="0"/>
                    <w:autoSpaceDE w:val="0"/>
                    <w:widowControl/>
                    <w:spacing w:line="240" w:lineRule="auto" w:before="180" w:after="0"/>
                    <w:ind w:left="0" w:right="0" w:firstLine="0"/>
                    <w:jc w:val="right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88900" cy="101600"/>
                        <wp:docPr id="6" name="Picture 6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8900" cy="1016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type="dxa" w:w="47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60" w:after="0"/>
                    <w:ind w:left="20" w:right="0" w:firstLine="0"/>
                    <w:jc w:val="left"/>
                  </w:pPr>
                  <w:r>
                    <w:rPr>
                      <w:rFonts w:ascii="Montserrat" w:hAnsi="Montserrat" w:eastAsia="Montserrat"/>
                      <w:b/>
                      <w:i w:val="0"/>
                      <w:color w:val="575756"/>
                      <w:sz w:val="14"/>
                    </w:rPr>
                    <w:t>Aide à domicile :</w:t>
                  </w:r>
                  <w:r>
                    <w:rPr>
                      <w:rFonts w:ascii="Montserrat" w:hAnsi="Montserrat" w:eastAsia="Montserrat"/>
                      <w:b w:val="0"/>
                      <w:i w:val="0"/>
                      <w:color w:val="575756"/>
                      <w:sz w:val="14"/>
                    </w:rPr>
                    <w:t xml:space="preserve"> en cas d’accident ou de maladie soudaine </w:t>
                  </w:r>
                  <w:r>
                    <w:rPr>
                      <w:rFonts w:ascii="Montserrat" w:hAnsi="Montserrat" w:eastAsia="Montserrat"/>
                      <w:b w:val="0"/>
                      <w:i w:val="0"/>
                      <w:color w:val="575756"/>
                      <w:sz w:val="14"/>
                    </w:rPr>
                    <w:t xml:space="preserve">et imprévisible entrainant une hospitalisation imprévue ou </w:t>
                  </w:r>
                  <w:r>
                    <w:rPr>
                      <w:rFonts w:ascii="Montserrat" w:hAnsi="Montserrat" w:eastAsia="Montserrat"/>
                      <w:b w:val="0"/>
                      <w:i w:val="0"/>
                      <w:color w:val="575756"/>
                      <w:sz w:val="14"/>
                    </w:rPr>
                    <w:t xml:space="preserve">programmée ; </w:t>
                  </w:r>
                  <w:r>
                    <w:br/>
                  </w:r>
                  <w:r>
                    <w:rPr>
                      <w:rFonts w:ascii="Montserrat" w:hAnsi="Montserrat" w:eastAsia="Montserrat"/>
                      <w:b/>
                      <w:i w:val="0"/>
                      <w:color w:val="575756"/>
                      <w:sz w:val="14"/>
                    </w:rPr>
                    <w:t>Présence d’un proche :</w:t>
                  </w:r>
                  <w:r>
                    <w:rPr>
                      <w:rFonts w:ascii="Montserrat" w:hAnsi="Montserrat" w:eastAsia="Montserrat"/>
                      <w:b w:val="0"/>
                      <w:i w:val="0"/>
                      <w:color w:val="575756"/>
                      <w:sz w:val="14"/>
                    </w:rPr>
                    <w:t xml:space="preserve"> en cas d’accident ou de maladie soudaine </w:t>
                  </w:r>
                  <w:r>
                    <w:rPr>
                      <w:rFonts w:ascii="Montserrat" w:hAnsi="Montserrat" w:eastAsia="Montserrat"/>
                      <w:b w:val="0"/>
                      <w:i w:val="0"/>
                      <w:color w:val="575756"/>
                      <w:sz w:val="14"/>
                    </w:rPr>
                    <w:t xml:space="preserve">et imprévisible entrainant une hospitalisation imprévue ou </w:t>
                  </w:r>
                  <w:r>
                    <w:rPr>
                      <w:rFonts w:ascii="Montserrat" w:hAnsi="Montserrat" w:eastAsia="Montserrat"/>
                      <w:b w:val="0"/>
                      <w:i w:val="0"/>
                      <w:color w:val="575756"/>
                      <w:sz w:val="14"/>
                    </w:rPr>
                    <w:t xml:space="preserve">programmée ; </w:t>
                  </w:r>
                  <w:r>
                    <w:br/>
                  </w:r>
                  <w:r>
                    <w:rPr>
                      <w:rFonts w:ascii="Montserrat" w:hAnsi="Montserrat" w:eastAsia="Montserrat"/>
                      <w:b/>
                      <w:i w:val="0"/>
                      <w:color w:val="575756"/>
                      <w:sz w:val="14"/>
                    </w:rPr>
                    <w:t>Soutien psychologique :</w:t>
                  </w:r>
                  <w:r>
                    <w:rPr>
                      <w:rFonts w:ascii="Montserrat" w:hAnsi="Montserrat" w:eastAsia="Montserrat"/>
                      <w:b w:val="0"/>
                      <w:i w:val="0"/>
                      <w:color w:val="575756"/>
                      <w:sz w:val="14"/>
                    </w:rPr>
                    <w:t xml:space="preserve"> en cas d’évènements ressentis comme </w:t>
                  </w:r>
                  <w:r>
                    <w:rPr>
                      <w:rFonts w:ascii="Montserrat" w:hAnsi="Montserrat" w:eastAsia="Montserrat"/>
                      <w:b w:val="0"/>
                      <w:i w:val="0"/>
                      <w:color w:val="575756"/>
                      <w:sz w:val="14"/>
                    </w:rPr>
                    <w:t xml:space="preserve">traumatisants par l’un des bénéficiaires ; </w:t>
                  </w:r>
                  <w:r>
                    <w:br/>
                  </w:r>
                  <w:r>
                    <w:rPr>
                      <w:rFonts w:ascii="Montserrat" w:hAnsi="Montserrat" w:eastAsia="Montserrat"/>
                      <w:b/>
                      <w:i w:val="0"/>
                      <w:color w:val="575756"/>
                      <w:sz w:val="14"/>
                    </w:rPr>
                    <w:t>Avance de fonds :</w:t>
                  </w:r>
                  <w:r>
                    <w:rPr>
                      <w:rFonts w:ascii="Montserrat" w:hAnsi="Montserrat" w:eastAsia="Montserrat"/>
                      <w:b w:val="0"/>
                      <w:i w:val="0"/>
                      <w:color w:val="575756"/>
                      <w:sz w:val="14"/>
                    </w:rPr>
                    <w:t xml:space="preserve"> en cas de décès de l’un des bénéficiaires.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62" w:lineRule="exact" w:before="360" w:after="0"/>
              <w:ind w:left="160" w:right="432" w:firstLine="0"/>
              <w:jc w:val="left"/>
            </w:pPr>
            <w:r>
              <w:rPr>
                <w:u w:val="single" w:color="575656"/>
                <w:rFonts w:ascii="Montserrat" w:hAnsi="Montserrat" w:eastAsia="Montserrat"/>
                <w:b/>
                <w:i w:val="0"/>
                <w:color w:val="575756"/>
                <w:sz w:val="16"/>
              </w:rPr>
              <w:t>LES GARANTIES NON SYSTÉMATIQUEMENT PRÉVUES :</w:t>
            </w:r>
            <w:r>
              <w:rPr>
                <w:rFonts w:ascii="HelveticaNeueLTStd" w:hAnsi="HelveticaNeueLTStd" w:eastAsia="HelveticaNeueLTStd"/>
                <w:b w:val="0"/>
                <w:i w:val="0"/>
                <w:color w:val="717070"/>
                <w:sz w:val="14"/>
              </w:rPr>
              <w:t xml:space="preserve">• </w:t>
            </w:r>
            <w:r>
              <w:rPr>
                <w:u w:val="single" w:color="575656"/>
                <w:rFonts w:ascii="Montserrat" w:hAnsi="Montserrat" w:eastAsia="Montserrat"/>
                <w:b/>
                <w:i w:val="0"/>
                <w:color w:val="575756"/>
                <w:sz w:val="14"/>
              </w:rPr>
              <w:t>Soins courants :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 xml:space="preserve"> Médicaments, Honoraires médicaux.</w:t>
            </w:r>
          </w:p>
          <w:p>
            <w:pPr>
              <w:autoSpaceDN w:val="0"/>
              <w:autoSpaceDE w:val="0"/>
              <w:widowControl/>
              <w:spacing w:line="269" w:lineRule="auto" w:before="364" w:after="0"/>
              <w:ind w:left="160" w:right="0" w:firstLine="0"/>
              <w:jc w:val="left"/>
            </w:pPr>
            <w:r>
              <w:rPr>
                <w:u w:val="single" w:color="575656"/>
                <w:rFonts w:ascii="Montserrat" w:hAnsi="Montserrat" w:eastAsia="Montserrat"/>
                <w:b/>
                <w:i w:val="0"/>
                <w:color w:val="575756"/>
                <w:sz w:val="16"/>
              </w:rPr>
              <w:t>LES SERVICES SYSTÉMATIQUEMENT PRÉVUS :</w:t>
            </w:r>
          </w:p>
          <w:p>
            <w:pPr>
              <w:autoSpaceDN w:val="0"/>
              <w:tabs>
                <w:tab w:pos="186" w:val="left"/>
                <w:tab w:pos="346" w:val="left"/>
              </w:tabs>
              <w:autoSpaceDE w:val="0"/>
              <w:widowControl/>
              <w:spacing w:line="240" w:lineRule="auto" w:before="0" w:after="0"/>
              <w:ind w:left="160" w:right="144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88900" cy="10160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Montserrat" w:hAnsi="Montserrat" w:eastAsia="Montserrat"/>
                <w:b/>
                <w:i w:val="0"/>
                <w:color w:val="575756"/>
                <w:sz w:val="14"/>
              </w:rPr>
              <w:t>Tiers Payant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 xml:space="preserve">, via le réseau Viamedis (dispense d’avance de frais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>chez de nombreux professionnels de santé) ;</w:t>
            </w:r>
          </w:p>
          <w:p>
            <w:pPr>
              <w:autoSpaceDN w:val="0"/>
              <w:autoSpaceDE w:val="0"/>
              <w:widowControl/>
              <w:spacing w:line="235" w:lineRule="auto" w:before="196" w:after="0"/>
              <w:ind w:left="160" w:right="0" w:firstLine="0"/>
              <w:jc w:val="left"/>
            </w:pPr>
            <w:r>
              <w:rPr>
                <w:u w:val="single" w:color="575656"/>
                <w:rFonts w:ascii="Montserrat" w:hAnsi="Montserrat" w:eastAsia="Montserrat"/>
                <w:b/>
                <w:i w:val="0"/>
                <w:color w:val="575756"/>
                <w:sz w:val="16"/>
              </w:rPr>
              <w:t>L’ASSISTANCE SYSTÉMATIQUEMENT PRÉVUS :</w:t>
            </w:r>
          </w:p>
          <w:p>
            <w:pPr>
              <w:autoSpaceDN w:val="0"/>
              <w:tabs>
                <w:tab w:pos="186" w:val="left"/>
                <w:tab w:pos="346" w:val="left"/>
                <w:tab w:pos="1462" w:val="left"/>
                <w:tab w:pos="2002" w:val="left"/>
                <w:tab w:pos="2598" w:val="left"/>
                <w:tab w:pos="3964" w:val="left"/>
              </w:tabs>
              <w:autoSpaceDE w:val="0"/>
              <w:widowControl/>
              <w:spacing w:line="240" w:lineRule="auto" w:before="0" w:after="0"/>
              <w:ind w:left="16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88900" cy="10160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 xml:space="preserve">Assistance </w:t>
            </w:r>
            <w:r>
              <w:tab/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 xml:space="preserve">en </w:t>
            </w:r>
            <w:r>
              <w:tab/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 xml:space="preserve">cas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 xml:space="preserve">d’événements </w:t>
            </w:r>
            <w:r>
              <w:tab/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 xml:space="preserve">traumatisants,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 xml:space="preserve">d’immobilisation, d’hospitalisation, de chimio/radiothérapie, de </w:t>
            </w:r>
          </w:p>
          <w:p>
            <w:pPr>
              <w:autoSpaceDN w:val="0"/>
              <w:autoSpaceDE w:val="0"/>
              <w:widowControl/>
              <w:spacing w:line="233" w:lineRule="auto" w:before="26" w:after="0"/>
              <w:ind w:left="160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 xml:space="preserve">perte d’autonomie ou de décès. </w:t>
            </w:r>
          </w:p>
          <w:p>
            <w:pPr>
              <w:autoSpaceDN w:val="0"/>
              <w:autoSpaceDE w:val="0"/>
              <w:widowControl/>
              <w:spacing w:line="240" w:lineRule="auto" w:before="192" w:after="0"/>
              <w:ind w:left="864" w:right="576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4"/>
              </w:rPr>
              <w:t xml:space="preserve">« Les garanties précédées d’une coche </w:t>
            </w:r>
            <w:r>
              <w:drawing>
                <wp:inline xmlns:a="http://schemas.openxmlformats.org/drawingml/2006/main" xmlns:pic="http://schemas.openxmlformats.org/drawingml/2006/picture">
                  <wp:extent cx="88900" cy="101600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Montserrat" w:hAnsi="Montserrat" w:eastAsia="Montserrat"/>
                <w:b/>
                <w:i w:val="0"/>
                <w:color w:val="575756"/>
                <w:sz w:val="14"/>
              </w:rPr>
              <w:t xml:space="preserve"> sont </w:t>
            </w:r>
            <w:r>
              <w:rPr>
                <w:rFonts w:ascii="Montserrat" w:hAnsi="Montserrat" w:eastAsia="Montserrat"/>
                <w:b/>
                <w:i w:val="0"/>
                <w:color w:val="575756"/>
                <w:sz w:val="14"/>
              </w:rPr>
              <w:t>systématiquement prévues au contrat ».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type w:val="continuous"/>
          <w:pgSz w:w="11906" w:h="16838"/>
          <w:pgMar w:top="284" w:right="700" w:bottom="182" w:left="762" w:header="720" w:footer="720" w:gutter="0"/>
          <w:cols w:num="2" w:equalWidth="0">
            <w:col w:w="5301" w:space="0"/>
            <w:col w:w="5141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8.00000000000068" w:type="dxa"/>
      </w:tblPr>
      <w:tblGrid>
        <w:gridCol w:w="10444"/>
      </w:tblGrid>
      <w:tr>
        <w:trPr>
          <w:trHeight w:hRule="exact" w:val="3592"/>
        </w:trPr>
        <w:tc>
          <w:tcPr>
            <w:tcW w:type="dxa" w:w="4982"/>
            <w:tcBorders>
              <w:start w:sz="16.0" w:val="single" w:color="#03569D"/>
              <w:top w:sz="16.0" w:val="single" w:color="#03569D"/>
              <w:end w:sz="16.0" w:val="single" w:color="#03569D"/>
              <w:bottom w:sz="16.0" w:val="single" w:color="#03569D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6" w:after="0"/>
              <w:ind w:left="168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55600" cy="368300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" cy="368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BrandingSF" w:hAnsi="BrandingSF" w:eastAsia="BrandingSF"/>
                <w:b/>
                <w:i w:val="0"/>
                <w:color w:val="03579E"/>
                <w:sz w:val="22"/>
              </w:rPr>
              <w:t>QU’EST-CE QUI N’EST PAS ASSURÉ ?</w:t>
            </w:r>
          </w:p>
          <w:p>
            <w:pPr>
              <w:autoSpaceDN w:val="0"/>
              <w:autoSpaceDE w:val="0"/>
              <w:widowControl/>
              <w:spacing w:line="240" w:lineRule="auto" w:before="234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8900" cy="76200"/>
                  <wp:docPr id="11" name="Picture 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>Les soins reçus en dehors de la période de validité du contrat ;</w:t>
            </w:r>
          </w:p>
          <w:p>
            <w:pPr>
              <w:autoSpaceDN w:val="0"/>
              <w:autoSpaceDE w:val="0"/>
              <w:widowControl/>
              <w:spacing w:line="240" w:lineRule="auto" w:before="16" w:after="0"/>
              <w:ind w:left="188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88900" cy="76200"/>
                  <wp:docPr id="12" name="Picture 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 xml:space="preserve">Les frais optiques, dentaires et audioprothèses ; </w:t>
            </w:r>
          </w:p>
          <w:p>
            <w:pPr>
              <w:autoSpaceDN w:val="0"/>
              <w:autoSpaceDE w:val="0"/>
              <w:widowControl/>
              <w:spacing w:line="240" w:lineRule="auto" w:before="16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8900" cy="76200"/>
                  <wp:docPr id="13" name="Picture 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 xml:space="preserve">Les indemnités versées en complément de la sécurité sociale en </w:t>
            </w:r>
          </w:p>
          <w:p>
            <w:pPr>
              <w:autoSpaceDN w:val="0"/>
              <w:autoSpaceDE w:val="0"/>
              <w:widowControl/>
              <w:spacing w:line="230" w:lineRule="auto" w:before="16" w:after="0"/>
              <w:ind w:left="380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>cas d’arrêt de travail ;</w:t>
            </w:r>
          </w:p>
          <w:p>
            <w:pPr>
              <w:autoSpaceDN w:val="0"/>
              <w:autoSpaceDE w:val="0"/>
              <w:widowControl/>
              <w:spacing w:line="240" w:lineRule="auto" w:before="16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8900" cy="76200"/>
                  <wp:docPr id="14" name="Picture 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 xml:space="preserve">La chirurgie non prise en charge par la sécurité sociale, dans un </w:t>
            </w:r>
          </w:p>
          <w:p>
            <w:pPr>
              <w:autoSpaceDN w:val="0"/>
              <w:autoSpaceDE w:val="0"/>
              <w:widowControl/>
              <w:spacing w:line="230" w:lineRule="auto" w:before="16" w:after="0"/>
              <w:ind w:left="380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>but de rajeunissement ou esthétique ;</w:t>
            </w:r>
          </w:p>
          <w:p>
            <w:pPr>
              <w:autoSpaceDN w:val="0"/>
              <w:autoSpaceDE w:val="0"/>
              <w:widowControl/>
              <w:spacing w:line="240" w:lineRule="auto" w:before="16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8900" cy="76200"/>
                  <wp:docPr id="15" name="Picture 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 xml:space="preserve">Les soins effectués à des fins esthétiques, les cures de toutes </w:t>
            </w:r>
          </w:p>
          <w:p>
            <w:pPr>
              <w:autoSpaceDN w:val="0"/>
              <w:autoSpaceDE w:val="0"/>
              <w:widowControl/>
              <w:spacing w:line="230" w:lineRule="auto" w:before="16" w:after="0"/>
              <w:ind w:left="380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 xml:space="preserve">natures, la thalassothérapie ; </w:t>
            </w:r>
          </w:p>
          <w:p>
            <w:pPr>
              <w:autoSpaceDN w:val="0"/>
              <w:autoSpaceDE w:val="0"/>
              <w:widowControl/>
              <w:spacing w:line="240" w:lineRule="auto" w:before="16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8900" cy="76200"/>
                  <wp:docPr id="16" name="Picture 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 xml:space="preserve">Les actes d’imagerie et actes d’échographies, les actes techniques </w:t>
            </w:r>
          </w:p>
          <w:p>
            <w:pPr>
              <w:autoSpaceDN w:val="0"/>
              <w:autoSpaceDE w:val="0"/>
              <w:widowControl/>
              <w:spacing w:line="230" w:lineRule="auto" w:before="16" w:after="0"/>
              <w:ind w:left="380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 xml:space="preserve">médicaux pour les médecins adhérents et non adhérents à </w:t>
            </w:r>
          </w:p>
          <w:p>
            <w:pPr>
              <w:autoSpaceDN w:val="0"/>
              <w:autoSpaceDE w:val="0"/>
              <w:widowControl/>
              <w:spacing w:line="230" w:lineRule="auto" w:before="16" w:after="0"/>
              <w:ind w:left="380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 xml:space="preserve">l’OPTAM ou l’OPTAM-CO, les honoraires paramédicaux, les </w:t>
            </w:r>
          </w:p>
          <w:p>
            <w:pPr>
              <w:autoSpaceDN w:val="0"/>
              <w:autoSpaceDE w:val="0"/>
              <w:widowControl/>
              <w:spacing w:line="230" w:lineRule="auto" w:before="16" w:after="0"/>
              <w:ind w:left="380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>analyses et examens de laboratoire, le matériel médical.</w:t>
            </w:r>
          </w:p>
          <w:p>
            <w:pPr>
              <w:autoSpaceDN w:val="0"/>
              <w:autoSpaceDE w:val="0"/>
              <w:widowControl/>
              <w:spacing w:line="266" w:lineRule="auto" w:before="9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4"/>
              </w:rPr>
              <w:t>Cette liste n’est pas exhaustive.</w:t>
            </w:r>
          </w:p>
        </w:tc>
      </w:tr>
    </w:tbl>
    <w:p>
      <w:pPr>
        <w:autoSpaceDN w:val="0"/>
        <w:autoSpaceDE w:val="0"/>
        <w:widowControl/>
        <w:spacing w:line="9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0.0" w:type="dxa"/>
      </w:tblPr>
      <w:tblGrid>
        <w:gridCol w:w="10444"/>
      </w:tblGrid>
      <w:tr>
        <w:trPr>
          <w:trHeight w:hRule="exact" w:val="7114"/>
        </w:trPr>
        <w:tc>
          <w:tcPr>
            <w:tcW w:type="dxa" w:w="4940"/>
            <w:tcBorders>
              <w:start w:sz="16.0" w:val="single" w:color="#03569D"/>
              <w:top w:sz="16.0" w:val="single" w:color="#03569D"/>
              <w:end w:sz="16.0" w:val="single" w:color="#03569D"/>
              <w:bottom w:sz="16.0" w:val="single" w:color="#03569D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0" w:after="0"/>
              <w:ind w:left="146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68300" cy="381000"/>
                  <wp:docPr id="17" name="Picture 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300" cy="381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BrandingSF" w:hAnsi="BrandingSF" w:eastAsia="BrandingSF"/>
                <w:b/>
                <w:i w:val="0"/>
                <w:color w:val="03579E"/>
                <w:sz w:val="22"/>
              </w:rPr>
              <w:t xml:space="preserve">Y-A-T-IL DES EXCLUSIONS À LA </w:t>
            </w:r>
            <w:r>
              <w:rPr>
                <w:rFonts w:ascii="BrandingSF" w:hAnsi="BrandingSF" w:eastAsia="BrandingSF"/>
                <w:b/>
                <w:i w:val="0"/>
                <w:color w:val="03579E"/>
                <w:sz w:val="22"/>
              </w:rPr>
              <w:t>COUVERTURE ?</w:t>
            </w:r>
          </w:p>
          <w:p>
            <w:pPr>
              <w:autoSpaceDN w:val="0"/>
              <w:tabs>
                <w:tab w:pos="274" w:val="left"/>
              </w:tabs>
              <w:autoSpaceDE w:val="0"/>
              <w:widowControl/>
              <w:spacing w:line="254" w:lineRule="auto" w:before="166" w:after="0"/>
              <w:ind w:left="160" w:right="0" w:firstLine="0"/>
              <w:jc w:val="left"/>
            </w:pPr>
            <w:r>
              <w:rPr>
                <w:u w:val="single" w:color="575656"/>
                <w:rFonts w:ascii="Montserrat" w:hAnsi="Montserrat" w:eastAsia="Montserrat"/>
                <w:b/>
                <w:i w:val="0"/>
                <w:color w:val="575756"/>
                <w:sz w:val="14"/>
              </w:rPr>
              <w:t xml:space="preserve">PRINCIPALES EXCLUSIONS : </w:t>
            </w:r>
            <w:r>
              <w:br/>
            </w:r>
            <w:r>
              <w:rPr>
                <w:rFonts w:ascii="Montserrat" w:hAnsi="Montserrat" w:eastAsia="Montserrat"/>
                <w:b/>
                <w:i w:val="0"/>
                <w:color w:val="EA5C2C"/>
                <w:sz w:val="14"/>
              </w:rPr>
              <w:t>!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 xml:space="preserve">Le frais liés aux paniers 100% santé ; </w:t>
            </w:r>
            <w:r>
              <w:br/>
            </w:r>
            <w:r>
              <w:rPr>
                <w:rFonts w:ascii="Montserrat" w:hAnsi="Montserrat" w:eastAsia="Montserrat"/>
                <w:b w:val="0"/>
                <w:i w:val="0"/>
                <w:color w:val="EA5C2C"/>
                <w:sz w:val="14"/>
              </w:rPr>
              <w:t>!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 xml:space="preserve">La participation forfaitaire de 2€ et les franchises sur les boites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 xml:space="preserve">de médicaments, actes paramédicaux et transport ; </w:t>
            </w:r>
            <w:r>
              <w:br/>
            </w:r>
            <w:r>
              <w:rPr>
                <w:rFonts w:ascii="Montserrat" w:hAnsi="Montserrat" w:eastAsia="Montserrat"/>
                <w:b w:val="0"/>
                <w:i w:val="0"/>
                <w:color w:val="EA5C2C"/>
                <w:sz w:val="14"/>
              </w:rPr>
              <w:t>!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 xml:space="preserve"> La majoration du Ticket Modérateur et les dépassements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 xml:space="preserve">d’honoraires si les dépenses de santé sont réalisées en dehors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>du parcours de soins.</w:t>
            </w:r>
          </w:p>
          <w:p>
            <w:pPr>
              <w:autoSpaceDN w:val="0"/>
              <w:tabs>
                <w:tab w:pos="240" w:val="left"/>
              </w:tabs>
              <w:autoSpaceDE w:val="0"/>
              <w:widowControl/>
              <w:spacing w:line="257" w:lineRule="auto" w:before="172" w:after="0"/>
              <w:ind w:left="160" w:right="288" w:firstLine="0"/>
              <w:jc w:val="left"/>
            </w:pPr>
            <w:r>
              <w:rPr>
                <w:u w:val="single" w:color="575656"/>
                <w:rFonts w:ascii="Montserrat" w:hAnsi="Montserrat" w:eastAsia="Montserrat"/>
                <w:b/>
                <w:i w:val="0"/>
                <w:color w:val="575756"/>
                <w:sz w:val="14"/>
              </w:rPr>
              <w:t xml:space="preserve">PRINCIPALES RESTRICTIONS : </w:t>
            </w:r>
            <w:r>
              <w:br/>
            </w:r>
            <w:r>
              <w:rPr>
                <w:rFonts w:ascii="Montserrat" w:hAnsi="Montserrat" w:eastAsia="Montserrat"/>
                <w:b/>
                <w:i w:val="0"/>
                <w:color w:val="EA5C2C"/>
                <w:sz w:val="14"/>
              </w:rPr>
              <w:t>!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 xml:space="preserve">Un délai de carence de douze (12) mois à compter de la date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 xml:space="preserve">d’effet du contrat sur les frais engagés dans un Centre de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 xml:space="preserve">convalescence. </w:t>
            </w:r>
          </w:p>
          <w:p>
            <w:pPr>
              <w:autoSpaceDN w:val="0"/>
              <w:tabs>
                <w:tab w:pos="240" w:val="left"/>
                <w:tab w:pos="242" w:val="left"/>
              </w:tabs>
              <w:autoSpaceDE w:val="0"/>
              <w:widowControl/>
              <w:spacing w:line="252" w:lineRule="auto" w:before="14" w:after="0"/>
              <w:ind w:left="160" w:right="288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 xml:space="preserve">Les restrictions suivantes ne s’appliquent pas en cas d’accident : </w:t>
            </w:r>
            <w:r>
              <w:rPr>
                <w:rFonts w:ascii="Montserrat" w:hAnsi="Montserrat" w:eastAsia="Montserrat"/>
                <w:b/>
                <w:i w:val="0"/>
                <w:color w:val="EA5C2C"/>
                <w:sz w:val="14"/>
              </w:rPr>
              <w:t>!</w:t>
            </w:r>
            <w:r>
              <w:rPr>
                <w:rFonts w:ascii="Montserrat" w:hAnsi="Montserrat" w:eastAsia="Montserrat"/>
                <w:b/>
                <w:i w:val="0"/>
                <w:color w:val="575756"/>
                <w:sz w:val="14"/>
              </w:rPr>
              <w:t>Forfait journalier hospitalier :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 xml:space="preserve"> Un délai de carence de trois (3)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 xml:space="preserve">mois à compter de la date d’effet s’applique sur cette garantie ; </w:t>
            </w:r>
            <w:r>
              <w:rPr>
                <w:rFonts w:ascii="Montserrat" w:hAnsi="Montserrat" w:eastAsia="Montserrat"/>
                <w:b/>
                <w:i w:val="0"/>
                <w:color w:val="EA5C2C"/>
                <w:sz w:val="14"/>
              </w:rPr>
              <w:t>!</w:t>
            </w:r>
            <w:r>
              <w:rPr>
                <w:rFonts w:ascii="Montserrat" w:hAnsi="Montserrat" w:eastAsia="Montserrat"/>
                <w:b/>
                <w:i w:val="0"/>
                <w:color w:val="575756"/>
                <w:sz w:val="14"/>
              </w:rPr>
              <w:t>Chambre particulière :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 xml:space="preserve">  La chambre particulière ne sera pas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 xml:space="preserve">remboursée durant les 3 premiers mois d’adhésion à compter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 xml:space="preserve">de la date d’effet. Prise en charge par an et par bénéficiaire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 xml:space="preserve">pour une durée limitée à soixante (60) jours ; </w:t>
            </w:r>
            <w:r>
              <w:br/>
            </w:r>
            <w:r>
              <w:rPr>
                <w:rFonts w:ascii="Montserrat" w:hAnsi="Montserrat" w:eastAsia="Montserrat"/>
                <w:b/>
                <w:i w:val="0"/>
                <w:color w:val="EA5C2C"/>
                <w:sz w:val="14"/>
              </w:rPr>
              <w:t>!</w:t>
            </w:r>
            <w:r>
              <w:rPr>
                <w:rFonts w:ascii="Montserrat" w:hAnsi="Montserrat" w:eastAsia="Montserrat"/>
                <w:b/>
                <w:i w:val="0"/>
                <w:color w:val="575756"/>
                <w:sz w:val="14"/>
              </w:rPr>
              <w:t>Lit accompagnant :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 xml:space="preserve"> Le lit accompagnant ne sera pas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 xml:space="preserve">remboursé durant les trois (3) premiers mois d’adhésion à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 xml:space="preserve">compter de la date d’effet ; </w:t>
            </w:r>
            <w:r>
              <w:br/>
            </w:r>
            <w:r>
              <w:rPr>
                <w:rFonts w:ascii="Montserrat" w:hAnsi="Montserrat" w:eastAsia="Montserrat"/>
                <w:b/>
                <w:i w:val="0"/>
                <w:color w:val="EA5C2C"/>
                <w:sz w:val="14"/>
              </w:rPr>
              <w:t>!</w:t>
            </w:r>
            <w:r>
              <w:rPr>
                <w:rFonts w:ascii="Montserrat" w:hAnsi="Montserrat" w:eastAsia="Montserrat"/>
                <w:b/>
                <w:i w:val="0"/>
                <w:color w:val="575756"/>
                <w:sz w:val="14"/>
              </w:rPr>
              <w:t>Frais de séjour :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 xml:space="preserve">  Les frais seront remboursés à hauteur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 xml:space="preserve">du ticket modérateur  durant les trois (3) premiers mois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 xml:space="preserve">d’adhésion à compter de la date d’effet ; </w:t>
            </w:r>
            <w:r>
              <w:br/>
            </w:r>
            <w:r>
              <w:rPr>
                <w:rFonts w:ascii="Montserrat" w:hAnsi="Montserrat" w:eastAsia="Montserrat"/>
                <w:b/>
                <w:i w:val="0"/>
                <w:color w:val="EA5C2C"/>
                <w:sz w:val="14"/>
              </w:rPr>
              <w:t>!</w:t>
            </w:r>
            <w:r>
              <w:rPr>
                <w:rFonts w:ascii="Montserrat" w:hAnsi="Montserrat" w:eastAsia="Montserrat"/>
                <w:b/>
                <w:i w:val="0"/>
                <w:color w:val="575756"/>
                <w:sz w:val="14"/>
              </w:rPr>
              <w:t>Honoraires :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 xml:space="preserve">  Les honoraires seront remboursés à hauteur du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 xml:space="preserve">ticket modérateur durant les 3 premiers mois d’adhésion à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>compter de la date d’effet ;</w:t>
            </w:r>
          </w:p>
          <w:p>
            <w:pPr>
              <w:autoSpaceDN w:val="0"/>
              <w:autoSpaceDE w:val="0"/>
              <w:widowControl/>
              <w:spacing w:line="266" w:lineRule="auto" w:before="37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4"/>
              </w:rPr>
              <w:t>Cette liste n’est pas exhaustive.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type w:val="nextColumn"/>
          <w:pgSz w:w="11906" w:h="16838"/>
          <w:pgMar w:top="284" w:right="700" w:bottom="182" w:left="762" w:header="720" w:footer="720" w:gutter="0"/>
          <w:cols w:num="2" w:equalWidth="0">
            <w:col w:w="5301" w:space="0"/>
            <w:col w:w="5141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10414"/>
      </w:tblGrid>
      <w:tr>
        <w:trPr>
          <w:trHeight w:hRule="exact" w:val="1926"/>
        </w:trPr>
        <w:tc>
          <w:tcPr>
            <w:tcW w:type="dxa" w:w="10354"/>
            <w:tcBorders>
              <w:start w:sz="16.0" w:val="single" w:color="#03569D"/>
              <w:top w:sz="16.0" w:val="single" w:color="#03569D"/>
              <w:end w:sz="16.0" w:val="single" w:color="#03569D"/>
              <w:bottom w:sz="16.0" w:val="single" w:color="#03569D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26" w:val="left"/>
              </w:tabs>
              <w:autoSpaceDE w:val="0"/>
              <w:widowControl/>
              <w:spacing w:line="240" w:lineRule="auto" w:before="150" w:after="0"/>
              <w:ind w:left="164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55600" cy="355600"/>
                  <wp:docPr id="18" name="Picture 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" cy="355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BrandingSF" w:hAnsi="BrandingSF" w:eastAsia="BrandingSF"/>
                <w:b/>
                <w:i w:val="0"/>
                <w:color w:val="03579E"/>
                <w:sz w:val="22"/>
              </w:rPr>
              <w:t xml:space="preserve">OÙ SUIS-JE COUVERT(E) ? </w:t>
            </w:r>
          </w:p>
          <w:p>
            <w:pPr>
              <w:autoSpaceDN w:val="0"/>
              <w:autoSpaceDE w:val="0"/>
              <w:widowControl/>
              <w:spacing w:line="245" w:lineRule="auto" w:before="206" w:after="0"/>
              <w:ind w:left="160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>Les garanties d’assurance frais de santé ne bénéf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>i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 xml:space="preserve">cient qu’aux seuls Assurés résidant à titre principal en France Métropolitaine, pour des frais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 xml:space="preserve">engagés sur ces mêmes zones géographiques. Elles s’étendent aux accidents survenus et Maladies contractées à l’étranger lors de voyages ou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 xml:space="preserve">de séjours, si le Régime Obligatoire français d’Assurance Maladie de l’adhérent s’applique. </w:t>
            </w:r>
          </w:p>
        </w:tc>
      </w:tr>
    </w:tbl>
    <w:p>
      <w:pPr>
        <w:autoSpaceDN w:val="0"/>
        <w:autoSpaceDE w:val="0"/>
        <w:widowControl/>
        <w:spacing w:line="13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10414"/>
      </w:tblGrid>
      <w:tr>
        <w:trPr>
          <w:trHeight w:hRule="exact" w:val="5014"/>
        </w:trPr>
        <w:tc>
          <w:tcPr>
            <w:tcW w:type="dxa" w:w="10354"/>
            <w:tcBorders>
              <w:start w:sz="16.0" w:val="single" w:color="#03569D"/>
              <w:top w:sz="16.0" w:val="single" w:color="#03569D"/>
              <w:end w:sz="16.0" w:val="single" w:color="#03569D"/>
              <w:bottom w:sz="16.0" w:val="single" w:color="#03569D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26" w:val="left"/>
              </w:tabs>
              <w:autoSpaceDE w:val="0"/>
              <w:widowControl/>
              <w:spacing w:line="240" w:lineRule="auto" w:before="150" w:after="0"/>
              <w:ind w:left="164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55600" cy="381000"/>
                  <wp:docPr id="19" name="Picture 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" cy="381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BrandingSF" w:hAnsi="BrandingSF" w:eastAsia="BrandingSF"/>
                <w:b/>
                <w:i w:val="0"/>
                <w:color w:val="03579E"/>
                <w:sz w:val="22"/>
              </w:rPr>
              <w:t xml:space="preserve">QUELLES SONT MES OBLIGATIONS ? </w:t>
            </w:r>
          </w:p>
          <w:p>
            <w:pPr>
              <w:autoSpaceDN w:val="0"/>
              <w:autoSpaceDE w:val="0"/>
              <w:widowControl/>
              <w:spacing w:line="266" w:lineRule="auto" w:before="214" w:after="0"/>
              <w:ind w:left="160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4"/>
              </w:rPr>
              <w:t xml:space="preserve">Sous peine, en fonction de l’obligation non respectée, de nullité d’adhésion, de déchéance ou de résiliation du contrat : </w:t>
            </w:r>
          </w:p>
          <w:p>
            <w:pPr>
              <w:autoSpaceDN w:val="0"/>
              <w:autoSpaceDE w:val="0"/>
              <w:widowControl/>
              <w:spacing w:line="233" w:lineRule="auto" w:before="168" w:after="0"/>
              <w:ind w:left="160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>À la souscription du contrat :</w:t>
            </w:r>
          </w:p>
          <w:p>
            <w:pPr>
              <w:autoSpaceDN w:val="0"/>
              <w:autoSpaceDE w:val="0"/>
              <w:widowControl/>
              <w:spacing w:line="168" w:lineRule="exact" w:before="168" w:after="0"/>
              <w:ind w:left="160" w:right="2448" w:firstLine="0"/>
              <w:jc w:val="left"/>
            </w:pPr>
            <w:r>
              <w:rPr>
                <w:rFonts w:ascii="HelveticaNeueLTStd" w:hAnsi="HelveticaNeueLTStd" w:eastAsia="HelveticaNeueLTStd"/>
                <w:b w:val="0"/>
                <w:i w:val="0"/>
                <w:color w:val="575756"/>
                <w:sz w:val="14"/>
              </w:rPr>
              <w:t xml:space="preserve">•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>Remplir avec exactitude et signer la demande d’adhésion ainsi que le mandat de prélèvement (SEPA) ;</w:t>
            </w:r>
            <w:r>
              <w:rPr>
                <w:rFonts w:ascii="HelveticaNeueLTStd" w:hAnsi="HelveticaNeueLTStd" w:eastAsia="HelveticaNeueLTStd"/>
                <w:b w:val="0"/>
                <w:i w:val="0"/>
                <w:color w:val="575756"/>
                <w:sz w:val="14"/>
              </w:rPr>
              <w:t xml:space="preserve">•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>Être adhérent(e) à l’Association Groupement pour la Prévoyance et la Santé pour Tous (GPST) ;</w:t>
            </w:r>
            <w:r>
              <w:br/>
            </w:r>
            <w:r>
              <w:rPr>
                <w:rFonts w:ascii="HelveticaNeueLTStd" w:hAnsi="HelveticaNeueLTStd" w:eastAsia="HelveticaNeueLTStd"/>
                <w:b w:val="0"/>
                <w:i w:val="0"/>
                <w:color w:val="575756"/>
                <w:sz w:val="14"/>
              </w:rPr>
              <w:t xml:space="preserve">•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>Relever du Régime Obligatoire d’Assurance Maladie français ;</w:t>
            </w:r>
            <w:r>
              <w:br/>
            </w:r>
            <w:r>
              <w:rPr>
                <w:rFonts w:ascii="HelveticaNeueLTStd" w:hAnsi="HelveticaNeueLTStd" w:eastAsia="HelveticaNeueLTStd"/>
                <w:b w:val="0"/>
                <w:i w:val="0"/>
                <w:color w:val="575756"/>
                <w:sz w:val="14"/>
              </w:rPr>
              <w:t xml:space="preserve">•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>Fournir tout document justificatif demandé par l’Assureur  ;</w:t>
            </w:r>
            <w:r>
              <w:br/>
            </w:r>
            <w:r>
              <w:rPr>
                <w:rFonts w:ascii="HelveticaNeueLTStd" w:hAnsi="HelveticaNeueLTStd" w:eastAsia="HelveticaNeueLTStd"/>
                <w:b w:val="0"/>
                <w:i w:val="0"/>
                <w:color w:val="575756"/>
                <w:sz w:val="14"/>
              </w:rPr>
              <w:t xml:space="preserve">•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 xml:space="preserve">Résider en France métropolitaine ; </w:t>
            </w:r>
            <w:r>
              <w:br/>
            </w:r>
            <w:r>
              <w:rPr>
                <w:rFonts w:ascii="HelveticaNeueLTStd" w:hAnsi="HelveticaNeueLTStd" w:eastAsia="HelveticaNeueLTStd"/>
                <w:b w:val="0"/>
                <w:i w:val="0"/>
                <w:color w:val="575756"/>
                <w:sz w:val="14"/>
              </w:rPr>
              <w:t xml:space="preserve">•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>Être âgé(e) d’au moins 55 ans et sans limite d’âge à la date d’adhésion figurant sur la demande d’adhésion ;</w:t>
            </w:r>
            <w:r>
              <w:rPr>
                <w:rFonts w:ascii="HelveticaNeueLTStd" w:hAnsi="HelveticaNeueLTStd" w:eastAsia="HelveticaNeueLTStd"/>
                <w:b w:val="0"/>
                <w:i w:val="0"/>
                <w:color w:val="575756"/>
                <w:sz w:val="14"/>
              </w:rPr>
              <w:t xml:space="preserve">•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>Régler la cotisation indiquée au certificat d’adhésion.</w:t>
            </w:r>
          </w:p>
          <w:p>
            <w:pPr>
              <w:autoSpaceDN w:val="0"/>
              <w:autoSpaceDE w:val="0"/>
              <w:widowControl/>
              <w:spacing w:line="233" w:lineRule="auto" w:before="170" w:after="0"/>
              <w:ind w:left="160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>En cours de vie du contrat :</w:t>
            </w:r>
          </w:p>
          <w:p>
            <w:pPr>
              <w:autoSpaceDN w:val="0"/>
              <w:tabs>
                <w:tab w:pos="264" w:val="left"/>
              </w:tabs>
              <w:autoSpaceDE w:val="0"/>
              <w:widowControl/>
              <w:spacing w:line="168" w:lineRule="exact" w:before="168" w:after="0"/>
              <w:ind w:left="160" w:right="144" w:firstLine="0"/>
              <w:jc w:val="left"/>
            </w:pPr>
            <w:r>
              <w:rPr>
                <w:rFonts w:ascii="HelveticaNeueLTStd" w:hAnsi="HelveticaNeueLTStd" w:eastAsia="HelveticaNeueLTStd"/>
                <w:b w:val="0"/>
                <w:i w:val="0"/>
                <w:color w:val="575756"/>
                <w:sz w:val="14"/>
              </w:rPr>
              <w:t xml:space="preserve">•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 xml:space="preserve">Déclarer toute circonstance nouvelle pouvant avoir des conséquences sur l’exécution du contrat (déménagement, changement d’état civil </w:t>
            </w:r>
            <w:r>
              <w:tab/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 xml:space="preserve">ou de domiciliation bancaire, souscription d’un autre contrat couvrant les mêmes risques, cessation ou changement d’affiliation au Régime </w:t>
            </w:r>
            <w:r>
              <w:tab/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>Obligatoire, changement de domicile, changement de profession ou une cessation d’activité professionnelle) ;</w:t>
            </w:r>
            <w:r>
              <w:br/>
            </w:r>
            <w:r>
              <w:rPr>
                <w:rFonts w:ascii="HelveticaNeueLTStd" w:hAnsi="HelveticaNeueLTStd" w:eastAsia="HelveticaNeueLTStd"/>
                <w:b w:val="0"/>
                <w:i w:val="0"/>
                <w:color w:val="575756"/>
                <w:sz w:val="14"/>
              </w:rPr>
              <w:t xml:space="preserve">•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>Régler la cotisation prévue à l’échéancier.</w:t>
            </w:r>
          </w:p>
          <w:p>
            <w:pPr>
              <w:autoSpaceDN w:val="0"/>
              <w:autoSpaceDE w:val="0"/>
              <w:widowControl/>
              <w:spacing w:line="233" w:lineRule="auto" w:before="170" w:after="0"/>
              <w:ind w:left="160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 xml:space="preserve">En cas de sinistre : </w:t>
            </w:r>
          </w:p>
          <w:p>
            <w:pPr>
              <w:autoSpaceDN w:val="0"/>
              <w:autoSpaceDE w:val="0"/>
              <w:widowControl/>
              <w:spacing w:line="168" w:lineRule="exact" w:before="168" w:after="0"/>
              <w:ind w:left="160" w:right="576" w:firstLine="0"/>
              <w:jc w:val="left"/>
            </w:pPr>
            <w:r>
              <w:rPr>
                <w:rFonts w:ascii="HelveticaNeueLTStd" w:hAnsi="HelveticaNeueLTStd" w:eastAsia="HelveticaNeueLTStd"/>
                <w:b w:val="0"/>
                <w:i w:val="0"/>
                <w:color w:val="575756"/>
                <w:sz w:val="14"/>
              </w:rPr>
              <w:t xml:space="preserve">•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>Faire parvenir tous les documents justificatifs nécessaires au paiement des prestations prévues au contrat  ;</w:t>
            </w:r>
            <w:r>
              <w:br/>
            </w:r>
            <w:r>
              <w:rPr>
                <w:rFonts w:ascii="HelveticaNeueLTStd" w:hAnsi="HelveticaNeueLTStd" w:eastAsia="HelveticaNeueLTStd"/>
                <w:b w:val="0"/>
                <w:i w:val="0"/>
                <w:color w:val="575756"/>
                <w:sz w:val="14"/>
              </w:rPr>
              <w:t xml:space="preserve">•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>Faire parvenir les demandes de remboursements à l’assureur dans un délai maximum de 2 ans suivant suivant la date de la prestation.</w:t>
            </w:r>
          </w:p>
        </w:tc>
      </w:tr>
    </w:tbl>
    <w:p>
      <w:pPr>
        <w:autoSpaceDN w:val="0"/>
        <w:autoSpaceDE w:val="0"/>
        <w:widowControl/>
        <w:spacing w:line="13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10414"/>
      </w:tblGrid>
      <w:tr>
        <w:trPr>
          <w:trHeight w:hRule="exact" w:val="1412"/>
        </w:trPr>
        <w:tc>
          <w:tcPr>
            <w:tcW w:type="dxa" w:w="10354"/>
            <w:tcBorders>
              <w:start w:sz="16.0" w:val="single" w:color="#03569D"/>
              <w:top w:sz="16.0" w:val="single" w:color="#03569D"/>
              <w:end w:sz="16.0" w:val="single" w:color="#03569D"/>
              <w:bottom w:sz="16.0" w:val="single" w:color="#03569D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2" w:after="0"/>
              <w:ind w:left="144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42900" cy="355600"/>
                  <wp:docPr id="20" name="Picture 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0" cy="355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BrandingSF" w:hAnsi="BrandingSF" w:eastAsia="BrandingSF"/>
                <w:b/>
                <w:i w:val="0"/>
                <w:color w:val="03579E"/>
                <w:sz w:val="22"/>
              </w:rPr>
              <w:t>QUAND ET COMMENT EFFECTUER LES PAIEMENTS ?</w:t>
            </w:r>
          </w:p>
          <w:p>
            <w:pPr>
              <w:autoSpaceDN w:val="0"/>
              <w:autoSpaceDE w:val="0"/>
              <w:widowControl/>
              <w:spacing w:line="233" w:lineRule="auto" w:before="208" w:after="0"/>
              <w:ind w:left="160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 xml:space="preserve">Les cotisations sont payables d’avance par prélèvement automatique selon la périodicité convenue à l’adhésion. La périodicité du paiement </w:t>
            </w:r>
          </w:p>
          <w:p>
            <w:pPr>
              <w:autoSpaceDN w:val="0"/>
              <w:autoSpaceDE w:val="0"/>
              <w:widowControl/>
              <w:spacing w:line="233" w:lineRule="auto" w:before="4" w:after="0"/>
              <w:ind w:left="160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>peut être mensuelle, trimestrielle, semestrielle ou annuelle.</w:t>
            </w:r>
          </w:p>
        </w:tc>
      </w:tr>
    </w:tbl>
    <w:p>
      <w:pPr>
        <w:autoSpaceDN w:val="0"/>
        <w:autoSpaceDE w:val="0"/>
        <w:widowControl/>
        <w:spacing w:line="13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10414"/>
      </w:tblGrid>
      <w:tr>
        <w:trPr>
          <w:trHeight w:hRule="exact" w:val="3082"/>
        </w:trPr>
        <w:tc>
          <w:tcPr>
            <w:tcW w:type="dxa" w:w="10354"/>
            <w:tcBorders>
              <w:start w:sz="16.0" w:val="single" w:color="#03569D"/>
              <w:top w:sz="16.0" w:val="single" w:color="#03569D"/>
              <w:end w:sz="16.0" w:val="single" w:color="#03569D"/>
              <w:bottom w:sz="16.0" w:val="single" w:color="#03569D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76" w:after="0"/>
              <w:ind w:left="204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55600" cy="368300"/>
                  <wp:docPr id="21" name="Picture 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" cy="368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BrandingSF" w:hAnsi="BrandingSF" w:eastAsia="BrandingSF"/>
                <w:b/>
                <w:i w:val="0"/>
                <w:color w:val="4B71B1"/>
                <w:sz w:val="22"/>
              </w:rPr>
              <w:t xml:space="preserve">QUAND COMMENCE LA COUVERTURE ET QUAND PREND-ELLE FIN ? </w:t>
            </w:r>
          </w:p>
          <w:p>
            <w:pPr>
              <w:autoSpaceDN w:val="0"/>
              <w:autoSpaceDE w:val="0"/>
              <w:widowControl/>
              <w:spacing w:line="245" w:lineRule="auto" w:before="148" w:after="0"/>
              <w:ind w:left="160" w:right="576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 xml:space="preserve">L’adhésion prend effet à la date convenue entre les parties et figurant sur le certificat d’adhésion, sous réserve du bon encaissement de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 xml:space="preserve">la première cotisation. L’adhésion est conclue pour une durée initiale d’un (1) an. Elle se renouvelle tacitement chaque année à sa date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>anniversaire, sauf en cas de résiliation.</w:t>
            </w:r>
          </w:p>
          <w:p>
            <w:pPr>
              <w:autoSpaceDN w:val="0"/>
              <w:autoSpaceDE w:val="0"/>
              <w:widowControl/>
              <w:spacing w:line="245" w:lineRule="auto" w:before="170" w:after="0"/>
              <w:ind w:left="160" w:right="144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 xml:space="preserve">L’Adhérent dispose d’un délai de renonciation de 14 jours qui commence à courir soit à compter de la date de signature de son contrat, soit à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>compter du jour où il a reçu les conditions contractuelles et les informations particulières si cette dernière date est postérieure.</w:t>
            </w:r>
          </w:p>
          <w:p>
            <w:pPr>
              <w:autoSpaceDN w:val="0"/>
              <w:autoSpaceDE w:val="0"/>
              <w:widowControl/>
              <w:spacing w:line="168" w:lineRule="exact" w:before="168" w:after="0"/>
              <w:ind w:left="160" w:right="504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>La couverture prend fin :</w:t>
            </w:r>
            <w:r>
              <w:br/>
            </w:r>
            <w:r>
              <w:rPr>
                <w:rFonts w:ascii="HelveticaNeueLTStd" w:hAnsi="HelveticaNeueLTStd" w:eastAsia="HelveticaNeueLTStd"/>
                <w:b w:val="0"/>
                <w:i w:val="0"/>
                <w:color w:val="575756"/>
                <w:sz w:val="14"/>
              </w:rPr>
              <w:t xml:space="preserve">•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>En cas de résiliation quelqu’en soit le motif ou la Partie à l’origine ;</w:t>
            </w:r>
            <w:r>
              <w:br/>
            </w:r>
            <w:r>
              <w:rPr>
                <w:rFonts w:ascii="HelveticaNeueLTStd" w:hAnsi="HelveticaNeueLTStd" w:eastAsia="HelveticaNeueLTStd"/>
                <w:b w:val="0"/>
                <w:i w:val="0"/>
                <w:color w:val="575756"/>
                <w:sz w:val="14"/>
              </w:rPr>
              <w:t xml:space="preserve">•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>En cas de décès de l’Adhérent ;</w:t>
            </w:r>
            <w:r>
              <w:br/>
            </w:r>
            <w:r>
              <w:rPr>
                <w:rFonts w:ascii="HelveticaNeueLTStd" w:hAnsi="HelveticaNeueLTStd" w:eastAsia="HelveticaNeueLTStd"/>
                <w:b w:val="0"/>
                <w:i w:val="0"/>
                <w:color w:val="575756"/>
                <w:sz w:val="14"/>
              </w:rPr>
              <w:t xml:space="preserve">•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 xml:space="preserve">Dans les conditions prévues au contrat ; </w:t>
            </w:r>
            <w:r>
              <w:br/>
            </w:r>
            <w:r>
              <w:rPr>
                <w:rFonts w:ascii="HelveticaNeueLTStd" w:hAnsi="HelveticaNeueLTStd" w:eastAsia="HelveticaNeueLTStd"/>
                <w:b w:val="0"/>
                <w:i w:val="0"/>
                <w:color w:val="575756"/>
                <w:sz w:val="14"/>
              </w:rPr>
              <w:t xml:space="preserve">•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>En cas de retrait total de l’agrément administratif accordé à l’Assureur.</w:t>
            </w:r>
          </w:p>
        </w:tc>
      </w:tr>
    </w:tbl>
    <w:p>
      <w:pPr>
        <w:autoSpaceDN w:val="0"/>
        <w:autoSpaceDE w:val="0"/>
        <w:widowControl/>
        <w:spacing w:line="13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10414"/>
      </w:tblGrid>
      <w:tr>
        <w:trPr>
          <w:trHeight w:hRule="exact" w:val="2734"/>
        </w:trPr>
        <w:tc>
          <w:tcPr>
            <w:tcW w:type="dxa" w:w="10354"/>
            <w:tcBorders>
              <w:start w:sz="16.0" w:val="single" w:color="#03569D"/>
              <w:top w:sz="16.0" w:val="single" w:color="#03569D"/>
              <w:end w:sz="16.0" w:val="single" w:color="#03569D"/>
              <w:bottom w:sz="16.0" w:val="single" w:color="#03569D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26" w:val="left"/>
              </w:tabs>
              <w:autoSpaceDE w:val="0"/>
              <w:widowControl/>
              <w:spacing w:line="240" w:lineRule="auto" w:before="160" w:after="0"/>
              <w:ind w:left="164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55600" cy="368300"/>
                  <wp:docPr id="22" name="Picture 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" cy="368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BrandingSF" w:hAnsi="BrandingSF" w:eastAsia="BrandingSF"/>
                <w:b/>
                <w:i w:val="0"/>
                <w:color w:val="03579E"/>
                <w:sz w:val="22"/>
              </w:rPr>
              <w:t xml:space="preserve">COMMENT PUIS-JE RÉSILIER LE CONTRAT ? </w:t>
            </w:r>
          </w:p>
          <w:p>
            <w:pPr>
              <w:autoSpaceDN w:val="0"/>
              <w:autoSpaceDE w:val="0"/>
              <w:widowControl/>
              <w:spacing w:line="245" w:lineRule="auto" w:before="172" w:after="0"/>
              <w:ind w:left="160" w:right="144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 xml:space="preserve">L’Adhérent peut résilier son adhésion à chaque échéance anniversaire du contrat moyennant un préavis de deux (2) mois. La résiliation prend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>effet la veille de l’échéance annuelle à 24 heures (article L.113-12 du Code des assurances).</w:t>
            </w:r>
          </w:p>
          <w:p>
            <w:pPr>
              <w:autoSpaceDN w:val="0"/>
              <w:autoSpaceDE w:val="0"/>
              <w:widowControl/>
              <w:spacing w:line="170" w:lineRule="exact" w:before="0" w:after="0"/>
              <w:ind w:left="160" w:right="576" w:firstLine="0"/>
              <w:jc w:val="left"/>
            </w:pPr>
            <w:r>
              <w:rPr>
                <w:rFonts w:ascii="HelveticaNeueLTStd" w:hAnsi="HelveticaNeueLTStd" w:eastAsia="HelveticaNeueLTStd"/>
                <w:b w:val="0"/>
                <w:i w:val="0"/>
                <w:color w:val="575756"/>
                <w:sz w:val="14"/>
              </w:rPr>
              <w:t xml:space="preserve">•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 xml:space="preserve">Par lettre ou tout autre support durable, par acte extrajudiciaire ou par déclaration adressée au siège social à : </w:t>
            </w:r>
            <w:r>
              <w:br/>
            </w:r>
            <w:r>
              <w:rPr>
                <w:rFonts w:ascii="Montserrat" w:hAnsi="Montserrat" w:eastAsia="Montserrat"/>
                <w:b/>
                <w:i w:val="0"/>
                <w:color w:val="575756"/>
                <w:sz w:val="14"/>
              </w:rPr>
              <w:t>Néoliane Santé – Service Résiliation – 143 Boulevard René Cassin – Immeuble Nouvel’R - Bat C – CS 63278 - 06205 NICE CEDEX 3 ;</w:t>
            </w:r>
            <w:r>
              <w:rPr>
                <w:rFonts w:ascii="HelveticaNeueLTStd" w:hAnsi="HelveticaNeueLTStd" w:eastAsia="HelveticaNeueLTStd"/>
                <w:b w:val="0"/>
                <w:i w:val="0"/>
                <w:color w:val="575756"/>
                <w:sz w:val="14"/>
              </w:rPr>
              <w:t xml:space="preserve">•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>Sur l’espace adhérent :</w:t>
            </w:r>
            <w:r>
              <w:rPr>
                <w:rFonts w:ascii="Montserrat" w:hAnsi="Montserrat" w:eastAsia="Montserrat"/>
                <w:b/>
                <w:i w:val="0"/>
                <w:color w:val="575756"/>
                <w:sz w:val="14"/>
              </w:rPr>
              <w:t xml:space="preserve"> www.monneoliane.fr, rubrique « Je souhaite résilier ou me rétracter ».</w:t>
            </w:r>
          </w:p>
          <w:p>
            <w:pPr>
              <w:autoSpaceDN w:val="0"/>
              <w:autoSpaceDE w:val="0"/>
              <w:widowControl/>
              <w:spacing w:line="245" w:lineRule="auto" w:before="168" w:after="0"/>
              <w:ind w:left="160" w:right="576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 xml:space="preserve">Une fois la première année d’adhésion écoulée, l’Adhérent bénéficie de la même faculté qu’il peut toutefois exercer à tout moment. La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 xml:space="preserve">résiliation prend alors effet un (1) mois après réception de la notification de résiliation par l’assureur. </w:t>
            </w:r>
          </w:p>
          <w:p>
            <w:pPr>
              <w:autoSpaceDN w:val="0"/>
              <w:autoSpaceDE w:val="0"/>
              <w:widowControl/>
              <w:spacing w:line="245" w:lineRule="auto" w:before="4" w:after="0"/>
              <w:ind w:left="160" w:right="144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 xml:space="preserve">Enfin, en cas de désaccord suite à une modification de ses droits et obligations ou à l’augmentation de sa cotisation, l’Adhérent peut résilier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>dans le délai d’un mois suivant la date de réception de la lettre l’en informant.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1906" w:h="16838"/>
      <w:pgMar w:top="356" w:right="736" w:bottom="602" w:left="756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