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INNOV’SANTÉ – FICHE PRODUIT</w:t>
            </w:r>
          </w:p>
        </w:tc>
        <w:tc>
          <w:tcPr>
            <w:tcW w:type="dxa" w:w="6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9600"/>
        <w:gridCol w:w="96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28"/>
            </w:tblGrid>
            <w:tr>
              <w:trPr>
                <w:trHeight w:hRule="exact" w:val="674"/>
              </w:trPr>
              <w:tc>
                <w:tcPr>
                  <w:tcW w:type="dxa" w:w="1379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4" w:after="0"/>
                    <w:ind w:left="144" w:right="11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Toute personne (célibataire, couple, famille, jeune, senior, etc.)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à partir de 18 ans et sans limite d’âge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quel que soit leur régime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obligatoire et leur zone géographique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4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38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3828"/>
            </w:tblGrid>
            <w:tr>
              <w:trPr>
                <w:trHeight w:hRule="exact" w:val="538"/>
              </w:trPr>
              <w:tc>
                <w:tcPr>
                  <w:tcW w:type="dxa" w:w="1378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10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CSP confondue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(y compris les TNS : professions libérales, médicales, paramédicales, agricoles, etc.)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6400"/>
        <w:gridCol w:w="6400"/>
        <w:gridCol w:w="6400"/>
      </w:tblGrid>
      <w:tr>
        <w:trPr>
          <w:trHeight w:hRule="exact" w:val="516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2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14264"/>
            </w:tblGrid>
            <w:tr>
              <w:trPr>
                <w:trHeight w:hRule="exact" w:val="412"/>
              </w:trPr>
              <w:tc>
                <w:tcPr>
                  <w:tcW w:type="dxa" w:w="1382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4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7 formules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(IS 1, IS2, IS4, IS5, IS6 et IS7)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12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42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264"/>
            </w:tblGrid>
            <w:tr>
              <w:trPr>
                <w:trHeight w:hRule="exact" w:val="1392"/>
              </w:trPr>
              <w:tc>
                <w:tcPr>
                  <w:tcW w:type="dxa" w:w="138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6" w:after="0"/>
                    <w:ind w:left="144" w:right="144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 xml:space="preserve">Types de prestations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hospitalisation – médecine de ville – dentaire – optique – aides auditives – cure thermale – médecines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complémentaires (10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0% santé non compris)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>Forfait global unique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: valable tous les ans, par assuré et regroupant les garanties des postes optique, dentaire* et audiologie </w:t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  <w:u w:val="single"/>
                    </w:rPr>
                    <w:t>(*excepté les soins de</w:t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>ntaires, inlays-onlays et parodontologie non remboursés par le régime obligatoire)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0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0" w:after="0"/>
              <w:ind w:left="4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42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545" w:type="dxa"/>
            </w:tblPr>
            <w:tblGrid>
              <w:gridCol w:w="14264"/>
            </w:tblGrid>
            <w:tr>
              <w:trPr>
                <w:trHeight w:hRule="exact" w:val="670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50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159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142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545" w:type="dxa"/>
            </w:tblPr>
            <w:tblGrid>
              <w:gridCol w:w="14264"/>
            </w:tblGrid>
            <w:tr>
              <w:trPr>
                <w:trHeight w:hRule="exact" w:val="428"/>
              </w:trPr>
              <w:tc>
                <w:tcPr>
                  <w:tcW w:type="dxa" w:w="1382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8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8"/>
            </w:tblGrid>
            <w:tr>
              <w:trPr>
                <w:trHeight w:hRule="exact" w:val="548"/>
              </w:trPr>
              <w:tc>
                <w:tcPr>
                  <w:tcW w:type="dxa" w:w="319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58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1.99999999999989" w:type="dxa"/>
            </w:tblPr>
            <w:tblGrid>
              <w:gridCol w:w="7588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18 ans et sans limite d’âge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6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6400"/>
            <w:vMerge/>
            <w:tcBorders/>
          </w:tcPr>
          <w:p/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744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46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AUX PRESTATIONS</w:t>
            </w:r>
          </w:p>
        </w:tc>
        <w:tc>
          <w:tcPr>
            <w:tcW w:type="dxa" w:w="75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3.99999999999977" w:type="dxa"/>
            </w:tblPr>
            <w:tblGrid>
              <w:gridCol w:w="7588"/>
            </w:tblGrid>
            <w:tr>
              <w:trPr>
                <w:trHeight w:hRule="exact" w:val="548"/>
              </w:trPr>
              <w:tc>
                <w:tcPr>
                  <w:tcW w:type="dxa" w:w="750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Garantie viagère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56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0" w:after="0"/>
              <w:ind w:left="5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5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7588"/>
            </w:tblGrid>
            <w:tr>
              <w:trPr>
                <w:trHeight w:hRule="exact" w:val="43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4" w:after="0"/>
              <w:ind w:left="4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5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.999999999999545" w:type="dxa"/>
            </w:tblPr>
            <w:tblGrid>
              <w:gridCol w:w="7588"/>
            </w:tblGrid>
            <w:tr>
              <w:trPr>
                <w:trHeight w:hRule="exact" w:val="438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424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588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.99999999999966" w:type="dxa"/>
            </w:tblPr>
            <w:tblGrid>
              <w:gridCol w:w="7588"/>
            </w:tblGrid>
            <w:tr>
              <w:trPr>
                <w:trHeight w:hRule="exact" w:val="426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âgées de moins de 18 ans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4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9434830</wp:posOffset>
            </wp:positionH>
            <wp:positionV relativeFrom="page">
              <wp:posOffset>977900</wp:posOffset>
            </wp:positionV>
            <wp:extent cx="732790" cy="73279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3279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8.0" w:type="dxa"/>
      </w:tblPr>
      <w:tblGrid>
        <w:gridCol w:w="6400"/>
        <w:gridCol w:w="6400"/>
        <w:gridCol w:w="6400"/>
      </w:tblGrid>
      <w:tr>
        <w:trPr>
          <w:trHeight w:hRule="exact" w:val="118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594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RÈGLES PRODUIT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8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30€</w:t>
            </w:r>
            <w:r>
              <w:rPr>
                <w:rFonts w:ascii="Calibri" w:hAnsi="Calibri" w:eastAsia="Calibri"/>
                <w:b/>
                <w:i w:val="0"/>
                <w:color w:val="F79646"/>
                <w:sz w:val="24"/>
              </w:rPr>
              <w:t>*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prélevés le 15 du mois suivant l’adhésion si la date d'effet est à + de 45 jours de la souscription.</w:t>
            </w:r>
          </w:p>
        </w:tc>
        <w:tc>
          <w:tcPr>
            <w:tcW w:type="dxa" w:w="423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494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Lorsque la date d’effet est à - de 45 jours de la souscription, les frais sont prélevés avec la première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cotisation.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5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768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82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Cotisation de base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(calculée en fonction de l’âge millésimé, du régime, de la zone géographique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 la formule choisie) +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 2,50€ mensuels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à ajouter par contrat (frais d’association et d’assistance)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2"/>
        </w:trPr>
        <w:tc>
          <w:tcPr>
            <w:tcW w:type="dxa" w:w="3894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220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420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7% pour un couple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>
              <w:bottom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3894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220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222" w:right="100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de 10% pour les familles, y compris monoparentales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Réduction Alsace-Moselle : 40% formules IS1, IS2, IS3, IS4 et IS5 ; 30% formules IS6 et IS7</w:t>
            </w:r>
          </w:p>
        </w:tc>
        <w:tc>
          <w:tcPr>
            <w:tcW w:type="dxa" w:w="4238"/>
            <w:tcBorders>
              <w:top w:sz="16.0" w:val="single" w:color="#B8DFFF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24"/>
                    </w:rPr>
                    <w:t>**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11" w:type="dxa"/>
            </w:tblPr>
            <w:tblGrid>
              <w:gridCol w:w="10220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14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au plus tôt au sixième jour suivant la date de réception de la présente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demande d’adhésion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dans la limite de M+12.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34" w:type="dxa"/>
            </w:tblPr>
            <w:tblGrid>
              <w:gridCol w:w="10220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0" w:after="0"/>
                    <w:ind w:left="144" w:right="331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 xml:space="preserve">Le 05 ou le 10 du mois. Mensuel, Semestriel, Trimestriel ou Annuel.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Prélèvement automatiquement uniquement.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2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CARENCE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4.00000000000034" w:type="dxa"/>
            </w:tblPr>
            <w:tblGrid>
              <w:gridCol w:w="10220"/>
            </w:tblGrid>
            <w:tr>
              <w:trPr>
                <w:trHeight w:hRule="exact" w:val="540"/>
              </w:trPr>
              <w:tc>
                <w:tcPr>
                  <w:tcW w:type="dxa" w:w="5474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1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0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FRANCHISE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1.99999999999989" w:type="dxa"/>
            </w:tblPr>
            <w:tblGrid>
              <w:gridCol w:w="10220"/>
            </w:tblGrid>
            <w:tr>
              <w:trPr>
                <w:trHeight w:hRule="exact" w:val="586"/>
              </w:trPr>
              <w:tc>
                <w:tcPr>
                  <w:tcW w:type="dxa" w:w="548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0"/>
        </w:trPr>
        <w:tc>
          <w:tcPr>
            <w:tcW w:type="dxa" w:w="38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22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10220"/>
            </w:tblGrid>
            <w:tr>
              <w:trPr>
                <w:trHeight w:hRule="exact" w:val="520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0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0" w:lineRule="auto" w:before="662" w:after="0"/>
        <w:ind w:left="20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720" w:right="57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d’identifiant unique ADEME : FR329780_01LOPR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