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3403600</wp:posOffset>
            </wp:positionV>
            <wp:extent cx="6591300" cy="7112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112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44"/>
      </w:tblGrid>
      <w:tr>
        <w:trPr>
          <w:trHeight w:hRule="exact" w:val="752"/>
        </w:trPr>
        <w:tc>
          <w:tcPr>
            <w:tcW w:type="dxa" w:w="10382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52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840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SAS au capital de 511 539 € – RCS Paris 812 962 330 – 30/32 Boulevard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de Vaugirard-  75015 PARIS  – Intermédiaire en assurances – Immatriculée à l’Orias N°19 004 119 (www.orias.fr). Assuré et co-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rue Pillet-Will 75009 PARIS – SA au capital de 69 213 760 € – RCS Paris 572 084 697 – Entreprise régie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le Code des assurances – N° d’identifiant unique ADEME : FR232327_03PBRV – Société appartenant au Groupe Generali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250"/>
        </w:trPr>
        <w:tc>
          <w:tcPr>
            <w:tcW w:type="dxa" w:w="85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immatriculé sur le registre italien des groupes d’assurances sous le numéro 026.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336"/>
        </w:trPr>
        <w:tc>
          <w:tcPr>
            <w:tcW w:type="dxa" w:w="66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INNOV’SANTÉ</w:t>
            </w:r>
          </w:p>
        </w:tc>
      </w:tr>
    </w:tbl>
    <w:p>
      <w:pPr>
        <w:autoSpaceDN w:val="0"/>
        <w:autoSpaceDE w:val="0"/>
        <w:widowControl/>
        <w:spacing w:line="252" w:lineRule="auto" w:before="292" w:after="0"/>
        <w:ind w:left="0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demandes spécifiques. Toutes les informations contractuelles et précontractuelles sur le produit NÉOLIANE INNOV’SANTÉ sont fournies au </w:t>
      </w:r>
      <w:r>
        <w:rPr>
          <w:rFonts w:ascii="Montserrat" w:hAnsi="Montserrat" w:eastAsia="Montserrat"/>
          <w:b/>
          <w:i w:val="0"/>
          <w:color w:val="575756"/>
          <w:sz w:val="14"/>
        </w:rPr>
        <w:t>client dans d’autres documents et, notamment, dans le tableau de garanties ci-joint, qui détaille le niveau des remboursements</w:t>
      </w:r>
    </w:p>
    <w:p>
      <w:pPr>
        <w:autoSpaceDN w:val="0"/>
        <w:autoSpaceDE w:val="0"/>
        <w:widowControl/>
        <w:spacing w:line="250" w:lineRule="exact" w:before="128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45" w:lineRule="auto" w:before="106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Le produit NÉOLIANE INNOV’SANTÉ est un produit d’Assurance Complémentaire Santé «NON RESPONSABLE», il ne s’inscrit pas dans le cadre du dis-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positif législatif relatif aux contrats d’assurance complémentaire santé bénéficiant d’avantages fiscaux et sociaux. Le produit est cependant « solidaire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», car il ne prévoit pas de questionnaire d’état de santé et son tarif ne dépend de l’état de santé de l’Assuré.</w:t>
      </w:r>
    </w:p>
    <w:p>
      <w:pPr>
        <w:autoSpaceDN w:val="0"/>
        <w:autoSpaceDE w:val="0"/>
        <w:widowControl/>
        <w:spacing w:line="245" w:lineRule="auto" w:before="4" w:after="450"/>
        <w:ind w:left="0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cas d’accident, de maladie ou de maternité, il est destiné à rembourser tout ou partie des frais de santé restant à la charge de l’adhérent et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éventuels Ayants droit, après l’intervention de son Régime Obligatoire d’assurance maladie et, dans certains cas, des frais non remboursés par ce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dernier.</w:t>
      </w:r>
    </w:p>
    <w:p>
      <w:pPr>
        <w:sectPr>
          <w:pgSz w:w="11906" w:h="16838"/>
          <w:pgMar w:top="284" w:right="700" w:bottom="328" w:left="7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7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296" w:after="0"/>
        <w:ind w:left="212" w:right="258" w:firstLine="2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remboursements de frais couverts par l’assurance ne peuvent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pas être plus élevés que les dépenses engagées. Ils sont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soumis à des plafonds qui varient en fonction de la formule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et par conséquent une somme peut rester à votre charge. </w:t>
      </w:r>
    </w:p>
    <w:p>
      <w:pPr>
        <w:autoSpaceDN w:val="0"/>
        <w:autoSpaceDE w:val="0"/>
        <w:widowControl/>
        <w:spacing w:line="245" w:lineRule="auto" w:before="172" w:after="0"/>
        <w:ind w:left="212" w:right="144" w:firstLine="2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détail de ces plafonds figure au tableau des garanties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ci-joint. </w:t>
      </w:r>
    </w:p>
    <w:p>
      <w:pPr>
        <w:autoSpaceDN w:val="0"/>
        <w:autoSpaceDE w:val="0"/>
        <w:widowControl/>
        <w:spacing w:line="269" w:lineRule="auto" w:before="326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LES GARANTIES SYSTÉMATIQUEMENT PRÉVUES :</w:t>
      </w:r>
    </w:p>
    <w:p>
      <w:pPr>
        <w:autoSpaceDN w:val="0"/>
        <w:autoSpaceDE w:val="0"/>
        <w:widowControl/>
        <w:spacing w:line="245" w:lineRule="auto" w:before="322" w:after="0"/>
        <w:ind w:left="394" w:right="576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Forfait journalier hospitalier, Frais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séjour, Honoraires, Frais de transport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Soins dentaires, Inlays-onlays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Médicaments, Honoraires médicaux,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Honoraires paramédicaux, Analyses et examens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laboratoire.</w:t>
      </w:r>
    </w:p>
    <w:p>
      <w:pPr>
        <w:autoSpaceDN w:val="0"/>
        <w:tabs>
          <w:tab w:pos="298" w:val="left"/>
          <w:tab w:pos="330" w:val="left"/>
        </w:tabs>
        <w:autoSpaceDE w:val="0"/>
        <w:widowControl/>
        <w:spacing w:line="180" w:lineRule="exact" w:before="364" w:after="0"/>
        <w:ind w:left="212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LES GARANTIES NON SYSTÉMATIQUEMENT PRÉVUES :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Chambre particulière, Frais accompagnant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(lit et frais repas par jour), Confort hospitalier (téléphone,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internet, télévision – par année d’adhésion et par Assuré) ;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Orthodontie, Prothèses dentaires, Inlay-Core,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Implantologie remboursés par le Régime Obligatoire,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Implants, Parodontie, et Orthodontie pour adulte non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remboursés par le Régime Obligatoire, Plafond dentaire ;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Optique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Monture et verres (équipement de la Classe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B), Lentilles acceptées ou non par le Régime Obligatoire,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Chirurgie réfractive de l’oeil ;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Prothèses auditives de la Classe II.,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Accessoires et fournitures, Forfait appareils auditif (hors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100% Santé) ;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Autres soins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Prothèses et appareillages (autres que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dentaires et audio), Médecines complémentaires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(ostéopathe, pédicure, podologue, étiopathe, homéopathe,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acupuncteur, chiropracteur, mésothérapeute, réflexologue,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diététicien, nutritionniste), Cure thermale</w:t>
      </w:r>
    </w:p>
    <w:p>
      <w:pPr>
        <w:autoSpaceDN w:val="0"/>
        <w:tabs>
          <w:tab w:pos="398" w:val="left"/>
        </w:tabs>
        <w:autoSpaceDE w:val="0"/>
        <w:widowControl/>
        <w:spacing w:line="245" w:lineRule="auto" w:before="338" w:after="0"/>
        <w:ind w:left="212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, via le réseau Viamedis (dispense d’avance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de frais chez de nombreux professionnels de santé) ;</w:t>
      </w:r>
    </w:p>
    <w:p>
      <w:pPr>
        <w:autoSpaceDN w:val="0"/>
        <w:autoSpaceDE w:val="0"/>
        <w:widowControl/>
        <w:spacing w:line="233" w:lineRule="auto" w:before="194" w:after="2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L’ASSISTANCE SYSTÉMATIQUEMENT PRÉVUS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2089"/>
        <w:gridCol w:w="2089"/>
        <w:gridCol w:w="2089"/>
        <w:gridCol w:w="2089"/>
        <w:gridCol w:w="2089"/>
      </w:tblGrid>
      <w:tr>
        <w:trPr>
          <w:trHeight w:hRule="exact" w:val="19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Assistance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cas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d’événements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traumatisants,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12" w:right="144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d’immobilisation, d’hospitalisation, de chimio/radiothérapie,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perte d’autonomie ou de décès. </w:t>
      </w:r>
    </w:p>
    <w:p>
      <w:pPr>
        <w:autoSpaceDN w:val="0"/>
        <w:tabs>
          <w:tab w:pos="950" w:val="left"/>
          <w:tab w:pos="3930" w:val="left"/>
        </w:tabs>
        <w:autoSpaceDE w:val="0"/>
        <w:widowControl/>
        <w:spacing w:line="245" w:lineRule="auto" w:before="338" w:after="0"/>
        <w:ind w:left="922" w:right="72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« Les garanties précédées d’une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 sont </w:t>
      </w:r>
      <w:r>
        <w:rPr>
          <w:rFonts w:ascii="Montserrat" w:hAnsi="Montserrat" w:eastAsia="Montserrat"/>
          <w:b/>
          <w:i w:val="0"/>
          <w:color w:val="575756"/>
          <w:sz w:val="16"/>
        </w:rPr>
        <w:t>systématiquement prévues au contrat ».</w:t>
      </w:r>
    </w:p>
    <w:p>
      <w:pPr>
        <w:sectPr>
          <w:type w:val="continuous"/>
          <w:pgSz w:w="11906" w:h="16838"/>
          <w:pgMar w:top="284" w:right="700" w:bottom="328" w:left="762" w:header="720" w:footer="720" w:gutter="0"/>
          <w:cols w:num="2" w:equalWidth="0">
            <w:col w:w="5224" w:space="0"/>
            <w:col w:w="5219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autoSpaceDE w:val="0"/>
        <w:widowControl/>
        <w:spacing w:line="245" w:lineRule="auto" w:before="388" w:after="0"/>
        <w:ind w:left="478" w:right="144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reçus en dehors de la période de validité du contrat ; Les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indemnités versées en complément de la sécurité sociale en cas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d’arrêt de travail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chirurgie non prise en charge par la sécurité sociale, dans un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but de rajeunissement ou esthétique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cures d’amaigrissement, de sommeil, de désintoxication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séjours en institut médico-pédagogique et établissements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similaires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Forfait journalier hospitalier : les séjours en gérontologie,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instituts médico pédagogiques, en unité de soins longs séjours et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établissements d’hébergement pour personnes âgées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effectués à des fins esthétiques, les cures de toutes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natures (sauf celles prises en charge dans le cadre de la garantie «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Cure thermale »), la thalassothérapie.</w:t>
      </w:r>
    </w:p>
    <w:p>
      <w:pPr>
        <w:autoSpaceDN w:val="0"/>
        <w:autoSpaceDE w:val="0"/>
        <w:widowControl/>
        <w:spacing w:line="266" w:lineRule="auto" w:before="9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autoSpaceDN w:val="0"/>
        <w:autoSpaceDE w:val="0"/>
        <w:widowControl/>
        <w:spacing w:line="264" w:lineRule="exact" w:before="480" w:after="0"/>
        <w:ind w:left="894" w:right="1296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58" w:val="left"/>
        </w:tabs>
        <w:autoSpaceDE w:val="0"/>
        <w:widowControl/>
        <w:spacing w:line="245" w:lineRule="auto" w:before="146" w:after="0"/>
        <w:ind w:left="258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PRINCIPALES EXCLUSIONS :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frais liés aux paniers 100% santé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participation forfaitaire de 1€ et les franchises sur les boites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médicaments, actes paramédicaux et transport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majoration du Ticket Modérateur et les dépassements d’honoraires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si les dépenses de santé sont réalisées en dehors du parcours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soins.</w:t>
      </w:r>
    </w:p>
    <w:p>
      <w:pPr>
        <w:autoSpaceDN w:val="0"/>
        <w:tabs>
          <w:tab w:pos="382" w:val="left"/>
        </w:tabs>
        <w:autoSpaceDE w:val="0"/>
        <w:widowControl/>
        <w:spacing w:line="245" w:lineRule="auto" w:before="0" w:after="0"/>
        <w:ind w:left="258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Pour la garantie d’assistance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hospitalisations consécutives à des maladies non soudaines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et prévisibles.</w:t>
      </w:r>
    </w:p>
    <w:p>
      <w:pPr>
        <w:autoSpaceDN w:val="0"/>
        <w:autoSpaceDE w:val="0"/>
        <w:widowControl/>
        <w:spacing w:line="245" w:lineRule="auto" w:before="0" w:after="0"/>
        <w:ind w:left="258" w:right="28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Les décès consécutifs :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• à une inobservation volontaire de la réglementation du pays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visité ou de la pratique d’activités non autorisées par les autorités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locales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• à la pratique, à titre professionnel, de tout sport.</w:t>
      </w:r>
    </w:p>
    <w:p>
      <w:pPr>
        <w:autoSpaceDN w:val="0"/>
        <w:tabs>
          <w:tab w:pos="334" w:val="left"/>
        </w:tabs>
        <w:autoSpaceDE w:val="0"/>
        <w:widowControl/>
        <w:spacing w:line="245" w:lineRule="auto" w:before="132" w:after="0"/>
        <w:ind w:left="258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PRINCIPALES RESTRICTIONS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Forfait journalier hospitalier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Prise en charge dans la limite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30 jours pour les unités de soins de longue durée (USLD),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établissements d’hébergement pour personnes âgées et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établissements médico-sociaux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Frais de séjour, Chambre particulière et Confort hospitalier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: Non couverts audelà d’une durée maximum de 10 jours par an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et par Assuré pour les établissements et services de psychiatrie,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neuropsychiatrie et assimilés, et de 30 jours par an et par Assuré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rééducation fonctionnelle et soins de suite et de réadaptation (SSR)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(maisons de rééducation, de repos ou de convalescence), unités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soins de longue durée (USLD) et établissements d’hébergement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pour personnes âgées.</w:t>
      </w:r>
    </w:p>
    <w:p>
      <w:pPr>
        <w:autoSpaceDN w:val="0"/>
        <w:autoSpaceDE w:val="0"/>
        <w:widowControl/>
        <w:spacing w:line="245" w:lineRule="auto" w:before="0" w:after="0"/>
        <w:ind w:left="334" w:right="384" w:hanging="76"/>
        <w:jc w:val="both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Frais accompagnant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Prise en charge lorsque l’hospitalisation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concerne un enfant de moins de 16 ans, une personne de plus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70 ans ou encore un malade atteint d’une infirmité.</w:t>
      </w:r>
    </w:p>
    <w:p>
      <w:pPr>
        <w:autoSpaceDN w:val="0"/>
        <w:autoSpaceDE w:val="0"/>
        <w:widowControl/>
        <w:spacing w:line="245" w:lineRule="auto" w:before="0" w:after="0"/>
        <w:ind w:left="334" w:right="384" w:hanging="76"/>
        <w:jc w:val="both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Forfait global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Prise en charge des postes optique, dentaire et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audiologie dans la limite d’un forfait global valable tous les ans et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par assuré.</w:t>
      </w:r>
    </w:p>
    <w:p>
      <w:pPr>
        <w:autoSpaceDN w:val="0"/>
        <w:autoSpaceDE w:val="0"/>
        <w:widowControl/>
        <w:spacing w:line="264" w:lineRule="auto" w:before="294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sectPr>
          <w:type w:val="nextColumn"/>
          <w:pgSz w:w="11906" w:h="16838"/>
          <w:pgMar w:top="284" w:right="700" w:bottom="328" w:left="762" w:header="720" w:footer="720" w:gutter="0"/>
          <w:cols w:num="2" w:equalWidth="0">
            <w:col w:w="5224" w:space="0"/>
            <w:col w:w="521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92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55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35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garanties d’assurance frais de santé ne bénéficient qu’aux seuls Assurés résidant à titre principal en France Métropolitaine, pour des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engagés sur ces mêmes zones géographiques. Elles s’étendent aux Accidents survenus et Maladies contractées à l’étranger lors de voyages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ou 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501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81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66" w:lineRule="auto" w:before="22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Sous peine, en fonction de l’obligation non respectée, de nullité d’adhésion, de déchéance ou de résiliation du contrat : </w:t>
            </w:r>
          </w:p>
          <w:p>
            <w:pPr>
              <w:autoSpaceDN w:val="0"/>
              <w:autoSpaceDE w:val="0"/>
              <w:widowControl/>
              <w:spacing w:line="233" w:lineRule="auto" w:before="16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244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et signer la demande d’adhésion ainsi que le mandat de prélèvement (SEPA)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Groupement pour la Prévoyance et la Santé pour Tous (GPST)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tout document justificatif demandé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Résider en Fra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nce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m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é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tropolitaine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âgé(e) d’au moins 18 ans et sans limite d’âge à la date d’adhésion figurant sur la demande d’adhésion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33" w:lineRule="auto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cours de vie du contrat :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Déclarer toute circonstance nouvelle pouvant avoir des conséquences sur l’exécution du contrat (déménagement, changement d’état civil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ou de domiciliation bancaire, souscription d’un autre contrat couvrant les mêmes risques, cessation ou changement d’affiliation au Régime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Obligatoire, changement de domicile, changement de profession ou une cessation d’activité professionnelle)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33" w:lineRule="auto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 cas de sinistre : 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tous les documents justificatifs nécessaires au paiement des prestations prévues au contrat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les demandes de remboursements à l’assureur dans un délai maximum de 2 ans suivant suivant la date de la prestation.</w:t>
            </w:r>
          </w:p>
        </w:tc>
      </w:tr>
    </w:tbl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41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0200" cy="355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33" w:lineRule="auto" w:before="20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d’avance par prélèvement automatique selon la périodicité convenue à l’adhésion. La périodicité du paiement </w:t>
            </w:r>
          </w:p>
          <w:p>
            <w:pPr>
              <w:autoSpaceDN w:val="0"/>
              <w:autoSpaceDE w:val="0"/>
              <w:widowControl/>
              <w:spacing w:line="233" w:lineRule="auto" w:before="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peut 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08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68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5" w:lineRule="auto" w:before="156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convenue entre les parties et figurant sur le certificat d’adhésion, sous réserve du bon encaissement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première cotisation. L’adhésion est conclue pour une durée initiale d’un (1) an. Elle se renouvelle tacitement chaque année à sa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anniversaire, sauf en cas de résiliation.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dispose d’un délai de renonciation de 14 jours qui commence à courir soit à compter de la date de signature de son contrat, soit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du jour où il a reçu les conditions 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04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résiliation quelqu’en soit le motif ou la Partie à l’origine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Dans les conditions prévues au contrat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73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81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chaque échéance anniversaire du contrat moyennant un préavis de deux (2) mois. La résiliation prend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Par lettre ou to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ut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a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ut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re support durable, par acte extrajudiciaire ou par déclaration adressée au siège social à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Néoliane Santé 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245" w:lineRule="auto" w:before="168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résiliation prend alors effet un (1) mois après réception de la notification de résiliation par l’assureur.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08" w:bottom="582" w:left="7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