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3860800</wp:posOffset>
            </wp:positionV>
            <wp:extent cx="6591300" cy="65786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578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44"/>
      </w:tblGrid>
      <w:tr>
        <w:trPr>
          <w:trHeight w:hRule="exact" w:val="712"/>
        </w:trPr>
        <w:tc>
          <w:tcPr>
            <w:tcW w:type="dxa" w:w="10382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12" w:after="0"/>
              <w:ind w:left="202" w:right="5616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6"/>
              </w:rPr>
              <w:t>ASSURANCE COMPLÉMENTAIRE SANTÉ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Document d’information sur le produit d’assurance </w:t>
            </w:r>
          </w:p>
        </w:tc>
      </w:tr>
    </w:tbl>
    <w:p>
      <w:pPr>
        <w:autoSpaceDN w:val="0"/>
        <w:autoSpaceDE w:val="0"/>
        <w:widowControl/>
        <w:spacing w:line="1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4"/>
      </w:tblGrid>
      <w:tr>
        <w:trPr>
          <w:trHeight w:hRule="exact" w:val="1094"/>
        </w:trPr>
        <w:tc>
          <w:tcPr>
            <w:tcW w:type="dxa" w:w="1022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96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co-conçu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GROUPE SANTIANE HOLDING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SAS au capital de 511 539 € – RCS Paris 812 962 330 – 30/32 Boulevard de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Vaugirard-  75015 PARIS  – Intermédiaire en assurances – Immatriculée à l’Orias N°19 004 119 (www.orias.fr). Assuré et co-conçu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L’ÉQUITÉ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Société anonyme au capital de 69 213 760 euros - Entreprise régie par le Code des assurances – 572 084 697 RCS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PARIS - Siège social : 2 rue Pillet-Will 75009 PARIS - N° d’identifiant unique ADEME FR232327_03PBRV - Société appartenant au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Groupe Generali immatriculé sur le registre italien des groupes d’assurances sous le numéro 026.</w:t>
            </w:r>
          </w:p>
        </w:tc>
      </w:tr>
    </w:tbl>
    <w:p>
      <w:pPr>
        <w:autoSpaceDN w:val="0"/>
        <w:autoSpaceDE w:val="0"/>
        <w:widowControl/>
        <w:spacing w:line="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4"/>
      </w:tblGrid>
      <w:tr>
        <w:trPr>
          <w:trHeight w:hRule="exact" w:val="326"/>
        </w:trPr>
        <w:tc>
          <w:tcPr>
            <w:tcW w:type="dxa" w:w="668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: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NÉOLIANE PERFORMANCE</w:t>
            </w:r>
          </w:p>
        </w:tc>
      </w:tr>
    </w:tbl>
    <w:p>
      <w:pPr>
        <w:autoSpaceDN w:val="0"/>
        <w:autoSpaceDE w:val="0"/>
        <w:widowControl/>
        <w:spacing w:line="235" w:lineRule="auto" w:before="28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Ce document d’information présente un résumé des principales garanties et exclusions du produit. Il ne prend pas en compte </w:t>
      </w:r>
    </w:p>
    <w:p>
      <w:pPr>
        <w:autoSpaceDN w:val="0"/>
        <w:autoSpaceDE w:val="0"/>
        <w:widowControl/>
        <w:spacing w:line="235" w:lineRule="auto" w:before="0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vos besoins et demandes spécifiques. Toutes les informations contractuelles et précontractuelles sur le produit NÉOLIANE </w:t>
      </w:r>
    </w:p>
    <w:p>
      <w:pPr>
        <w:autoSpaceDN w:val="0"/>
        <w:autoSpaceDE w:val="0"/>
        <w:widowControl/>
        <w:spacing w:line="235" w:lineRule="auto" w:before="0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PERFORMANCE sont fournies au client dans d’autres documents et, notamment, dans le tableau de garanties ci-joint, qui détaille </w:t>
      </w:r>
    </w:p>
    <w:p>
      <w:pPr>
        <w:autoSpaceDN w:val="0"/>
        <w:autoSpaceDE w:val="0"/>
        <w:widowControl/>
        <w:spacing w:line="235" w:lineRule="auto" w:before="0" w:after="0"/>
        <w:ind w:left="0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le niveau des remboursements. </w:t>
      </w:r>
    </w:p>
    <w:p>
      <w:pPr>
        <w:autoSpaceDN w:val="0"/>
        <w:autoSpaceDE w:val="0"/>
        <w:widowControl/>
        <w:spacing w:line="250" w:lineRule="exact" w:before="290" w:after="0"/>
        <w:ind w:left="0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De quel type d’assurance s’agit-il ?</w:t>
      </w:r>
    </w:p>
    <w:p>
      <w:pPr>
        <w:autoSpaceDN w:val="0"/>
        <w:autoSpaceDE w:val="0"/>
        <w:widowControl/>
        <w:spacing w:line="257" w:lineRule="auto" w:before="62" w:after="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>Le produit NÉOLIANE PERFORMANCE est un produit d’Assurance Complémentaire Santé.</w:t>
      </w:r>
    </w:p>
    <w:p>
      <w:pPr>
        <w:autoSpaceDN w:val="0"/>
        <w:autoSpaceDE w:val="0"/>
        <w:widowControl/>
        <w:spacing w:line="245" w:lineRule="auto" w:before="0" w:after="0"/>
        <w:ind w:left="0" w:right="20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En cas d’accident, de maladie ou de maternité, il est destiné à rembourser tout ou une partie des frais de santé restant à la charge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l’adhérent et des éventuels Ayants droit, après l’intervention de son Régime Obligatoire d’assurance maladie et, dans certains cas,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des frais non remboursés par ce dernier.</w:t>
      </w:r>
    </w:p>
    <w:p>
      <w:pPr>
        <w:autoSpaceDN w:val="0"/>
        <w:autoSpaceDE w:val="0"/>
        <w:widowControl/>
        <w:spacing w:line="245" w:lineRule="auto" w:before="0" w:after="530"/>
        <w:ind w:left="0" w:right="20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 produit NÉOLIANE PERFORMANCE est « responsable » car il respecte les obligations et interdictions de prise en charge fixées par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législation. Il est également « solidaire » car il ne prévoit pas de questionnaire d’état de santé et son tarif ne dépend pas de l’état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santé de l’adhérent. Le produit NÉOLIANE PERFORMANCE est conforme au dispositif « 100% Santé » qui permet à l’adhérent 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bénéficier d’un zéro reste à charge sur les paniers optique, dentaire et aides auditives, . </w:t>
      </w:r>
    </w:p>
    <w:p>
      <w:pPr>
        <w:sectPr>
          <w:pgSz w:w="11906" w:h="16838"/>
          <w:pgMar w:top="296" w:right="700" w:bottom="392" w:left="7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85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QU’EST CE QUI EST ASSURÉ ? </w:t>
      </w:r>
    </w:p>
    <w:p>
      <w:pPr>
        <w:autoSpaceDN w:val="0"/>
        <w:autoSpaceDE w:val="0"/>
        <w:widowControl/>
        <w:spacing w:line="245" w:lineRule="auto" w:before="282" w:after="0"/>
        <w:ind w:left="190" w:right="144" w:firstLine="2"/>
        <w:jc w:val="left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remboursements de frais couverts par l’assurance ne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peuvent pas être plus élevés que les dépenses engagées.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Ils sont soumis à des plafonds qui varient en fonction de la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formule et par conséquent une somme peut rester à votre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charge. Le détail de ces plafonds figure au tableau des ga-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ranties ci-joint. </w:t>
      </w:r>
    </w:p>
    <w:p>
      <w:pPr>
        <w:autoSpaceDN w:val="0"/>
        <w:tabs>
          <w:tab w:pos="374" w:val="left"/>
          <w:tab w:pos="1246" w:val="left"/>
          <w:tab w:pos="3284" w:val="left"/>
        </w:tabs>
        <w:autoSpaceDE w:val="0"/>
        <w:widowControl/>
        <w:spacing w:line="245" w:lineRule="auto" w:before="168" w:after="0"/>
        <w:ind w:left="19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LES GARANTIES SYSTÉMATIQUEMENT PRÉVUES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Secteur conventionné : Frais de séjour,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Forfait journalier hospitalier, Honoraires, Frais de transport,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Forfait patient urgences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Dentaire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Soins et prothèses 100% Santé (Panier 100%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Santé), Soins dentaires, Inlays-onlays, Parodontologie, Pro-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thèses dentaires, Inlay-Core, Implantologie et Orthodontie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remboursés par le Régime Obligatoire, Plafond dentaire ; </w:t>
      </w:r>
      <w:r>
        <w:rPr>
          <w:rFonts w:ascii="Montserrat" w:hAnsi="Montserrat" w:eastAsia="Montserrat"/>
          <w:b/>
          <w:i w:val="0"/>
          <w:color w:val="575756"/>
          <w:sz w:val="16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Équipements verres et montures de la Classe A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- Panier 100% Santé,  Monture et verres (équipement de la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Classe B), Lentilles acceptées ou refusées par le RO 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Soins courants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Médicaments, Honoraires médicaux,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Honoraires paramédicaux, Analyses et examens de labo-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ratoire,  Médecines naturelles (ostéopathe, homéopathe,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acupuncteur, naturopathe, étiopathe, diététicien, chiro-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practeur,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micro-kinésithérapeute,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pédicure/podologue,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réflexologue, sophrologue, luminothérapeute, hypnothé-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rapeute, tabacologue, mésothérapeute, psychomotricien,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psychologue, ergothérapeute, sexologue), Cure thermale,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Matériel médical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Aides auditives :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Équipements 100% Santé (Classe I - Pa-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nier 100% Santé), Prothèses auditives de la Classe II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Prévention</w:t>
      </w:r>
    </w:p>
    <w:p>
      <w:pPr>
        <w:autoSpaceDN w:val="0"/>
        <w:tabs>
          <w:tab w:pos="304" w:val="left"/>
        </w:tabs>
        <w:autoSpaceDE w:val="0"/>
        <w:widowControl/>
        <w:spacing w:line="180" w:lineRule="exact" w:before="180" w:after="0"/>
        <w:ind w:left="19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>LES GARANTIES NON SYSTÉMATIQUEMENT PRÉVUES :</w:t>
      </w:r>
      <w:r>
        <w:rPr>
          <w:rFonts w:ascii="HelveticaNeueLTStd" w:hAnsi="HelveticaNeueLTStd" w:eastAsia="HelveticaNeueLTStd"/>
          <w:b w:val="0"/>
          <w:i w:val="0"/>
          <w:color w:val="717070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Chambre particulière, Frais accompa-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gnant, Forfait confort extra hospitalier ;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575756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Option Éco : permet de supprimer les garanties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Chambre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particulière, Lit accompagnant, Forfait lentilles, Médecines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complémentaires, Cure thermale du contrat. </w:t>
      </w:r>
    </w:p>
    <w:p>
      <w:pPr>
        <w:autoSpaceDN w:val="0"/>
        <w:tabs>
          <w:tab w:pos="374" w:val="left"/>
        </w:tabs>
        <w:autoSpaceDE w:val="0"/>
        <w:widowControl/>
        <w:spacing w:line="245" w:lineRule="auto" w:before="168" w:after="0"/>
        <w:ind w:left="19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LES SERVICES SYSTÉMATIQUEMENT PRÉVUS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Tiers Payant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, via le réseau Viamedis (dispense d’avance 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frais chez de nombreux professionnels de santé).</w:t>
      </w:r>
    </w:p>
    <w:p>
      <w:pPr>
        <w:autoSpaceDN w:val="0"/>
        <w:tabs>
          <w:tab w:pos="374" w:val="left"/>
          <w:tab w:pos="1446" w:val="left"/>
          <w:tab w:pos="1904" w:val="left"/>
          <w:tab w:pos="2414" w:val="left"/>
          <w:tab w:pos="3776" w:val="left"/>
        </w:tabs>
        <w:autoSpaceDE w:val="0"/>
        <w:widowControl/>
        <w:spacing w:line="245" w:lineRule="auto" w:before="168" w:after="0"/>
        <w:ind w:left="19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L’ASSISTANCE SYSTÉMATIQUEMENT PRÉVUS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Assistance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en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cas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d’événements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traumatisants,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d’immobilisation, d’hospitalisation, de chimio/radiothérapie,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perte d’autonomie ou de décès. </w:t>
      </w:r>
    </w:p>
    <w:p>
      <w:pPr>
        <w:autoSpaceDN w:val="0"/>
        <w:tabs>
          <w:tab w:pos="966" w:val="left"/>
          <w:tab w:pos="4132" w:val="left"/>
        </w:tabs>
        <w:autoSpaceDE w:val="0"/>
        <w:widowControl/>
        <w:spacing w:line="250" w:lineRule="auto" w:before="348" w:after="0"/>
        <w:ind w:left="720" w:right="576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« Les garanties précédées d’une coche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 sont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6"/>
        </w:rPr>
        <w:t>systématiquement prévues au contrat ».</w:t>
      </w:r>
    </w:p>
    <w:p>
      <w:pPr>
        <w:sectPr>
          <w:type w:val="continuous"/>
          <w:pgSz w:w="11906" w:h="16838"/>
          <w:pgMar w:top="296" w:right="700" w:bottom="392" w:left="762" w:header="720" w:footer="720" w:gutter="0"/>
          <w:cols w:num="2" w:equalWidth="0">
            <w:col w:w="5200" w:space="0"/>
            <w:col w:w="5243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0" w:right="0" w:firstLine="0"/>
        <w:jc w:val="center"/>
      </w:pPr>
      <w:r>
        <w:rPr>
          <w:rFonts w:ascii="BrandingSF" w:hAnsi="BrandingSF" w:eastAsia="BrandingSF"/>
          <w:b/>
          <w:i w:val="0"/>
          <w:color w:val="03579E"/>
          <w:sz w:val="22"/>
        </w:rPr>
        <w:t>QU’EST-CE QUI N’EST PAS ASSURÉ ?</w:t>
      </w:r>
    </w:p>
    <w:p>
      <w:pPr>
        <w:autoSpaceDN w:val="0"/>
        <w:tabs>
          <w:tab w:pos="446" w:val="left"/>
          <w:tab w:pos="934" w:val="left"/>
          <w:tab w:pos="1586" w:val="left"/>
          <w:tab w:pos="3276" w:val="left"/>
          <w:tab w:pos="3704" w:val="left"/>
          <w:tab w:pos="4654" w:val="left"/>
        </w:tabs>
        <w:autoSpaceDE w:val="0"/>
        <w:widowControl/>
        <w:spacing w:line="245" w:lineRule="auto" w:before="314" w:after="0"/>
        <w:ind w:left="270" w:right="144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soins reçus en dehors de la période de validité du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contrat 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indemnités versées en complément de la sécurité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sociale en cas d’arrêt de travail 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chirurgie non prise en charge par la sécurité sociale,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dans un but de rajeunissement ou esthétique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cures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d’amaigrissement,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sommeil,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désintoxication ou les séjours en institut médico-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pédagogique et établissements similaires.</w:t>
      </w:r>
    </w:p>
    <w:p>
      <w:pPr>
        <w:autoSpaceDN w:val="0"/>
        <w:autoSpaceDE w:val="0"/>
        <w:widowControl/>
        <w:spacing w:line="235" w:lineRule="auto" w:before="19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Cette liste n’est pas exhaustive.</w:t>
      </w:r>
    </w:p>
    <w:p>
      <w:pPr>
        <w:autoSpaceDN w:val="0"/>
        <w:autoSpaceDE w:val="0"/>
        <w:widowControl/>
        <w:spacing w:line="250" w:lineRule="exact" w:before="626" w:after="0"/>
        <w:ind w:left="89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Y-A-T-IL DES EXCLUSIONS À LA </w:t>
      </w:r>
    </w:p>
    <w:p>
      <w:pPr>
        <w:autoSpaceDN w:val="0"/>
        <w:autoSpaceDE w:val="0"/>
        <w:widowControl/>
        <w:spacing w:line="250" w:lineRule="exact" w:before="14" w:after="0"/>
        <w:ind w:left="89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COUVERTURE ?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128" w:after="0"/>
        <w:ind w:left="26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PRINCIPALES EXCLUSIONS : </w:t>
      </w:r>
      <w:r>
        <w:br/>
      </w:r>
      <w:r>
        <w:rPr>
          <w:rFonts w:ascii="Montserrat" w:hAnsi="Montserrat" w:eastAsia="Montserrat"/>
          <w:b w:val="0"/>
          <w:i w:val="0"/>
          <w:color w:val="EA5C2C"/>
          <w:sz w:val="16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participation forfaitaire de 2€ et les franchises sur les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boites de médicaments, actes paramédicaux et transport  ; </w:t>
      </w:r>
      <w:r>
        <w:rPr>
          <w:rFonts w:ascii="Montserrat" w:hAnsi="Montserrat" w:eastAsia="Montserrat"/>
          <w:b w:val="0"/>
          <w:i w:val="0"/>
          <w:color w:val="EA5C2C"/>
          <w:sz w:val="16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majoration du Ticket Modérateur et les dépassements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d’honoraires si les dépenses de santé sont réalisées en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dehors du parcours de soins ; </w:t>
      </w:r>
      <w:r>
        <w:br/>
      </w:r>
      <w:r>
        <w:rPr>
          <w:rFonts w:ascii="Montserrat" w:hAnsi="Montserrat" w:eastAsia="Montserrat"/>
          <w:b w:val="0"/>
          <w:i w:val="0"/>
          <w:color w:val="EA5C2C"/>
          <w:sz w:val="16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dépassements d’honoraires au-delà de la limite fixée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réglementairement pour les médecins n’adhérant pas à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un dispositif de pratique tarifaire maîtrisée.</w:t>
      </w:r>
    </w:p>
    <w:p>
      <w:pPr>
        <w:autoSpaceDN w:val="0"/>
        <w:tabs>
          <w:tab w:pos="352" w:val="left"/>
          <w:tab w:pos="394" w:val="left"/>
          <w:tab w:pos="532" w:val="left"/>
          <w:tab w:pos="920" w:val="left"/>
          <w:tab w:pos="2318" w:val="left"/>
          <w:tab w:pos="2542" w:val="left"/>
          <w:tab w:pos="3102" w:val="left"/>
          <w:tab w:pos="3482" w:val="left"/>
          <w:tab w:pos="4210" w:val="left"/>
        </w:tabs>
        <w:autoSpaceDE w:val="0"/>
        <w:widowControl/>
        <w:spacing w:line="245" w:lineRule="auto" w:before="190" w:after="0"/>
        <w:ind w:left="260" w:right="28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PRINCIPALES RESTRICTIONS :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6"/>
        </w:rPr>
        <w:t xml:space="preserve">! </w:t>
      </w:r>
      <w:r>
        <w:tab/>
      </w:r>
      <w:r>
        <w:tab/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Lit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accompagnant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: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Prise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en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charge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lorsque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l’Hospitalisation concerne un enfant de moins de 16 ans,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une personne de plus de 70 ans ou encore un malade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atteint d’une infirmité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/>
          <w:i w:val="0"/>
          <w:color w:val="575756"/>
          <w:sz w:val="16"/>
        </w:rPr>
        <w:t>Forfait journalier hospitalier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Prise en charge dans la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limite de 30 jours pour les unités de soins de longue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durée (USLD), des établissements d’hébergement pour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personnes âgées et des établissements médico-sociaux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/>
          <w:i w:val="0"/>
          <w:color w:val="575756"/>
          <w:sz w:val="16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La fréquence de remboursement pour un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équipement optique (1 monture + 2 verres) est tous les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deux ans pour les plus de 16 ans et tous les ans chez les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moins de 16 ans et tous les 6 mois pour les moins de 6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ans, avec possibilité de renouvellement anticipé en cas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d’évolution de la vue;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/>
          <w:i w:val="0"/>
          <w:color w:val="575756"/>
          <w:sz w:val="16"/>
        </w:rPr>
        <w:t>Aides auditives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Depuis le 01/01/2021, renouvellement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tous les 4 ans suivant la date d’acquisition.</w:t>
      </w:r>
    </w:p>
    <w:p>
      <w:pPr>
        <w:autoSpaceDN w:val="0"/>
        <w:autoSpaceDE w:val="0"/>
        <w:widowControl/>
        <w:spacing w:line="235" w:lineRule="auto" w:before="190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Cette liste n’est pas exhaustive.</w:t>
      </w:r>
    </w:p>
    <w:p>
      <w:pPr>
        <w:sectPr>
          <w:type w:val="nextColumn"/>
          <w:pgSz w:w="11906" w:h="16838"/>
          <w:pgMar w:top="296" w:right="700" w:bottom="392" w:left="762" w:header="720" w:footer="720" w:gutter="0"/>
          <w:cols w:num="2" w:equalWidth="0">
            <w:col w:w="5200" w:space="0"/>
            <w:col w:w="524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75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54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55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OÙ SUIS-JE COUVERT(E) ? </w:t>
            </w:r>
          </w:p>
          <w:p>
            <w:pPr>
              <w:autoSpaceDN w:val="0"/>
              <w:autoSpaceDE w:val="0"/>
              <w:widowControl/>
              <w:spacing w:line="245" w:lineRule="auto" w:before="166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Les garanties d’assurance frais de santé ne bénéficient qu’aux seuls Assurés résidant à titre principal en France Métropolitaine,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pour des frais engagés sur ces mêmes zones géographiques. Elles s’étendent aux accidents survenus et Maladies contractées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à l’étranger lors de voyages ou de séjours, si le Régime Obligatoire français d’Assurance Maladie de l’adhérent s’applique.</w:t>
            </w:r>
          </w:p>
        </w:tc>
      </w:tr>
    </w:tbl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515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8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QUELLES SONT MES OBLIGATIONS ? </w:t>
            </w:r>
          </w:p>
          <w:p>
            <w:pPr>
              <w:autoSpaceDN w:val="0"/>
              <w:autoSpaceDE w:val="0"/>
              <w:widowControl/>
              <w:spacing w:line="254" w:lineRule="auto" w:before="228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Sous peine, en fonction de l’obligation non respectée, de non garantie, de perte du droit à garantie ou de résiliation du </w:t>
            </w:r>
          </w:p>
          <w:p>
            <w:pPr>
              <w:autoSpaceDN w:val="0"/>
              <w:autoSpaceDE w:val="0"/>
              <w:widowControl/>
              <w:spacing w:line="254" w:lineRule="auto" w:before="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contrat : </w:t>
            </w:r>
          </w:p>
          <w:p>
            <w:pPr>
              <w:autoSpaceDN w:val="0"/>
              <w:autoSpaceDE w:val="0"/>
              <w:widowControl/>
              <w:spacing w:line="254" w:lineRule="auto" w:before="178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À la souscription du contrat :</w:t>
            </w:r>
          </w:p>
          <w:p>
            <w:pPr>
              <w:autoSpaceDN w:val="0"/>
              <w:autoSpaceDE w:val="0"/>
              <w:widowControl/>
              <w:spacing w:line="170" w:lineRule="exact" w:before="80" w:after="0"/>
              <w:ind w:left="160" w:right="4752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Remplir avec exactitude la demande d’adhésion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Être adhérent(e) à l’Association GPST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Fournir tous les documents justificatifs demandés par l’Assureur 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Relever du Régime Obligatoire d’assurance maladie français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Être âgé(e) entre 18 ans et sans limite d’âge ;</w:t>
            </w:r>
          </w:p>
          <w:p>
            <w:pPr>
              <w:autoSpaceDN w:val="0"/>
              <w:autoSpaceDE w:val="0"/>
              <w:widowControl/>
              <w:spacing w:line="208" w:lineRule="exact" w:before="0" w:after="0"/>
              <w:ind w:left="160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Régler la cotisation indiquée au certificat d’adhésion.</w:t>
            </w:r>
          </w:p>
          <w:p>
            <w:pPr>
              <w:autoSpaceDN w:val="0"/>
              <w:autoSpaceDE w:val="0"/>
              <w:widowControl/>
              <w:spacing w:line="257" w:lineRule="auto" w:before="176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cours de vie du contrat :</w:t>
            </w:r>
          </w:p>
          <w:p>
            <w:pPr>
              <w:autoSpaceDN w:val="0"/>
              <w:tabs>
                <w:tab w:pos="278" w:val="left"/>
              </w:tabs>
              <w:autoSpaceDE w:val="0"/>
              <w:widowControl/>
              <w:spacing w:line="170" w:lineRule="exact" w:before="80" w:after="0"/>
              <w:ind w:left="160" w:right="432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Informer l’Assureur des évènements suivants, dans un délai de 15 jours suivant leur survenance : changement d’état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civil, cessation ou changement d’affiliation au Régime Obligatoire, changement de domicile, départ hors de France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métropolitaine, cessation de qualité d’ayant droit, changement de profession ou une cessation d’activité profes-sionnelle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Régler la cotisation prévue à l’échéancier.</w:t>
            </w:r>
          </w:p>
          <w:p>
            <w:pPr>
              <w:autoSpaceDN w:val="0"/>
              <w:autoSpaceDE w:val="0"/>
              <w:widowControl/>
              <w:spacing w:line="257" w:lineRule="auto" w:before="176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sinistre</w:t>
            </w:r>
          </w:p>
          <w:p>
            <w:pPr>
              <w:autoSpaceDN w:val="0"/>
              <w:tabs>
                <w:tab w:pos="278" w:val="left"/>
              </w:tabs>
              <w:autoSpaceDE w:val="0"/>
              <w:widowControl/>
              <w:spacing w:line="170" w:lineRule="exact" w:before="80" w:after="0"/>
              <w:ind w:left="160" w:right="100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Faire parvenir tous les documents justificatifs nécessaires au paiement des prestations prévues au contrat 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Faire parvenir les demandes de remboursements à l’Assureur dans un délai maximum de 2 ans suivant la date de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remboursement des soins de votre Sécurité sociale.</w:t>
            </w:r>
          </w:p>
        </w:tc>
      </w:tr>
    </w:tbl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582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4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2900" cy="355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QUAND ET COMMENT EFFECTUER LES PAIEMENTS ?</w:t>
            </w:r>
          </w:p>
          <w:p>
            <w:pPr>
              <w:autoSpaceDN w:val="0"/>
              <w:autoSpaceDE w:val="0"/>
              <w:widowControl/>
              <w:spacing w:line="245" w:lineRule="auto" w:before="176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Les cotisations sont payables aux échéances prévues au contrat et suivant les modalités choisies lors de l’adhésion.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La périodicité du paiement peut etre mensuelle, trimestrielle, semestrielle ou annuelle. Les cotisations sont payables d’avance,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par prélèvement ou chèque (annuel uniquement).</w:t>
            </w:r>
          </w:p>
        </w:tc>
      </w:tr>
    </w:tbl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938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2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683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4B71B1"/>
                <w:sz w:val="22"/>
              </w:rPr>
              <w:t xml:space="preserve">QUAND COMMENCE LA COUVERTURE ET QUAND PREND-ELLE FIN ? </w:t>
            </w:r>
          </w:p>
          <w:p>
            <w:pPr>
              <w:autoSpaceDN w:val="0"/>
              <w:autoSpaceDE w:val="0"/>
              <w:widowControl/>
              <w:spacing w:line="245" w:lineRule="auto" w:before="122" w:after="0"/>
              <w:ind w:left="160" w:right="72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L’adhésion prend effet à la date indiquée sur le certificat d’adhésion, sous réserve du bon encaissement de la première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cotisation.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L’adhésion est conclue pour une durée d’un an à compter de sa prise d’effet et se reconduit tacitement, chaque année, à sa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date d’anniversaire, sauf en cas de résiliation. L’Adhérent dispose d’un délai de renonciation de 14 jours qui commence à courir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soit à compter de la date de signature de son contrat, soit à compter du jour où il a reçu les conditions contractuelles et les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informations particulières si cette dernière date est postérieure.</w:t>
            </w:r>
          </w:p>
          <w:p>
            <w:pPr>
              <w:autoSpaceDN w:val="0"/>
              <w:autoSpaceDE w:val="0"/>
              <w:widowControl/>
              <w:spacing w:line="170" w:lineRule="exact" w:before="38" w:after="0"/>
              <w:ind w:left="160" w:right="360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La couverture prend fin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résiliation quelqu’en soit le motif, quelle qu’en soit la Partie à l’origine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décès de l’Adhérent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déménagement en dehors de France métropolitaine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retrait total de l’agrément administratif accordé à l’Assureur.</w:t>
            </w:r>
          </w:p>
        </w:tc>
      </w:tr>
    </w:tbl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316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2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COMMENT PUIS-JE RÉSILIER LE CONTRAT ?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16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L’Adhérent peut résilier son adhésion à chaque échéance anniversaire du contrat moyennant un préavis de deux (2) mois. La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résiliation prend effet la veille de l’échéance annuelle à 24 heures (article L.113-12 du Code des assurances).</w:t>
            </w:r>
          </w:p>
          <w:p>
            <w:pPr>
              <w:autoSpaceDN w:val="0"/>
              <w:autoSpaceDE w:val="0"/>
              <w:widowControl/>
              <w:spacing w:line="192" w:lineRule="exact" w:before="14" w:after="0"/>
              <w:ind w:left="160" w:right="432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Par lettre ou tout autre support durable, par acte extrajudiciaire ou par déclaration adressée au siège social à :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Néoliane Santé – Service Résiliation – 143 Boulevard René Cassin – Immeuble Nouvel’R - Bat C – CS 63278 - 06205 NICE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CEDEX 3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Sur l’espace adhérent :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 www.monneoliane.fr, rubrique « Je souhaite résilier ou me rétracter ».</w:t>
            </w:r>
          </w:p>
          <w:p>
            <w:pPr>
              <w:autoSpaceDN w:val="0"/>
              <w:autoSpaceDE w:val="0"/>
              <w:widowControl/>
              <w:spacing w:line="245" w:lineRule="auto" w:before="178" w:after="0"/>
              <w:ind w:left="160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Une fois la première année d’adhésion écoulée, l’Adhérent bénéficie de la même faculté qu’il peut toutefois exercer à tout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moment. La résiliation prend alors effet un (1) mois après réception de la notification de résiliation par l’Assureur.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Enfin, en cas de désaccord suite à une modification de ses droits et obligations ou à l’augmentation de sa cotisation,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l’Adhérent peut résilier dans le délai d’un mois suivant la date de réception de la lettre l’en informant.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62" w:right="736" w:bottom="346" w:left="7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