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3594100</wp:posOffset>
            </wp:positionV>
            <wp:extent cx="6616700" cy="6578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6578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5.99999999999994" w:type="dxa"/>
      </w:tblPr>
      <w:tblGrid>
        <w:gridCol w:w="10932"/>
      </w:tblGrid>
      <w:tr>
        <w:trPr>
          <w:trHeight w:hRule="exact" w:val="716"/>
        </w:trPr>
        <w:tc>
          <w:tcPr>
            <w:tcW w:type="dxa" w:w="10384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16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0932"/>
      </w:tblGrid>
      <w:tr>
        <w:trPr>
          <w:trHeight w:hRule="exact" w:val="1094"/>
        </w:trPr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48" w:right="112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SAS au capital de 511 539 € – RCS Paris 812 962 330 – 30/32 Boulevard de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Vaugirard-  75015 PARIS  – Intermédiaire en assurances – Immatriculée à l’Orias N°19 004 119 (www.orias.fr). Assuré et co-conçu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Société anonyme au capital de 69 213 760 euros - Entreprise régie par le Code des assurances – 572 084 697 RCS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PARIS - Siège social : 2 rue Pillet-Will 75009 PARIS - N° d’identifiant unique ADEME FR232327_03PBRV - Société appartenant au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Groupe Generali 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0932"/>
      </w:tblGrid>
      <w:tr>
        <w:trPr>
          <w:trHeight w:hRule="exact" w:val="326"/>
        </w:trPr>
        <w:tc>
          <w:tcPr>
            <w:tcW w:type="dxa" w:w="67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3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PLÉNITUDE</w:t>
            </w:r>
          </w:p>
        </w:tc>
      </w:tr>
    </w:tbl>
    <w:p>
      <w:pPr>
        <w:autoSpaceDN w:val="0"/>
        <w:autoSpaceDE w:val="0"/>
        <w:widowControl/>
        <w:spacing w:line="245" w:lineRule="auto" w:before="108" w:after="0"/>
        <w:ind w:left="486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Ce document d’information présente un résumé des principales garanties et exclusions du produit. Il ne prend pas en compte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besoins et demandes spécifiques. Toutes les informations contractuelles et précontractuelles sur le produit NÉOLIANE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PLÉNITUDE sont fournies au client dans d’autres documents et, notamment, dans le tableau de garanties ci-joint, qui détaille </w:t>
      </w:r>
    </w:p>
    <w:p>
      <w:pPr>
        <w:autoSpaceDN w:val="0"/>
        <w:autoSpaceDE w:val="0"/>
        <w:widowControl/>
        <w:spacing w:line="233" w:lineRule="auto" w:before="0" w:after="0"/>
        <w:ind w:left="486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 niveau des remboursements.</w:t>
      </w:r>
    </w:p>
    <w:p>
      <w:pPr>
        <w:autoSpaceDN w:val="0"/>
        <w:autoSpaceDE w:val="0"/>
        <w:widowControl/>
        <w:spacing w:line="252" w:lineRule="exact" w:before="146" w:after="0"/>
        <w:ind w:left="48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45" w:lineRule="auto" w:before="62" w:after="0"/>
        <w:ind w:left="486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produit NÉOLIANE PLÉNITUDE est un produit d’Assurance Complémentaire Santé. En cas d’Accident, de Maladie ou de maternité,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 est destiné à rembourser tout ou partie des frais de santé restant à la charge de l’Adhérent et des éventuels Ayants droits, après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l’intervention de son Régime Obligatoire d’assurance maladie et, dans certains cas, des frais non remboursés par ce dernier. Le produit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NÉOLIANE PLÉNITUDE est « responsable » car il respecte les obligations et interdictions de prise en charge fixées par la législation.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 est également « solidaire » car il ne prévoit pas de questionnaire d’état de santé et son tarif ne dépend pas de l’état de santé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l’Adhérent.</w:t>
      </w:r>
    </w:p>
    <w:p>
      <w:pPr>
        <w:autoSpaceDN w:val="0"/>
        <w:autoSpaceDE w:val="0"/>
        <w:widowControl/>
        <w:spacing w:line="245" w:lineRule="auto" w:before="0" w:after="472"/>
        <w:ind w:left="486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produit NÉOLIANE PLÉNITUDE est conforme au dispositif « 100% Santé » qui permet à l’Adhérent de bénéficier d’un zéro reste à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charge sur les paniers optique, dentaire et aides auditives. </w:t>
      </w:r>
    </w:p>
    <w:p>
      <w:pPr>
        <w:sectPr>
          <w:pgSz w:w="11906" w:h="16838"/>
          <w:pgMar w:top="348" w:right="694" w:bottom="488" w:left="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130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5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288" w:after="0"/>
        <w:ind w:left="666" w:right="276" w:firstLine="4"/>
        <w:jc w:val="both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peuvent pas être plus élevés que les dépenses engagées. Ils sont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soumis à des plafonds qui varient en fonction de la formule et par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conséquent une somme peut rester à votre charge. Le détail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ces plafonds figure au tableau des garanties ci-joint. </w:t>
      </w:r>
    </w:p>
    <w:p>
      <w:pPr>
        <w:autoSpaceDN w:val="0"/>
        <w:autoSpaceDE w:val="0"/>
        <w:widowControl/>
        <w:spacing w:line="245" w:lineRule="auto" w:before="138" w:after="0"/>
        <w:ind w:left="852" w:right="144" w:hanging="186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Frais de séjour, Forfait journalier hospitalier,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Honoraires, Frais de transport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Soins et prothèses 100% Santé (Panier 100% Santé),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Soins dentaires, Inlays-onlays, Parodontologie, Prothèses den-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taires, Inlay-Core, Implantologie et Orthodontie remboursés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par le Régime Obligatoire, Plafond dentaire annuel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Équipements verres et montures de la Classe A - Pa-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nier 100% Santé,  Monture et verres (équipement de la Classe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B), Lentilles acceptées par le 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Médicaments, Honoraires médicaux,  Ho-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noraires paramédicaux, Analyses et examens de laboratoire,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Médecines complémentaires (ostéopathe, homéopathe, acu-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puncteur, naturopathe, étiopathe, diététicien, chiropracteur,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micro-kinésithérapeute, pédicure/podologue, réflexologue, so-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phrologue, luminothérapeute, hypnothérapeute, tabacologue,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mésothérapeute, psychomotricien, psychologue, ergothéra-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peute, sexologue), Cure thermale, Matériel médical, Prothèses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appareillages (petit appareillage et accessoires), Prothèses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orthopédiques, capillaires, mammaires et grand appareillage,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Dépenses médicales effectuées à l’étranger et remboursées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par le 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Équipements 100% Santé (Classe I - Panier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100% Santé), Prothèses auditives de la Classe II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Prévention</w:t>
      </w:r>
    </w:p>
    <w:p>
      <w:pPr>
        <w:sectPr>
          <w:type w:val="continuous"/>
          <w:pgSz w:w="11906" w:h="16838"/>
          <w:pgMar w:top="348" w:right="694" w:bottom="488" w:left="280" w:header="720" w:footer="720" w:gutter="0"/>
          <w:cols w:num="2" w:equalWidth="0">
            <w:col w:w="5692" w:space="0"/>
            <w:col w:w="524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94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64" w:val="left"/>
          <w:tab w:pos="950" w:val="left"/>
          <w:tab w:pos="1602" w:val="left"/>
          <w:tab w:pos="3294" w:val="left"/>
          <w:tab w:pos="3720" w:val="left"/>
          <w:tab w:pos="4670" w:val="left"/>
        </w:tabs>
        <w:autoSpaceDE w:val="0"/>
        <w:widowControl/>
        <w:spacing w:line="245" w:lineRule="auto" w:before="314" w:after="0"/>
        <w:ind w:left="286" w:right="144" w:firstLine="0"/>
        <w:jc w:val="left"/>
      </w:pP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soins reçus en dehors de la période de validité du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contrat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indemnités versées en complément de la sécurité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sociale en cas d’arrêt de travail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chirurgie non prise en charge par la sécurité sociale,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dans un but de rajeunissement ou esthétique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cures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d’amaigrissement,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sommeil,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désintoxication ou les séjours en institut médico-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pédagogique et établissements similaires.</w:t>
      </w:r>
    </w:p>
    <w:p>
      <w:pPr>
        <w:autoSpaceDN w:val="0"/>
        <w:autoSpaceDE w:val="0"/>
        <w:widowControl/>
        <w:spacing w:line="235" w:lineRule="auto" w:before="19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autoSpaceDN w:val="0"/>
        <w:autoSpaceDE w:val="0"/>
        <w:widowControl/>
        <w:spacing w:line="252" w:lineRule="exact" w:before="630" w:after="0"/>
        <w:ind w:left="91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2" w:lineRule="exact" w:before="12" w:after="0"/>
        <w:ind w:left="91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404" w:val="left"/>
          <w:tab w:pos="410" w:val="left"/>
          <w:tab w:pos="414" w:val="left"/>
        </w:tabs>
        <w:autoSpaceDE w:val="0"/>
        <w:widowControl/>
        <w:spacing w:line="245" w:lineRule="auto" w:before="338" w:after="126"/>
        <w:ind w:left="276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participation forfaitaire de 2€ et les franchises sur les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boites de médicaments, actes paramédicaux et transport ; </w:t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majoration du Ticket Modérateur et les dépassements </w:t>
      </w:r>
      <w:r>
        <w:tab/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d’honoraires si les dépenses de santé sont réalisées en </w:t>
      </w:r>
      <w:r>
        <w:tab/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dehors du parcours de soins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dépassements d’honoraires au-delà de la limite fixée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réglementairement pour les médecins n’adhérant pas à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un dispositif de pratique tarifaire maîtrisée.</w:t>
      </w:r>
    </w:p>
    <w:p>
      <w:pPr>
        <w:sectPr>
          <w:type w:val="nextColumn"/>
          <w:pgSz w:w="11906" w:h="16838"/>
          <w:pgMar w:top="348" w:right="694" w:bottom="488" w:left="280" w:header="720" w:footer="720" w:gutter="0"/>
          <w:cols w:num="2" w:equalWidth="0">
            <w:col w:w="5692" w:space="0"/>
            <w:col w:w="5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44"/>
        <w:gridCol w:w="3644"/>
        <w:gridCol w:w="3644"/>
      </w:tblGrid>
      <w:tr>
        <w:trPr>
          <w:trHeight w:hRule="exact" w:val="2430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4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4"/>
              </w:rPr>
              <w:t>EQ2063A_IPID_08/2024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160" w:lineRule="exact" w:before="132" w:after="0"/>
              <w:ind w:left="246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GARANTIES NON SYSTÉMATIQUEMENT PRÉVUES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Hospitalisation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Chambre particulière, Frais accompagnant,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Forfait confort extra hospitalier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Dentaire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Implantologie, parodontologie, orthodontie adulte,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prothèses non remboursés par le Régime Obligatoire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Optique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Lentilles refusées par le Régime Obligatoire, Chirurgie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réfractive de l’œil, traitement de l’œil au laser (myopie et presby-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tie), implant occulaire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Soins courants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Médicaments prescrits et non pris en charge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par le Régime Obligatoire.</w:t>
            </w:r>
          </w:p>
          <w:p>
            <w:pPr>
              <w:autoSpaceDN w:val="0"/>
              <w:tabs>
                <w:tab w:pos="1308" w:val="left"/>
                <w:tab w:pos="1842" w:val="left"/>
                <w:tab w:pos="3202" w:val="left"/>
                <w:tab w:pos="3864" w:val="left"/>
                <w:tab w:pos="4588" w:val="left"/>
              </w:tabs>
              <w:autoSpaceDE w:val="0"/>
              <w:widowControl/>
              <w:spacing w:line="160" w:lineRule="exact" w:before="34" w:after="0"/>
              <w:ind w:left="246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Option Éco : permet de supprimer les garanties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Chambre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particulière,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Frais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accompagnant,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Forfait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confort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extra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hospitalier, Forfait lentilles, Médicaments non remboursés,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Médecines complémentaires et Cure thermale du contrat. 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  <w:tab w:pos="426" w:val="left"/>
                <w:tab w:pos="560" w:val="left"/>
                <w:tab w:pos="948" w:val="left"/>
                <w:tab w:pos="1882" w:val="left"/>
                <w:tab w:pos="2346" w:val="left"/>
                <w:tab w:pos="2468" w:val="left"/>
                <w:tab w:pos="2572" w:val="left"/>
                <w:tab w:pos="3132" w:val="left"/>
                <w:tab w:pos="3504" w:val="left"/>
                <w:tab w:pos="3510" w:val="left"/>
                <w:tab w:pos="4182" w:val="left"/>
                <w:tab w:pos="4238" w:val="left"/>
                <w:tab w:pos="4550" w:val="left"/>
              </w:tabs>
              <w:autoSpaceDE w:val="0"/>
              <w:widowControl/>
              <w:spacing w:line="245" w:lineRule="auto" w:before="0" w:after="0"/>
              <w:ind w:left="288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PRINCIPALES RESTRICTIONS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6"/>
              </w:rPr>
              <w:t xml:space="preserve">!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Lit </w:t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accompagnant </w:t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: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Prise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charge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lorsque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l’Hospitalisation concerne un enfant de moins de 16 ans,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une personne de plus de 70 ans ou encore un malade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atteint d’une infirmité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6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Forfait journalier hospitalier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(en secteur conventionné)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 :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Prise en charge dans la limite de 30 jours pour les unités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de soins de longue durée (USLD), des établissements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d’hébergement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pour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personnes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âgées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des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établissements médico-sociaux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6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Optique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 La fréquence de remboursement pour un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équipement optique (1 monture + 2 verres) est tous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deux (2) ans pour les plus de seize (16) ans et tous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ans chez les moins de seize (16) ans et tous les six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(6) mois pour les moins de six (6) ans, avec possibilité de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renouvellement anticipé en cas d’évolution de la vue ; </w:t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6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Aides auditives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 Depuis le 01/01/2021, renouvellement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tous les quatre (4) ans suivant la date d’acquisition.</w:t>
            </w:r>
          </w:p>
        </w:tc>
      </w:tr>
      <w:tr>
        <w:trPr>
          <w:trHeight w:hRule="exact" w:val="564"/>
        </w:trPr>
        <w:tc>
          <w:tcPr>
            <w:tcW w:type="dxa" w:w="3644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45" w:lineRule="auto" w:before="84" w:after="0"/>
              <w:ind w:left="246" w:right="43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LES SERVICES SYSTÉMATIQUEMENT PRÉVUS : </w:t>
            </w:r>
            <w:r>
              <w:br/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Tiers Payant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, via le réseau Viamedis (dispense d’avance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frais chez de nombreux professionnels de santé) ;</w:t>
            </w:r>
          </w:p>
        </w:tc>
        <w:tc>
          <w:tcPr>
            <w:tcW w:type="dxa" w:w="36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38"/>
        <w:ind w:left="0" w:right="0"/>
      </w:pPr>
    </w:p>
    <w:p>
      <w:pPr>
        <w:sectPr>
          <w:type w:val="continuous"/>
          <w:pgSz w:w="11906" w:h="16838"/>
          <w:pgMar w:top="348" w:right="694" w:bottom="488" w:left="280" w:header="720" w:footer="720" w:gutter="0"/>
          <w:cols/>
          <w:docGrid w:linePitch="360"/>
        </w:sectPr>
      </w:pPr>
    </w:p>
    <w:p>
      <w:pPr>
        <w:autoSpaceDN w:val="0"/>
        <w:tabs>
          <w:tab w:pos="850" w:val="left"/>
        </w:tabs>
        <w:autoSpaceDE w:val="0"/>
        <w:widowControl/>
        <w:spacing w:line="245" w:lineRule="auto" w:before="0" w:after="0"/>
        <w:ind w:left="666" w:right="86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L’ASSISTANCE SYSTÉMATIQUEMENT PRÉVUS :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Assistance en cas d’événements traumatisants,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d’immobilisation, d’hospitalisation, de chimio/radiothérapie,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perte d’autonomie ou de décès. </w:t>
      </w:r>
    </w:p>
    <w:p>
      <w:pPr>
        <w:autoSpaceDN w:val="0"/>
        <w:tabs>
          <w:tab w:pos="1594" w:val="left"/>
          <w:tab w:pos="4474" w:val="left"/>
        </w:tabs>
        <w:autoSpaceDE w:val="0"/>
        <w:widowControl/>
        <w:spacing w:line="245" w:lineRule="auto" w:before="138" w:after="0"/>
        <w:ind w:left="1370" w:right="115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« Les garanties précédées d’une coche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sont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>systématiquement prévues au contrat ».</w:t>
      </w:r>
    </w:p>
    <w:p>
      <w:pPr>
        <w:sectPr>
          <w:type w:val="continuous"/>
          <w:pgSz w:w="11906" w:h="16838"/>
          <w:pgMar w:top="348" w:right="694" w:bottom="488" w:left="280" w:header="720" w:footer="720" w:gutter="0"/>
          <w:cols w:num="2" w:equalWidth="0">
            <w:col w:w="6102" w:space="0"/>
            <w:col w:w="483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936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sectPr>
          <w:type w:val="nextColumn"/>
          <w:pgSz w:w="11906" w:h="16838"/>
          <w:pgMar w:top="348" w:right="694" w:bottom="488" w:left="280" w:header="720" w:footer="720" w:gutter="0"/>
          <w:cols w:num="2" w:equalWidth="0">
            <w:col w:w="6102" w:space="0"/>
            <w:col w:w="48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75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garanties d’assurance frais de santé ne bénéficient qu’aux seuls Assurés résidant à titre principal en France Métropolitaine,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pour des frais engagés sur ces mêmes zones géographiques. Elles s’étendent aux accidents survenus et Maladies contractées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l’étranger lors de voyages ou 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532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4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57" w:lineRule="auto" w:before="22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Sous peine, en fonction de l’obligation non respectée, de non garantie, de perte du droit à garantie ou de résiliation du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contrat :</w:t>
            </w:r>
          </w:p>
          <w:p>
            <w:pPr>
              <w:autoSpaceDN w:val="0"/>
              <w:autoSpaceDE w:val="0"/>
              <w:widowControl/>
              <w:spacing w:line="257" w:lineRule="auto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A la souscription du contrat :</w:t>
            </w:r>
          </w:p>
          <w:p>
            <w:pPr>
              <w:autoSpaceDN w:val="0"/>
              <w:autoSpaceDE w:val="0"/>
              <w:widowControl/>
              <w:spacing w:line="170" w:lineRule="exact" w:before="80" w:after="0"/>
              <w:ind w:left="160" w:right="316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Remplir avec exactitude et signer la demande d’adhésion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Résider principalement en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âgé(e) d’au moins 18 ans et sans limite d’âge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adhérent(e) à l’Association Groupement pour la Prévoyance et la Santé pour Tous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Fournir tous les documents justificatifs demandés par l’Assureur ;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60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54" w:lineRule="auto" w:before="17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cours de contrat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28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Informer l’Assureur des évènements suivants, dans un délai de quinze (15) jours suivant leur survenance : changement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d’état civil, cessation ou changement d’affiliation au Régime Obligatoire, changement de domicile, départ hors de France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métropolitaine, cessation de qualité d’Ayant droit, changement de profession ou une cessation d’activité professionnelle;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54" w:lineRule="auto" w:before="17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sinistre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28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Faire parvenir tous les documents justificatifs nécessaires au paiement des prestations prévues au contrat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Faire parvenir les demandes de remboursements à l’Assureur dans un délai maximum de deux (2) ans suivant la date de la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prestation.</w:t>
            </w:r>
          </w:p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58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cotisations sont payables aux échéances prévues au contrat et suivant les modalités choisies lors de l’adhésion.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La périodicité du paiement peut etre mensuelle, trimestrielle, semestrielle ou annuelle. Les cotisations sont payables d’avance,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par prélèvement.</w:t>
            </w:r>
          </w:p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3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prend effet à la date indiquée sur le certificat d’adhésion, sous réserve du bon encaissement de la première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cotisation.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est conclue pour une durée d’un an à compter de sa prise d’effet et se reconduit tacitement, chaque année,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sa date d’anniversaire, sauf en cas de résiliation. L’Adhérent dispose d’un délai de renonciation de quatorze (14) jours qui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commence à courir soit à compter de la date de signature de son contrat, soit à compter du jour où il a reçu les conditions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70" w:lineRule="exact" w:before="38" w:after="0"/>
              <w:ind w:left="160" w:right="345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la date de résiliation quelle qu’en soit le motif et quel que soit la partie à l’origine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déménagement en dehors de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16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6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7" w:lineRule="auto" w:before="154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L’Adhérent peut résilier son adhésion à la date anniversaire de son adhésion moyennant un préavis de deux (2) mois.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résiliation prend effet la veille de l’échéance annuelle à 24 heures (article L.113-12 du Code des assurances).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92" w:lineRule="exact" w:before="16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Par lettre ou tout autre support durable, par acte extrajudiciaire ou par déclaration adressée au siège social :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Néoliane Santé </w:t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245" w:lineRule="auto" w:before="176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Une fois la première année d’adhésion écoulée, l’Adhérent bénéficie de la même faculté qu’il peut toutefois exercer à tout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moment. La résiliation prend alors effet un (1) mois après réception de la notification de résiliation par l’Assureur.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Enfin, en cas de désaccord suite à une modification de ses droits et obligations ou à l’augmentation de sa cotisation,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l’Adhérent peut résilier 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36" w:bottom="288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