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4038600</wp:posOffset>
            </wp:positionV>
            <wp:extent cx="6604000" cy="6197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6197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60"/>
      </w:tblGrid>
      <w:tr>
        <w:trPr>
          <w:trHeight w:hRule="exact" w:val="796"/>
        </w:trPr>
        <w:tc>
          <w:tcPr>
            <w:tcW w:type="dxa" w:w="10384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96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1094"/>
        </w:trPr>
        <w:tc>
          <w:tcPr>
            <w:tcW w:type="dxa" w:w="102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6" w:right="104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SAS au capital de 511 539 € – RCS Paris 812 962 330 – 30/32 Boulevard de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Vaugirard-  75015 PARIS  – Intermédiaire en assurances – Immatriculée à l’Orias N°19 004 119 (www.orias.fr). Assuré et co-conçu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Société anonyme au capital de 69 213 760 euros - Entreprise régie par le Code des assurances – 572 084 697 RCS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PARIS - Siège social : 2 rue Pillet-Will 75009 PARIS - N° d’identifiant unique ADEME FR232327_03PBRV - Société appartenant au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Groupe Generali 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326"/>
        </w:trPr>
        <w:tc>
          <w:tcPr>
            <w:tcW w:type="dxa" w:w="646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QUIÉTUDE</w:t>
            </w:r>
          </w:p>
        </w:tc>
      </w:tr>
    </w:tbl>
    <w:p>
      <w:pPr>
        <w:autoSpaceDN w:val="0"/>
        <w:autoSpaceDE w:val="0"/>
        <w:widowControl/>
        <w:spacing w:line="245" w:lineRule="auto" w:before="452" w:after="0"/>
        <w:ind w:left="14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Ce document d’information présente un résumé des principales garanties et exclusions du produit. Il ne prend pas en compte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vos besoins et demandes spécifiques. Toutes les informations contractuelles et précontractuelles sur le produit NÉOLIANE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QUIÉTUDE sont fournies au client dans d’autres documents et, notamment, dans le tableau de garanties ci-joint, qui détaille </w:t>
      </w:r>
      <w:r>
        <w:rPr>
          <w:rFonts w:ascii="Montserrat" w:hAnsi="Montserrat" w:eastAsia="Montserrat"/>
          <w:b/>
          <w:i w:val="0"/>
          <w:color w:val="575756"/>
          <w:sz w:val="16"/>
        </w:rPr>
        <w:t>le niveau des remboursements.</w:t>
      </w:r>
    </w:p>
    <w:p>
      <w:pPr>
        <w:autoSpaceDN w:val="0"/>
        <w:autoSpaceDE w:val="0"/>
        <w:widowControl/>
        <w:spacing w:line="252" w:lineRule="exact" w:before="230" w:after="0"/>
        <w:ind w:left="1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166" w:after="442"/>
        <w:ind w:left="14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 produit NÉOLIANE QUIÉTUDE est un produit d’Assurance Complémentaire Santé. En cas d’accident, de maladie ou de maternité,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destiné à rembourser tout ou une partie des frais de santé restant à la charge de l’adhérent et des éventuels ayants droit, après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l’intervention de son Régime Obligatoire d’assurance maladie et, dans certains cas, des frais non remboursés par ce dernier. Le produit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NÉOLIANE QUIÉTUDE est « responsable » car il respecte les obligations et interdictions de prise en charge fixées par la législation.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Il est également « solidaire » car il ne prévoit pas de questionnaire d’état de santé et son tarif ne dépend pas de l’état de santé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l’adhérent. Le produit NÉOLIANE QUIÉTUDE est conforme au dispositif « 100% Santé » qui permet à l’adhérent de bénéficier d’un zéro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reste à charge sur les paniers optique, dentaire et aides auditives.</w:t>
      </w:r>
    </w:p>
    <w:p>
      <w:pPr>
        <w:sectPr>
          <w:pgSz w:w="11906" w:h="16838"/>
          <w:pgMar w:top="310" w:right="692" w:bottom="518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4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245" w:lineRule="auto" w:before="240" w:after="0"/>
        <w:ind w:left="190" w:right="270" w:firstLine="4"/>
        <w:jc w:val="both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remboursements de frais couverts par l’assurance ne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peuvent pas être plus élevés que les dépenses engagées. Ils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sont soumis à des plafonds qui varient en fonction de la formule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et par conséquent une somme peut rester à votre charge. 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détail de ces plafonds figure au tableau des garanties ci-joint </w:t>
      </w:r>
    </w:p>
    <w:p>
      <w:pPr>
        <w:autoSpaceDN w:val="0"/>
        <w:autoSpaceDE w:val="0"/>
        <w:widowControl/>
        <w:spacing w:line="245" w:lineRule="auto" w:before="126" w:after="0"/>
        <w:ind w:left="374" w:right="288" w:hanging="184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GARANTIES SYSTÉMATIQUEMENT PRÉVUES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Secteur conventionné : Frais de séjour,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Forfait journalier hospitalier, Honoraires, Frais de transport,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Secteur non conventionné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Soins et prothèses 100% Santé (Panier 100%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Santé), Soins dentaires, Inlays-onlays, Parodontologie,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Prothèses dentaires, Implantologie et Orthodontie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remboursés par le Régime Obligatoire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Équipements verres et montures de la Classe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 - Panier 100% Santé,  Monture et verres (équipement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Classe B), Lentilles (y compris lentilles jetables); Chirurgie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réfractive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Médicaments, Médicaments ou vaccins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prescrits non remboursés par le Régime Obligatoire,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Honoraires médicaux,  Honoraires paramédicaux,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Analyses et examens de laboratoire,  Médecines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naturelles (ostéopathe, homéopathe, acupuncteur,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naturopathe, étiopathe, diététicien, chiropracteur, micro-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kinésithérapeute, pédicure/podologue, réflexologue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sophrologue, luminothérapeute, hypnothérapeute,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tabacologue, mésothérapeute, psychomotricien,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psychologue, ergothérapeute, sexologue), Cure thermale,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Matériel médical.</w:t>
      </w:r>
    </w:p>
    <w:p>
      <w:pPr>
        <w:autoSpaceDN w:val="0"/>
        <w:autoSpaceDE w:val="0"/>
        <w:widowControl/>
        <w:spacing w:line="245" w:lineRule="auto" w:before="0" w:after="0"/>
        <w:ind w:left="374" w:right="72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Équipements 100% Santé (Classe I -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Panier 100% Santé), Prothèses auditives de la Classe II ; </w:t>
      </w:r>
      <w:r>
        <w:rPr>
          <w:rFonts w:ascii="Montserrat" w:hAnsi="Montserrat" w:eastAsia="Montserrat"/>
          <w:b/>
          <w:i w:val="0"/>
          <w:color w:val="575756"/>
          <w:sz w:val="16"/>
        </w:rPr>
        <w:t>Prévention</w:t>
      </w:r>
    </w:p>
    <w:p>
      <w:pPr>
        <w:autoSpaceDN w:val="0"/>
        <w:autoSpaceDE w:val="0"/>
        <w:widowControl/>
        <w:spacing w:line="160" w:lineRule="exact" w:before="160" w:after="0"/>
        <w:ind w:left="19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>LES GARANTIES NON SYSTÉMATIQUEMENT PRÉVUES :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Chambre particulière, Frais accompagnant ;</w:t>
      </w:r>
      <w:r>
        <w:rPr>
          <w:rFonts w:ascii="HelveticaNeueLTStd" w:hAnsi="HelveticaNeueLTStd" w:eastAsia="HelveticaNeueLTStd"/>
          <w:b w:val="0"/>
          <w:i w:val="0"/>
          <w:color w:val="717070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Actes non remboursés par le Régime Obligatoire ;</w:t>
      </w:r>
      <w:r>
        <w:rPr>
          <w:rFonts w:ascii="HelveticaNeueLTStd" w:hAnsi="HelveticaNeueLTStd" w:eastAsia="HelveticaNeueLTStd"/>
          <w:b w:val="0"/>
          <w:i w:val="0"/>
          <w:color w:val="575756"/>
          <w:sz w:val="16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Option Éco : permet de supprimer les garanties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Chambre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particulière, Lit accompagnant, Médicaments/vaccins non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remboursés, Médecines complémentaires et Cure thermale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du contrat. </w:t>
      </w:r>
    </w:p>
    <w:p>
      <w:pPr>
        <w:autoSpaceDN w:val="0"/>
        <w:tabs>
          <w:tab w:pos="374" w:val="left"/>
        </w:tabs>
        <w:autoSpaceDE w:val="0"/>
        <w:widowControl/>
        <w:spacing w:line="245" w:lineRule="auto" w:before="126" w:after="0"/>
        <w:ind w:left="19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LES SERVICES SYSTÉMATIQUEMENT PRÉVUS :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6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, via le réseau Viamedis (dispense d’avance 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frais chez de nombreux professionnels de santé). </w:t>
      </w:r>
    </w:p>
    <w:p>
      <w:pPr>
        <w:autoSpaceDN w:val="0"/>
        <w:tabs>
          <w:tab w:pos="374" w:val="left"/>
        </w:tabs>
        <w:autoSpaceDE w:val="0"/>
        <w:widowControl/>
        <w:spacing w:line="245" w:lineRule="auto" w:before="126" w:after="0"/>
        <w:ind w:left="190" w:right="432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L’ASSISTANCE SYSTÉMATIQUEMENT PRÉVUS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Assistance en cas d’événements traumatisants,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d’immobilisation, d’hospitalisation, de chimio/radiothérapie, </w:t>
      </w:r>
    </w:p>
    <w:p>
      <w:pPr>
        <w:autoSpaceDN w:val="0"/>
        <w:autoSpaceDE w:val="0"/>
        <w:widowControl/>
        <w:spacing w:line="257" w:lineRule="auto" w:before="0" w:after="0"/>
        <w:ind w:left="190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perte d’autonomie ou de décès. </w:t>
      </w:r>
    </w:p>
    <w:p>
      <w:pPr>
        <w:autoSpaceDN w:val="0"/>
        <w:tabs>
          <w:tab w:pos="3798" w:val="left"/>
        </w:tabs>
        <w:autoSpaceDE w:val="0"/>
        <w:widowControl/>
        <w:spacing w:line="235" w:lineRule="auto" w:before="366" w:after="0"/>
        <w:ind w:left="1076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« Les garanties précédées d’une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 sont </w:t>
      </w:r>
    </w:p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systématiquement prévues au contrat ».</w:t>
      </w:r>
    </w:p>
    <w:p>
      <w:pPr>
        <w:sectPr>
          <w:type w:val="continuous"/>
          <w:pgSz w:w="11906" w:h="16838"/>
          <w:pgMar w:top="310" w:right="692" w:bottom="518" w:left="754" w:header="720" w:footer="720" w:gutter="0"/>
          <w:cols w:num="2" w:equalWidth="0">
            <w:col w:w="5212" w:space="0"/>
            <w:col w:w="5248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tabs>
          <w:tab w:pos="450" w:val="left"/>
          <w:tab w:pos="936" w:val="left"/>
          <w:tab w:pos="1588" w:val="left"/>
          <w:tab w:pos="3280" w:val="left"/>
          <w:tab w:pos="3706" w:val="left"/>
          <w:tab w:pos="4656" w:val="left"/>
        </w:tabs>
        <w:autoSpaceDE w:val="0"/>
        <w:widowControl/>
        <w:spacing w:line="245" w:lineRule="auto" w:before="312" w:after="0"/>
        <w:ind w:left="272" w:right="144" w:firstLine="0"/>
        <w:jc w:val="left"/>
      </w:pP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soins reçus en dehors de la période de validité du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contrat 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indemnités versées en complément de la sécurité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sociale en cas d’arrêt de travail 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chirurgie non prise en charge par la sécurité sociale,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dans un but de rajeunissement ou esthétique ; </w:t>
      </w:r>
      <w:r>
        <w:br/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cures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d’amaigrissement,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sommeil,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désintoxication ou les séjours en institut médico-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pédagogique et établissements similaires</w:t>
      </w:r>
    </w:p>
    <w:p>
      <w:pPr>
        <w:autoSpaceDN w:val="0"/>
        <w:autoSpaceDE w:val="0"/>
        <w:widowControl/>
        <w:spacing w:line="235" w:lineRule="auto" w:before="19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autoSpaceDN w:val="0"/>
        <w:autoSpaceDE w:val="0"/>
        <w:widowControl/>
        <w:spacing w:line="250" w:lineRule="exact" w:before="688" w:after="0"/>
        <w:ind w:left="90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</w:p>
    <w:p>
      <w:pPr>
        <w:autoSpaceDN w:val="0"/>
        <w:autoSpaceDE w:val="0"/>
        <w:widowControl/>
        <w:spacing w:line="250" w:lineRule="exact" w:before="14" w:after="0"/>
        <w:ind w:left="906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tabs>
          <w:tab w:pos="398" w:val="left"/>
          <w:tab w:pos="408" w:val="left"/>
        </w:tabs>
        <w:autoSpaceDE w:val="0"/>
        <w:widowControl/>
        <w:spacing w:line="245" w:lineRule="auto" w:before="328" w:after="0"/>
        <w:ind w:left="27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EXCLUSIONS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participation forfaitaire de 2€ et les franchises sur les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boites de médicaments, actes paramédicaux et transport ;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majoration du Ticket Modérateur et les dépassements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d’honoraires si les dépenses de santé sont réalisées en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dehors du parcours de soins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6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dépassements d’honoraires au-delà de la limite fixée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réglementairement pour les médecins n’adhérant pas à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un dispositif de pratique tarifaire maîtrisée.</w:t>
      </w:r>
    </w:p>
    <w:p>
      <w:pPr>
        <w:autoSpaceDN w:val="0"/>
        <w:tabs>
          <w:tab w:pos="362" w:val="left"/>
          <w:tab w:pos="408" w:val="left"/>
          <w:tab w:pos="542" w:val="left"/>
          <w:tab w:pos="930" w:val="left"/>
          <w:tab w:pos="2328" w:val="left"/>
          <w:tab w:pos="2554" w:val="left"/>
          <w:tab w:pos="3114" w:val="left"/>
          <w:tab w:pos="3492" w:val="left"/>
          <w:tab w:pos="4220" w:val="left"/>
        </w:tabs>
        <w:autoSpaceDE w:val="0"/>
        <w:widowControl/>
        <w:spacing w:line="245" w:lineRule="auto" w:before="126" w:after="0"/>
        <w:ind w:left="27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PRINCIPALES RESTRICTIONS :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 xml:space="preserve">! </w:t>
      </w:r>
      <w:r>
        <w:tab/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Lit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accompagnant 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Prise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en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charge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lorsque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l’Hospitalisation concerne un enfant de moins de 16 ans,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une personne de plus de 70 ans ou encore un malade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atteint d’une infirmité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 xml:space="preserve">Forfait journalier hospitalier : 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Prise en charge dans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la limite de 30 jours pour les unités de soins de longue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durée (USLD), des établissements d’hébergement pour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personnes âgées et des établissements médico-sociaux ;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La fréquence de remboursement pour un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équipement optique (1 monture + 2 verres) est tous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deux (2) ans pour les plus de seize (16) ans et tous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les ans chez les moins de seize (16) ans et tous les six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(6) mois pour les moins de six (6) ans, avec possibilité de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renouvellement anticipé en cas d’évolution de la vue </w:t>
      </w:r>
      <w:r>
        <w:rPr>
          <w:rFonts w:ascii="Montserrat" w:hAnsi="Montserrat" w:eastAsia="Montserrat"/>
          <w:b/>
          <w:i w:val="0"/>
          <w:color w:val="EA5C2C"/>
          <w:sz w:val="16"/>
        </w:rPr>
        <w:t>!</w:t>
      </w:r>
      <w:r>
        <w:rPr>
          <w:rFonts w:ascii="Montserrat" w:hAnsi="Montserrat" w:eastAsia="Montserrat"/>
          <w:b/>
          <w:i w:val="0"/>
          <w:color w:val="575756"/>
          <w:sz w:val="16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6"/>
        </w:rPr>
        <w:t xml:space="preserve"> Depuis le 01/01/2021, renouvellement </w:t>
      </w:r>
      <w:r>
        <w:tab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tous les quatre (4) ans suivant la date d’acquisition.</w:t>
      </w:r>
    </w:p>
    <w:p>
      <w:pPr>
        <w:autoSpaceDN w:val="0"/>
        <w:autoSpaceDE w:val="0"/>
        <w:widowControl/>
        <w:spacing w:line="235" w:lineRule="auto" w:before="126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Cette liste n’est pas exhaustive.</w:t>
      </w:r>
    </w:p>
    <w:p>
      <w:pPr>
        <w:sectPr>
          <w:type w:val="nextColumn"/>
          <w:pgSz w:w="11906" w:h="16838"/>
          <w:pgMar w:top="310" w:right="692" w:bottom="518" w:left="754" w:header="720" w:footer="720" w:gutter="0"/>
          <w:cols w:num="2" w:equalWidth="0">
            <w:col w:w="5212" w:space="0"/>
            <w:col w:w="52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75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garanties d’assurance frais de santé ne bénéficient qu’aux seuls Assurés résidant à titre principal en France Métropolitaine,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pour des frais engagés sur ces mêmes zones géographiques. Elles s’étendent aux accidents survenus et Maladies contractées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l’étranger lors de voyages ou 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2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496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2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57" w:lineRule="auto" w:before="23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Sous peine, en fonction de l’obligation non respectée, de non garantie, de perte du droit à garantie ou de résiliation du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contrat :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70" w:lineRule="exact" w:before="80" w:after="0"/>
              <w:ind w:left="160" w:right="388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Remplir avec exactitude la demande d’adhésion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être adhérent(e) à l’Association GPST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Fournir tous les documents justificatifs demandés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Être âgé(e) entre 55 ans et sans limite d’âge (adhérent principal et conjoint) ; </w:t>
            </w:r>
          </w:p>
          <w:p>
            <w:pPr>
              <w:autoSpaceDN w:val="0"/>
              <w:autoSpaceDE w:val="0"/>
              <w:widowControl/>
              <w:spacing w:line="208" w:lineRule="exact" w:before="0" w:after="0"/>
              <w:ind w:left="160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57" w:lineRule="auto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cours de vie du contrat :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Iinformer l’Assureur des évènements suivants, dans un délai de 15 jours suivant leur survenance : changement d’état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civil, cessation ou changement d’affiliation au Régime Obligatoire, changement de domicile, départ hors de France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métropolitaine, cessation de qualité d’ayant droit, changement de profession ou une cessation d’activité professionnelle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57" w:lineRule="auto" w:before="17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sinistre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170" w:lineRule="exact" w:before="80" w:after="0"/>
              <w:ind w:left="160" w:right="100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Faire parvenir tous documents justificatifs nécessaires au paiement des prestations prévues au contrat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Faire parvenir les demandes de remboursements à l’assureur dans un délai maximum de 2 ans suivant la date de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remboursement des soins de votre Sécurité sociale.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5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Les cotisations sont payables aux échéances prévues au contrat et suivant les modalités choisies lors de l’adhésion.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La périodicité du paiement peut etre mensuelle, trimestrielle, semestrielle ou annuelle. Les cotisations sont payables d’avance,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par prélèvement ou chèque (annuel uniquement).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938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160" w:right="72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prend effet à la date indiquée sur le certificat d’adhésion, sous réserve du bon encaissement de la première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cotisation.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L’adhésion est conclue pour une durée d’un an à compter de sa prise d’effet et se reconduit tacitement, chaque année, à sa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date d’anniversaire, sauf en cas de résiliation. L’Adhérent dispose d’un délai de renonciation de 14 jours qui commence à courir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soit à compter de la date de signature de son contrat, soit à compter du jour où il a reçu les conditions contractuelles et les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70" w:lineRule="exact" w:before="36" w:after="0"/>
              <w:ind w:left="160" w:right="345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À la date de résiliation quel qu’en soit le motif, quelle qu’en soit la Partie à l’origine 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déménagement en dehors de France métropolitaine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16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247" w:lineRule="auto" w:before="154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L’Adhérent peut résilier son adhésion à chaque échéance anniversaire du contrat moyennant un préavis de deux (2) mois.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résiliation prend 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92" w:lineRule="exact" w:before="16" w:after="0"/>
              <w:ind w:left="160" w:right="432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Par lettre ou tout autre support durable, par acte extrajudiciaire ou par déclaration adressée au siège social à :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Néoliane Santé – Service Résiliation – 143 Boulevard René Cassin – Immeuble Nouvel’R - Bat C – CS 63278 - 06205 NICE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CEDEX 3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6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5" w:lineRule="auto" w:before="176" w:after="0"/>
              <w:ind w:left="160" w:right="432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Une fois la première année d’adhésion écoulée, l’Adhérent bénéficie de la même faculté qu’il peut toutefois exercer à tout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moment. La résiliation prend alors effet un (1) mois après réception de la notification de résiliation par l’assureur.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Enfin, en cas de désaccord suite à une modification de ses droits et obligations ou à l’augmentation de sa cotisation,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l’Adhérent peut résilier 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288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