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1765300</wp:posOffset>
            </wp:positionV>
            <wp:extent cx="65532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5588000</wp:posOffset>
            </wp:positionV>
            <wp:extent cx="6553200" cy="228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8293100</wp:posOffset>
            </wp:positionV>
            <wp:extent cx="6553200" cy="228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0</wp:posOffset>
            </wp:positionV>
            <wp:extent cx="1866900" cy="1587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>
        <w:trPr>
          <w:trHeight w:hRule="exact" w:val="780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554" w:after="0"/>
              <w:ind w:left="0" w:right="6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Tonik</w:t>
            </w:r>
          </w:p>
          <w:p>
            <w:pPr>
              <w:autoSpaceDN w:val="0"/>
              <w:autoSpaceDE w:val="0"/>
              <w:widowControl/>
              <w:spacing w:line="228" w:lineRule="exact" w:before="1064" w:after="0"/>
              <w:ind w:left="1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HOSPITALISATION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4" w:after="0"/>
              <w:ind w:left="576" w:right="144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2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5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1880" cy="2870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20"/>
        </w:trPr>
        <w:tc>
          <w:tcPr>
            <w:tcW w:type="dxa" w:w="1476"/>
            <w:vMerge/>
            <w:tcBorders/>
          </w:tcPr>
          <w:p/>
        </w:tc>
        <w:tc>
          <w:tcPr>
            <w:tcW w:type="dxa" w:w="6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660" w:right="38" w:firstLine="0"/>
              <w:jc w:val="both"/>
            </w:pP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Obligatoires (RO). Les forfaits exprimés en euros interviennent en complément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>du Régime Obligatoire d’Assurance Maladie, par assuré.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98500" cy="279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10"/>
        </w:trPr>
        <w:tc>
          <w:tcPr>
            <w:tcW w:type="dxa" w:w="1476"/>
            <w:vMerge/>
            <w:tcBorders/>
          </w:tcPr>
          <w:p/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0" w:right="27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18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6</w:t>
            </w:r>
          </w:p>
        </w:tc>
      </w:tr>
    </w:tbl>
    <w:p>
      <w:pPr>
        <w:autoSpaceDN w:val="0"/>
        <w:autoSpaceDE w:val="0"/>
        <w:widowControl/>
        <w:spacing w:line="235" w:lineRule="auto" w:before="72" w:after="34"/>
        <w:ind w:left="56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>SECTEUR CONVENTIONNÉ 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>
        <w:trPr>
          <w:trHeight w:hRule="exact" w:val="23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de séjour et honoraires en rééducation fonctionnelle, maison de repos,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0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convalescence (suite à hospitalisation) en SRR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8"/>
        <w:ind w:left="56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1"/>
        <w:gridCol w:w="1291"/>
        <w:gridCol w:w="1291"/>
        <w:gridCol w:w="1291"/>
        <w:gridCol w:w="1291"/>
        <w:gridCol w:w="1291"/>
        <w:gridCol w:w="1291"/>
        <w:gridCol w:w="1291"/>
      </w:tblGrid>
      <w:tr>
        <w:trPr>
          <w:trHeight w:hRule="exact" w:val="20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120 %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140 %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165 %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190 %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215 %</w:t>
            </w:r>
          </w:p>
        </w:tc>
      </w:tr>
      <w:tr>
        <w:trPr>
          <w:trHeight w:hRule="exact" w:val="198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l’OPTAM ou l’OPTAM-CO*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549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230 %</w:t>
            </w:r>
          </w:p>
        </w:tc>
      </w:tr>
      <w:tr>
        <w:trPr>
          <w:trHeight w:hRule="exact" w:val="280"/>
        </w:trPr>
        <w:tc>
          <w:tcPr>
            <w:tcW w:type="dxa" w:w="138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200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0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195 %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220 %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245 %</w:t>
            </w:r>
          </w:p>
        </w:tc>
      </w:tr>
      <w:tr>
        <w:trPr>
          <w:trHeight w:hRule="exact" w:val="268"/>
        </w:trPr>
        <w:tc>
          <w:tcPr>
            <w:tcW w:type="dxa" w:w="549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6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210 %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235 %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260 %</w:t>
            </w:r>
          </w:p>
        </w:tc>
      </w:tr>
      <w:tr>
        <w:trPr>
          <w:trHeight w:hRule="exact" w:val="212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145 %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170 %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195 %</w:t>
            </w:r>
          </w:p>
        </w:tc>
      </w:tr>
      <w:tr>
        <w:trPr>
          <w:trHeight w:hRule="exact" w:val="18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non adhérents à l’OPTAM ou l’OPTAM-CO*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Chambre particulière (hors chambre ambulatoire)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30 €/jour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60 €/jour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70 €/jour</w:t>
            </w:r>
          </w:p>
        </w:tc>
      </w:tr>
      <w:tr>
        <w:trPr>
          <w:trHeight w:hRule="exact" w:val="30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Confort Hospi et Frais accompagnant (frais TV/Téléphone/Internet, lit et repas)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8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transport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20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patient urgences (FPU)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28"/>
        </w:trPr>
        <w:tc>
          <w:tcPr>
            <w:tcW w:type="dxa" w:w="54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actes lourds (participation forfaitaire de 24€)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>
        <w:trPr>
          <w:trHeight w:hRule="exact" w:val="284"/>
        </w:trPr>
        <w:tc>
          <w:tcPr>
            <w:tcW w:type="dxa" w:w="4196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20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16"/>
            <w:tcBorders/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4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4"/>
        </w:trPr>
        <w:tc>
          <w:tcPr>
            <w:tcW w:type="dxa" w:w="4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56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p>
      <w:pPr>
        <w:autoSpaceDN w:val="0"/>
        <w:tabs>
          <w:tab w:pos="5674" w:val="left"/>
          <w:tab w:pos="6478" w:val="left"/>
          <w:tab w:pos="7286" w:val="left"/>
          <w:tab w:pos="8096" w:val="left"/>
          <w:tab w:pos="8906" w:val="left"/>
          <w:tab w:pos="9714" w:val="left"/>
        </w:tabs>
        <w:autoSpaceDE w:val="0"/>
        <w:widowControl/>
        <w:spacing w:line="252" w:lineRule="auto" w:before="48" w:after="0"/>
        <w:ind w:left="56" w:right="0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Chirurgie et anesthésie (y compris maternité)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% </w:t>
      </w:r>
      <w:r>
        <w:tab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100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%</w:t>
      </w:r>
    </w:p>
    <w:p>
      <w:pPr>
        <w:autoSpaceDN w:val="0"/>
        <w:tabs>
          <w:tab w:pos="5970" w:val="left"/>
        </w:tabs>
        <w:autoSpaceDE w:val="0"/>
        <w:widowControl/>
        <w:spacing w:line="228" w:lineRule="exact" w:before="260" w:after="158"/>
        <w:ind w:left="702" w:right="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0"/>
        </w:rPr>
        <w:t xml:space="preserve">DENTAIRE </w:t>
      </w:r>
      <w:r>
        <w:tab/>
      </w:r>
      <w:r>
        <w:rPr>
          <w:rFonts w:ascii="Montserrat" w:hAnsi="Montserrat" w:eastAsia="Montserrat"/>
          <w:b/>
          <w:i w:val="0"/>
          <w:color w:val="FFFFFF"/>
          <w:sz w:val="16"/>
        </w:rPr>
        <w:t>Depuis le 1</w:t>
      </w:r>
      <w:r>
        <w:rPr>
          <w:w w:val="103.6444452073839"/>
          <w:rFonts w:ascii="Montserrat" w:hAnsi="Montserrat" w:eastAsia="Montserrat"/>
          <w:b/>
          <w:i w:val="0"/>
          <w:color w:val="FFFFFF"/>
          <w:sz w:val="9"/>
        </w:rPr>
        <w:t>er</w:t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 janvier 2020 - Réforme 100% Santé</w:t>
      </w:r>
    </w:p>
    <w:p>
      <w:pPr>
        <w:sectPr>
          <w:pgSz w:w="11906" w:h="16838"/>
          <w:pgMar w:top="370" w:right="730" w:bottom="816" w:left="8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0"/>
        <w:ind w:left="56" w:right="115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Soins et prothèses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(Panier 100% Santé)** </w:t>
      </w:r>
      <w:r>
        <w:rPr>
          <w:rFonts w:ascii="Montserrat" w:hAnsi="Montserrat" w:eastAsia="Montserrat"/>
          <w:b/>
          <w:i w:val="0"/>
          <w:color w:val="2C3142"/>
          <w:sz w:val="14"/>
        </w:rPr>
        <w:t>SOINS</w:t>
      </w:r>
    </w:p>
    <w:p>
      <w:pPr>
        <w:sectPr>
          <w:type w:val="continuous"/>
          <w:pgSz w:w="11906" w:h="16838"/>
          <w:pgMar w:top="370" w:right="730" w:bottom="816" w:left="844" w:header="720" w:footer="720" w:gutter="0"/>
          <w:cols w:num="2" w:equalWidth="0">
            <w:col w:w="4868" w:space="0"/>
            <w:col w:w="5463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352"/>
        <w:ind w:left="115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730" w:bottom="816" w:left="844" w:header="720" w:footer="720" w:gutter="0"/>
          <w:cols w:num="2" w:equalWidth="0">
            <w:col w:w="4868" w:space="0"/>
            <w:col w:w="546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1291"/>
        <w:gridCol w:w="1291"/>
        <w:gridCol w:w="1291"/>
        <w:gridCol w:w="1291"/>
        <w:gridCol w:w="1291"/>
        <w:gridCol w:w="1291"/>
        <w:gridCol w:w="1291"/>
        <w:gridCol w:w="1291"/>
      </w:tblGrid>
      <w:tr>
        <w:trPr>
          <w:trHeight w:hRule="exact" w:val="190"/>
        </w:trPr>
        <w:tc>
          <w:tcPr>
            <w:tcW w:type="dxa" w:w="53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(5)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140 %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165 %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190 %</w:t>
            </w:r>
          </w:p>
        </w:tc>
      </w:tr>
      <w:tr>
        <w:trPr>
          <w:trHeight w:hRule="exact" w:val="240"/>
        </w:trPr>
        <w:tc>
          <w:tcPr>
            <w:tcW w:type="dxa" w:w="53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Orthodontie remboursée par le RO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140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165 %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215 %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240 %</w:t>
            </w:r>
          </w:p>
        </w:tc>
      </w:tr>
      <w:tr>
        <w:trPr>
          <w:trHeight w:hRule="exact" w:val="280"/>
        </w:trPr>
        <w:tc>
          <w:tcPr>
            <w:tcW w:type="dxa" w:w="5354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32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230 %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255 %</w:t>
            </w:r>
          </w:p>
        </w:tc>
      </w:tr>
      <w:tr>
        <w:trPr>
          <w:trHeight w:hRule="exact" w:val="240"/>
        </w:trPr>
        <w:tc>
          <w:tcPr>
            <w:tcW w:type="dxa" w:w="139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96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195 %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220 %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245 %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270 %</w:t>
            </w:r>
          </w:p>
        </w:tc>
      </w:tr>
      <w:tr>
        <w:trPr>
          <w:trHeight w:hRule="exact" w:val="336"/>
        </w:trPr>
        <w:tc>
          <w:tcPr>
            <w:tcW w:type="dxa" w:w="5354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2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210 %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260 %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285 %</w:t>
            </w:r>
          </w:p>
        </w:tc>
      </w:tr>
    </w:tbl>
    <w:p>
      <w:pPr>
        <w:autoSpaceDN w:val="0"/>
        <w:autoSpaceDE w:val="0"/>
        <w:widowControl/>
        <w:spacing w:line="235" w:lineRule="auto" w:before="58" w:after="52"/>
        <w:ind w:left="56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PROTHÈSES - PANIER HONORAIRES MAÎTRISÉS OU LIBRES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1148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rPr>
          <w:trHeight w:hRule="exact" w:val="272"/>
        </w:trPr>
        <w:tc>
          <w:tcPr>
            <w:tcW w:type="dxa" w:w="52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dentaires, Inlay-Core et Implantologie remboursés par le RO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2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140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2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165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190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2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215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240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94"/>
        </w:trPr>
        <w:tc>
          <w:tcPr>
            <w:tcW w:type="dxa" w:w="5274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24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5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0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9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230 %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255 %</w:t>
            </w:r>
          </w:p>
        </w:tc>
      </w:tr>
      <w:tr>
        <w:trPr>
          <w:trHeight w:hRule="exact" w:val="280"/>
        </w:trPr>
        <w:tc>
          <w:tcPr>
            <w:tcW w:type="dxa" w:w="139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8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5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170 %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195 %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220 %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245 %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270 %</w:t>
            </w:r>
          </w:p>
        </w:tc>
      </w:tr>
      <w:tr>
        <w:trPr>
          <w:trHeight w:hRule="exact" w:val="282"/>
        </w:trPr>
        <w:tc>
          <w:tcPr>
            <w:tcW w:type="dxa" w:w="5274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4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145 %</w:t>
            </w:r>
          </w:p>
        </w:tc>
        <w:tc>
          <w:tcPr>
            <w:tcW w:type="dxa" w:w="5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185 %</w:t>
            </w:r>
          </w:p>
        </w:tc>
        <w:tc>
          <w:tcPr>
            <w:tcW w:type="dxa" w:w="102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210 %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235 %</w:t>
            </w:r>
          </w:p>
        </w:tc>
        <w:tc>
          <w:tcPr>
            <w:tcW w:type="dxa" w:w="9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260 %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285 %</w:t>
            </w:r>
          </w:p>
        </w:tc>
      </w:tr>
      <w:tr>
        <w:trPr>
          <w:trHeight w:hRule="exact" w:val="418"/>
        </w:trPr>
        <w:tc>
          <w:tcPr>
            <w:tcW w:type="dxa" w:w="52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Plafond dentaire (hors soins)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(6)</w:t>
            </w:r>
          </w:p>
          <w:p>
            <w:pPr>
              <w:autoSpaceDN w:val="0"/>
              <w:autoSpaceDE w:val="0"/>
              <w:widowControl/>
              <w:spacing w:line="228" w:lineRule="exact" w:before="424" w:after="0"/>
              <w:ind w:left="80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FFFFFF"/>
                <w:sz w:val="12"/>
              </w:rPr>
              <w:t>(7)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1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Illimité</w:t>
            </w:r>
          </w:p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800 €</w:t>
            </w:r>
          </w:p>
        </w:tc>
        <w:tc>
          <w:tcPr>
            <w:tcW w:type="dxa" w:w="8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1 000 €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1 200 €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1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1 400 €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1 600 €</w:t>
            </w:r>
          </w:p>
        </w:tc>
      </w:tr>
      <w:tr>
        <w:trPr>
          <w:trHeight w:hRule="exact" w:val="424"/>
        </w:trPr>
        <w:tc>
          <w:tcPr>
            <w:tcW w:type="dxa" w:w="2296"/>
            <w:gridSpan w:val="2"/>
            <w:vMerge/>
            <w:tcBorders/>
          </w:tcPr>
          <w:p/>
        </w:tc>
        <w:tc>
          <w:tcPr>
            <w:tcW w:type="dxa" w:w="503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69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Depuis le 1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8"/>
        <w:ind w:left="0" w:right="0"/>
      </w:pPr>
    </w:p>
    <w:p>
      <w:pPr>
        <w:sectPr>
          <w:type w:val="continuous"/>
          <w:pgSz w:w="11906" w:h="16838"/>
          <w:pgMar w:top="370" w:right="730" w:bottom="816" w:left="8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56" w:right="57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**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Équipements verres et montures de la Classe A - Panier 100% Santé</w:t>
      </w:r>
    </w:p>
    <w:p>
      <w:pPr>
        <w:autoSpaceDN w:val="0"/>
        <w:autoSpaceDE w:val="0"/>
        <w:widowControl/>
        <w:spacing w:line="257" w:lineRule="auto" w:before="98" w:after="0"/>
        <w:ind w:left="56" w:right="0" w:firstLine="0"/>
        <w:jc w:val="left"/>
      </w:pPr>
      <w:r>
        <w:rPr>
          <w:rFonts w:ascii="Montserrat" w:hAnsi="Montserrat" w:eastAsia="Montserrat"/>
          <w:b w:val="0"/>
          <w:i w:val="0"/>
          <w:color w:val="2C3142"/>
          <w:sz w:val="14"/>
        </w:rPr>
        <w:t>Monture et verres (équipements de la Classe B - Panier Libre)*** :</w:t>
      </w:r>
    </w:p>
    <w:p>
      <w:pPr>
        <w:sectPr>
          <w:type w:val="continuous"/>
          <w:pgSz w:w="11906" w:h="16838"/>
          <w:pgMar w:top="370" w:right="730" w:bottom="816" w:left="844" w:header="720" w:footer="720" w:gutter="0"/>
          <w:cols w:num="2" w:equalWidth="0">
            <w:col w:w="5366" w:space="0"/>
            <w:col w:w="4965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438"/>
        <w:ind w:left="652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730" w:bottom="816" w:left="844" w:header="720" w:footer="720" w:gutter="0"/>
          <w:cols w:num="2" w:equalWidth="0">
            <w:col w:w="5366" w:space="0"/>
            <w:col w:w="496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476"/>
        <w:gridCol w:w="1476"/>
        <w:gridCol w:w="1476"/>
        <w:gridCol w:w="1476"/>
        <w:gridCol w:w="1476"/>
        <w:gridCol w:w="1476"/>
        <w:gridCol w:w="1476"/>
      </w:tblGrid>
      <w:tr>
        <w:trPr>
          <w:trHeight w:hRule="exact" w:val="164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Équipement à verres simples ou équipement avec un verre simple et un verre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4" w:after="0"/>
              <w:ind w:left="0" w:right="1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175 €</w:t>
            </w:r>
          </w:p>
        </w:tc>
      </w:tr>
      <w:tr>
        <w:trPr>
          <w:trHeight w:hRule="exact" w:val="20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complexe ou très complexe</w:t>
            </w:r>
          </w:p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  <w:tc>
          <w:tcPr>
            <w:tcW w:type="dxa" w:w="147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1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</w:tr>
      <w:tr>
        <w:trPr>
          <w:trHeight w:hRule="exact" w:val="24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 Dont monture au sein de l’équipement limitée à :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1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18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Lentilles acceptées ou refusées par le RO (par an)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(8)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" w:after="0"/>
              <w:ind w:left="0" w:right="1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0" w:right="730" w:bottom="816" w:left="8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355600</wp:posOffset>
            </wp:positionV>
            <wp:extent cx="6565900" cy="241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3340100</wp:posOffset>
            </wp:positionV>
            <wp:extent cx="6565900" cy="279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22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SOINS COURANTS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 6</w:t>
            </w:r>
          </w:p>
        </w:tc>
      </w:tr>
      <w:tr>
        <w:trPr>
          <w:trHeight w:hRule="exact" w:val="318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MÉDICAMENTS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2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235" w:lineRule="auto" w:before="40" w:after="0"/>
        <w:ind w:left="260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</w:t>
      </w:r>
      <w:r>
        <w:rPr>
          <w:rFonts w:ascii="Montserrat" w:hAnsi="Montserrat" w:eastAsia="Montserrat"/>
          <w:b/>
          <w:i w:val="0"/>
          <w:color w:val="0C1725"/>
          <w:sz w:val="14"/>
        </w:rPr>
        <w:t>MÉDICAUX</w:t>
      </w:r>
    </w:p>
    <w:p>
      <w:pPr>
        <w:autoSpaceDN w:val="0"/>
        <w:autoSpaceDE w:val="0"/>
        <w:widowControl/>
        <w:spacing w:line="257" w:lineRule="auto" w:before="76" w:after="22"/>
        <w:ind w:left="26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21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adhérents à l’OPTAM ou l’OPTAM-CO*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2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140 %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165 %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190 %</w:t>
            </w:r>
          </w:p>
        </w:tc>
      </w:tr>
      <w:tr>
        <w:trPr>
          <w:trHeight w:hRule="exact" w:val="238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non adhérents à l’OPTAM ou l’OPTAM-CO*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2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105  %</w:t>
            </w:r>
          </w:p>
        </w:tc>
      </w:tr>
    </w:tbl>
    <w:p>
      <w:pPr>
        <w:autoSpaceDN w:val="0"/>
        <w:autoSpaceDE w:val="0"/>
        <w:widowControl/>
        <w:spacing w:line="257" w:lineRule="auto" w:before="24" w:after="22"/>
        <w:ind w:left="26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actes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2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non adhérents à l’OPTAM ou l’OPTAM-CO*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105 %</w:t>
            </w:r>
          </w:p>
        </w:tc>
      </w:tr>
      <w:tr>
        <w:trPr>
          <w:trHeight w:hRule="exact" w:val="1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techniques médicaux pour les médecins adhérents et non adhérents à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l’OPTAM ou l’OPTAM-CO*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3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</w:tbl>
    <w:p>
      <w:pPr>
        <w:autoSpaceDN w:val="0"/>
        <w:autoSpaceDE w:val="0"/>
        <w:widowControl/>
        <w:spacing w:line="235" w:lineRule="auto" w:before="58" w:after="38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" w:type="dxa"/>
      </w:tblPr>
      <w:tblGrid>
        <w:gridCol w:w="1349"/>
        <w:gridCol w:w="1349"/>
        <w:gridCol w:w="1349"/>
        <w:gridCol w:w="1349"/>
        <w:gridCol w:w="1349"/>
        <w:gridCol w:w="1349"/>
        <w:gridCol w:w="1349"/>
        <w:gridCol w:w="1349"/>
      </w:tblGrid>
      <w:tr>
        <w:trPr>
          <w:trHeight w:hRule="exact" w:val="228"/>
        </w:trPr>
        <w:tc>
          <w:tcPr>
            <w:tcW w:type="dxa" w:w="5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et appareillages (petit appareillage et accessoires)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2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  <w:tr>
        <w:trPr>
          <w:trHeight w:hRule="exact" w:val="240"/>
        </w:trPr>
        <w:tc>
          <w:tcPr>
            <w:tcW w:type="dxa" w:w="533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3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36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</w:tr>
      <w:tr>
        <w:trPr>
          <w:trHeight w:hRule="exact" w:val="220"/>
        </w:trPr>
        <w:tc>
          <w:tcPr>
            <w:tcW w:type="dxa" w:w="139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17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165 %</w:t>
            </w:r>
          </w:p>
        </w:tc>
      </w:tr>
      <w:tr>
        <w:trPr>
          <w:trHeight w:hRule="exact" w:val="220"/>
        </w:trPr>
        <w:tc>
          <w:tcPr>
            <w:tcW w:type="dxa" w:w="533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4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180 %</w:t>
            </w:r>
          </w:p>
        </w:tc>
      </w:tr>
      <w:tr>
        <w:trPr>
          <w:trHeight w:hRule="exact" w:val="198"/>
        </w:trPr>
        <w:tc>
          <w:tcPr>
            <w:tcW w:type="dxa" w:w="53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2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8"/>
        <w:ind w:left="0" w:right="0"/>
      </w:pPr>
    </w:p>
    <w:p>
      <w:pPr>
        <w:sectPr>
          <w:pgSz w:w="11906" w:h="16838"/>
          <w:pgMar w:top="318" w:right="546" w:bottom="22" w:left="566" w:header="720" w:footer="720" w:gutter="0"/>
          <w:cols/>
          <w:docGrid w:linePitch="360"/>
        </w:sectPr>
      </w:pPr>
    </w:p>
    <w:p>
      <w:pPr>
        <w:autoSpaceDN w:val="0"/>
        <w:tabs>
          <w:tab w:pos="850" w:val="left"/>
        </w:tabs>
        <w:autoSpaceDE w:val="0"/>
        <w:widowControl/>
        <w:spacing w:line="270" w:lineRule="exact" w:before="0" w:after="0"/>
        <w:ind w:left="260" w:right="1008" w:firstLine="0"/>
        <w:jc w:val="left"/>
      </w:pPr>
      <w:r>
        <w:tab/>
      </w:r>
      <w:r>
        <w:rPr>
          <w:rFonts w:ascii="BrandingSF" w:hAnsi="BrandingSF" w:eastAsia="BrandingSF"/>
          <w:b/>
          <w:i w:val="0"/>
          <w:color w:val="FFFFFF"/>
          <w:sz w:val="20"/>
        </w:rPr>
        <w:t xml:space="preserve">AIDES AUDITIVES </w:t>
      </w:r>
      <w:r>
        <w:rPr>
          <w:w w:val="97.16666539510092"/>
          <w:rFonts w:ascii="BrandingSF" w:hAnsi="BrandingSF" w:eastAsia="BrandingSF"/>
          <w:b/>
          <w:i w:val="0"/>
          <w:color w:val="FFFFFF"/>
          <w:sz w:val="12"/>
        </w:rPr>
        <w:t>(9)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(Classe I - Panier 100% Santé)**</w:t>
      </w:r>
    </w:p>
    <w:p>
      <w:pPr>
        <w:sectPr>
          <w:type w:val="continuous"/>
          <w:pgSz w:w="11906" w:h="16838"/>
          <w:pgMar w:top="318" w:right="546" w:bottom="22" w:left="566" w:header="720" w:footer="720" w:gutter="0"/>
          <w:cols w:num="2" w:equalWidth="0">
            <w:col w:w="5210" w:space="0"/>
            <w:col w:w="5584" w:space="0"/>
          </w:cols>
          <w:docGrid w:linePitch="360"/>
        </w:sectPr>
      </w:pPr>
    </w:p>
    <w:p>
      <w:pPr>
        <w:autoSpaceDN w:val="0"/>
        <w:autoSpaceDE w:val="0"/>
        <w:widowControl/>
        <w:spacing w:line="365" w:lineRule="auto" w:before="0" w:after="98"/>
        <w:ind w:left="1008" w:right="720" w:firstLine="0"/>
        <w:jc w:val="center"/>
      </w:pPr>
      <w:r>
        <w:rPr>
          <w:rFonts w:ascii="Montserrat" w:hAnsi="Montserrat" w:eastAsia="Montserrat"/>
          <w:b/>
          <w:i w:val="0"/>
          <w:color w:val="FFFFFF"/>
          <w:sz w:val="14"/>
        </w:rPr>
        <w:t>Depuis le 1</w:t>
      </w:r>
      <w:r>
        <w:rPr>
          <w:w w:val="102.02499628067017"/>
          <w:rFonts w:ascii="Montserrat" w:hAnsi="Montserrat" w:eastAsia="Montserrat"/>
          <w:b/>
          <w:i w:val="0"/>
          <w:color w:val="FFFFFF"/>
          <w:sz w:val="8"/>
        </w:rPr>
        <w:t>er</w:t>
      </w:r>
      <w:r>
        <w:rPr>
          <w:rFonts w:ascii="Montserrat" w:hAnsi="Montserrat" w:eastAsia="Montserrat"/>
          <w:b/>
          <w:i w:val="0"/>
          <w:color w:val="FFFFFF"/>
          <w:sz w:val="14"/>
        </w:rPr>
        <w:t xml:space="preserve"> janvier 2021 - Réforme 100% Santé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14"/>
        </w:rPr>
        <w:t>Zéro reste à charge sur une sélection d’équipements**</w:t>
      </w:r>
    </w:p>
    <w:p>
      <w:pPr>
        <w:sectPr>
          <w:type w:val="nextColumn"/>
          <w:pgSz w:w="11906" w:h="16838"/>
          <w:pgMar w:top="318" w:right="546" w:bottom="22" w:left="566" w:header="720" w:footer="720" w:gutter="0"/>
          <w:cols w:num="2" w:equalWidth="0">
            <w:col w:w="5210" w:space="0"/>
            <w:col w:w="55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4.0" w:type="dxa"/>
      </w:tblPr>
      <w:tblGrid>
        <w:gridCol w:w="1349"/>
        <w:gridCol w:w="1349"/>
        <w:gridCol w:w="1349"/>
        <w:gridCol w:w="1349"/>
        <w:gridCol w:w="1349"/>
        <w:gridCol w:w="1349"/>
        <w:gridCol w:w="1349"/>
        <w:gridCol w:w="1349"/>
      </w:tblGrid>
      <w:tr>
        <w:trPr>
          <w:trHeight w:hRule="exact" w:val="218"/>
        </w:trPr>
        <w:tc>
          <w:tcPr>
            <w:tcW w:type="dxa" w:w="52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Aides auditives de la Classe II - Panier Libre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2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120 %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120 %</w:t>
            </w:r>
          </w:p>
        </w:tc>
      </w:tr>
      <w:tr>
        <w:trPr>
          <w:trHeight w:hRule="exact" w:val="236"/>
        </w:trPr>
        <w:tc>
          <w:tcPr>
            <w:tcW w:type="dxa" w:w="52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7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110 %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</w:tr>
      <w:tr>
        <w:trPr>
          <w:trHeight w:hRule="exact" w:val="220"/>
        </w:trPr>
        <w:tc>
          <w:tcPr>
            <w:tcW w:type="dxa" w:w="140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4"/>
              </w:rPr>
              <w:t>BONUS FIDÉLITÉ</w:t>
            </w:r>
          </w:p>
        </w:tc>
        <w:tc>
          <w:tcPr>
            <w:tcW w:type="dxa" w:w="3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120 %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140 %</w:t>
            </w:r>
          </w:p>
        </w:tc>
      </w:tr>
      <w:tr>
        <w:trPr>
          <w:trHeight w:hRule="exact" w:val="224"/>
        </w:trPr>
        <w:tc>
          <w:tcPr>
            <w:tcW w:type="dxa" w:w="52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8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81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3579E"/>
                <w:sz w:val="14"/>
              </w:rPr>
              <w:t>150 %</w:t>
            </w:r>
          </w:p>
        </w:tc>
      </w:tr>
    </w:tbl>
    <w:p>
      <w:pPr>
        <w:autoSpaceDN w:val="0"/>
        <w:autoSpaceDE w:val="0"/>
        <w:widowControl/>
        <w:spacing w:line="228" w:lineRule="exact" w:before="174" w:after="42"/>
        <w:ind w:left="26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AUTRES SOINS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" w:type="dxa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218"/>
        </w:trPr>
        <w:tc>
          <w:tcPr>
            <w:tcW w:type="dxa" w:w="558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4"/>
              </w:rPr>
              <w:t>CURE THERMALE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(10)</w:t>
            </w:r>
          </w:p>
        </w:tc>
        <w:tc>
          <w:tcPr>
            <w:tcW w:type="dxa" w:w="68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4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2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7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4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</w:tr>
      <w:tr>
        <w:trPr>
          <w:trHeight w:hRule="exact" w:val="204"/>
        </w:trPr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+ 50 €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+ 50 €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+ 75 €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+ 75 €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</w:tr>
      <w:tr>
        <w:trPr>
          <w:trHeight w:hRule="exact" w:val="224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  <w:u w:val="single"/>
              </w:rPr>
              <w:t>Forfait médecines complémentaires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: ostéopathe, oméopathe, acupuncteur,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30 €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30 €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60 €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60 €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90 €</w:t>
            </w:r>
          </w:p>
        </w:tc>
        <w:tc>
          <w:tcPr>
            <w:tcW w:type="dxa" w:w="8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90 €</w:t>
            </w:r>
          </w:p>
        </w:tc>
      </w:tr>
      <w:tr>
        <w:trPr>
          <w:trHeight w:hRule="exact" w:val="16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naturopathe, étiopathe, diététicien, chiropracteur, micro-kinésithérapeute, 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pédicure/podologue, réflexologue, sophrologue, luminothérapeute, 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hypnothérapeute, tabacologue, mésothérapeute, psychomotricien, 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psychologue, ergothérapeute, sexologue. (par année d’adhésion et par Assuré 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 limité à 30 € / acte)</w:t>
            </w:r>
          </w:p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90" w:after="64"/>
        <w:ind w:left="26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LES + PRÉVENTION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" w:type="dxa"/>
      </w:tblPr>
      <w:tblGrid>
        <w:gridCol w:w="1542"/>
        <w:gridCol w:w="1542"/>
        <w:gridCol w:w="1542"/>
        <w:gridCol w:w="1542"/>
        <w:gridCol w:w="1542"/>
        <w:gridCol w:w="1542"/>
        <w:gridCol w:w="1542"/>
      </w:tblGrid>
      <w:tr>
        <w:trPr>
          <w:trHeight w:hRule="exact" w:val="266"/>
        </w:trPr>
        <w:tc>
          <w:tcPr>
            <w:tcW w:type="dxa" w:w="56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 xml:space="preserve">Actes de prévention pris en charge par le RO (dépistage de l’hypertension, des </w:t>
            </w:r>
          </w:p>
        </w:tc>
        <w:tc>
          <w:tcPr>
            <w:tcW w:type="dxa" w:w="68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4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%</w:t>
            </w:r>
          </w:p>
        </w:tc>
      </w:tr>
      <w:tr>
        <w:trPr>
          <w:trHeight w:hRule="exact" w:val="23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 xml:space="preserve">troubles de l’audition, de l’ostéoporose, etc.)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2C3142"/>
                <w:sz w:val="8"/>
              </w:rPr>
              <w:t>(11)</w:t>
            </w:r>
          </w:p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  <w:tc>
          <w:tcPr>
            <w:tcW w:type="dxa" w:w="1542"/>
            <w:vMerge/>
            <w:tcBorders>
              <w:top w:sz="8.0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228" w:lineRule="exact" w:before="158" w:after="42"/>
        <w:ind w:left="26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" w:type="dxa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>
        <w:trPr>
          <w:trHeight w:hRule="exact" w:val="216"/>
        </w:trPr>
        <w:tc>
          <w:tcPr>
            <w:tcW w:type="dxa" w:w="4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</w:t>
            </w:r>
          </w:p>
        </w:tc>
        <w:tc>
          <w:tcPr>
            <w:tcW w:type="dxa" w:w="66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payant </w:t>
            </w:r>
          </w:p>
        </w:tc>
        <w:tc>
          <w:tcPr>
            <w:tcW w:type="dxa" w:w="776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national </w:t>
            </w:r>
          </w:p>
        </w:tc>
        <w:tc>
          <w:tcPr>
            <w:tcW w:type="dxa" w:w="828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Viamedis </w:t>
            </w:r>
          </w:p>
        </w:tc>
        <w:tc>
          <w:tcPr>
            <w:tcW w:type="dxa" w:w="2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– </w:t>
            </w:r>
          </w:p>
        </w:tc>
        <w:tc>
          <w:tcPr>
            <w:tcW w:type="dxa" w:w="14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Remboursements </w:t>
            </w:r>
          </w:p>
        </w:tc>
        <w:tc>
          <w:tcPr>
            <w:tcW w:type="dxa" w:w="986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automatisés </w:t>
            </w:r>
          </w:p>
        </w:tc>
        <w:tc>
          <w:tcPr>
            <w:tcW w:type="dxa" w:w="50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0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190"/>
        </w:trPr>
        <w:tc>
          <w:tcPr>
            <w:tcW w:type="dxa" w:w="19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1079"/>
            <w:vMerge/>
            <w:tcBorders>
              <w:top w:sz="8.0" w:val="single" w:color="#03569D"/>
            </w:tcBorders>
          </w:tcPr>
          <w:p/>
        </w:tc>
        <w:tc>
          <w:tcPr>
            <w:tcW w:type="dxa" w:w="1079"/>
            <w:vMerge/>
            <w:tcBorders/>
          </w:tcPr>
          <w:p/>
        </w:tc>
        <w:tc>
          <w:tcPr>
            <w:tcW w:type="dxa" w:w="2158"/>
            <w:gridSpan w:val="2"/>
            <w:vMerge/>
            <w:tcBorders/>
          </w:tcPr>
          <w:p/>
        </w:tc>
        <w:tc>
          <w:tcPr>
            <w:tcW w:type="dxa" w:w="1079"/>
            <w:vMerge/>
            <w:tcBorders>
              <w:top w:sz="8.0" w:val="single" w:color="#03569D"/>
            </w:tcBorders>
          </w:tcPr>
          <w:p/>
        </w:tc>
        <w:tc>
          <w:tcPr>
            <w:tcW w:type="dxa" w:w="2158"/>
            <w:gridSpan w:val="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440"/>
            <w:gridSpan w:val="6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Téléconsultation</w:t>
            </w:r>
          </w:p>
        </w:tc>
        <w:tc>
          <w:tcPr>
            <w:tcW w:type="dxa" w:w="7060"/>
            <w:gridSpan w:val="4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7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  <w:tr>
        <w:trPr>
          <w:trHeight w:hRule="exact" w:val="404"/>
        </w:trPr>
        <w:tc>
          <w:tcPr>
            <w:tcW w:type="dxa" w:w="543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Assistance (aide à domicile, présence d’un proche au chevet, garde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animaux, ect.)</w:t>
            </w:r>
          </w:p>
        </w:tc>
        <w:tc>
          <w:tcPr>
            <w:tcW w:type="dxa" w:w="5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8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16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l’exclusion du forfait optique (monture + verres), vos forfaits sont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le confort hospi et frais accompagnant sont pris en charge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3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plafonné à 100€) ou inversement.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valables par année civile d’adhésion et par Assuré, ils ne sont pas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pendant une durée limitée à 10 jours par an et par Assuré pour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Pour la formule T1 seules les lentilles remboursées par le Régime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cumulables d’une année sur l’autre. Vos remboursements sont toujours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établissements et services de psychiatrie, neuropsychiatrie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Obligatoire sont prises en charge. Au-delà du forfait pour les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effectués déduction faite du remboursement de la Sécurité sociale dans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assimilés, et à 30 jours par an et par Assuré en rééducation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formules, T2, T3, T4, T5 et T6, la garantie est réduite à 100% de la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la limite de la formule choisie. Dans tous les cas, les remboursements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fonctionnelle et soins de suite et de réadaptation (SSR) publics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base de remboursement de la Sécurité Sociale à condition que les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sont limités au montant de la dépense réelle en Euros (Contrat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ou privés conventionnés (maisons de rééducation, de repos ou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lentilles soient prises en charge par le Régime Obligatoire.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responsable en application des dispositifs législatifs suivants art. L871-1,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convalescence), sous réserve de prise en charge de l’Assurance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 remboursement des frais auditifs est limité à l’acquisition d’une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R871-1 et R871-2 du Code de la sécurité sociale modifié par le décret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Maladie. Les frais accompagnant lors d’une hospitalisation sont pris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aide auditive pour chaque oreille indépendamment, par Assuré et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n°2014 -1374 du 18 Novembre 2014 et le décret n°2019-21 du 11 Janvier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charge pour toute personne quel que soit son âge ou encore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par période de quatre ans.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2019). Afin que le présent contrat soit qualifié de « responsable »,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pour les malades atteints d’une infirmité.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(10)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Les soins de cures thermales ainsi que les frais de transports et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celui-ci ne prend pas en charge les conséquences financières de la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Il s’agit des frais de transport du malade ou de l’accidenté, qui sont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d’hébergement afférents pris en charge ou non par le RO donnent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baisse du taux de remboursement liées au non-respect du parcours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remboursés par l’Assurance Maladie. Cette prise en charge n’est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lieu à un remboursement, dans la limite des garanties de la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soins ainsi que les franchises médicales laissées à la charge de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possible que sur prescription médicale et peut nécessiter l’accord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formule choisie et des frais réellement engagés. Il est entendu que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l’Assuré pour les frais relatifs à certaines prestations et les produits de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préalable du service médical de l’Assurance Maladie.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 forfait indiqué en euros est annuel et n’est valable que pour les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santé pris en charge par l’Assurance Maladie conformément au décret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Prise en charge des soins dentaires, actes d’anesthésie, actes de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frais de transport et d’hébergement.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N°2014-1374 du 18 novembre 2014. Sauf mention contraire, seules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chirurgie dentaire, actes d’imagerie, actes techniques médicaux,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 xml:space="preserve">(11)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Tels que définis par la liste fixée par l’arrêté du 8 juin 2006.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prestations ayant données lieu à un remboursement du Régime </w:t>
            </w:r>
          </w:p>
        </w:tc>
        <w:tc>
          <w:tcPr>
            <w:tcW w:type="dxa" w:w="7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prophylaxie bucco-dentaire, actes inlay-onlay, actes d’endodontie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Obligatoire ouvrent droit à un remboursement complémentaire. Hors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la parodontologie.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*OPTAM : Option Pratique Tarifaire Maîtrisée / OPTAM-CO : Option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parcours de soins ou en l’absence de déclaration à la Sécurité sociale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Au-delà du plafond dentaire, la garantie est réduite à 100% de la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Pratique Tarifaire Maîtrisée Chirurgie Obstétrique.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du choix de son médecin traitant, il convient de retirer aux montants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base de remboursement de la Sécurité Sociale.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**Tels que définis réglementairement. Retrouvez plus de précisions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exprimés ci-dessus la majoration du Ticket Modérateur prévue par les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fréquence de remboursement pour un équipement optique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sur les équipements 100% SANTÉ sur la page suivante. Le 100% SANTÉ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textes et en vigueur à la date des soins. Ce montant d’honoraires ne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 monture + 2 verres) est : tous les deux ans pour les plus de 16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vous permet d’accéder à une offre sans reste à charge sur une sélection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peut en aucun cas faire l’objet d’un remboursement. Sauf mention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ans, tous les ans chez les moins de 16 ans et tous les 6 mois pour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d’équipements en dentaire, optique et pour les aides auditives. Si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particulière, les garanties ne concernent que les prestations acceptées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moins de 6 ans, avec possibilité de renouvellement anticipé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vous ne souhaitez pas bénéficier des équipements compris dans ces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par la Sécurité sociale et le secteur conventionné.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cas d’évolution de la vue ; et tous les six mois pour les enfants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paniers, les remboursements se feront selon le niveau de garanties que </w:t>
            </w:r>
          </w:p>
        </w:tc>
      </w:tr>
      <w:tr>
        <w:trPr>
          <w:trHeight w:hRule="exact" w:val="120"/>
        </w:trPr>
        <w:tc>
          <w:tcPr>
            <w:tcW w:type="dxa" w:w="68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jusqu’à 6 ans en cas d’une mauvaise adaptation de la monture à la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vous avez choisi. Les paniers 100% Santé sont disponibles depuis le 1er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prise en charge du forfait journalier hospitalier est illimitée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morphologie du visage de l’enfant entraînant une perte d’efficacité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janvier 2020 pour le panier optique et une partie du panier dentaire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dans les établissements de santé, à l’exception des séjours en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du verre correcteur. La périodicité de deux ans, d’un an ou de six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sont en vigueur depuis le 1er janvier 2021 pour les aides auditives et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gérontologie, des Instituts Médico Pédagogiques, des unités de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mois est appréciée à compter de la date d’acquisition du précédent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l’ensemble du panier dentaire.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soins longs séjours (USLD), des établissements d’hébergement pour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équipement optique pris en charge par le contrat. Dans tous les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*** Verre « simple » : il s’agit d’un verre unifocal qui corrige une myopie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personnes âgées, des soins effectués à des fins esthétiques, des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cas, aucun délai de renouvellement des verres n’est requis en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jusqu’à -6, une hypermétropie jusqu’à +6 ou une astigmatie entre -4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cures de toutes natures (sauf celles prises en charge dans le cadre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cas d’évolution de la réfraction liée à des situations médicales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+4.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de la garantie « Cure thermale ») et de la thalassothérapie.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particulières définies réglementairement. Conformément à la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complexe » : il s’agit soit d’un verre unifocal qui corrige une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Illimité. Limité à la hauteur de la garantie pendant une durée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réforme 100% Santé, le panier «100% Santé » prévoit des verres et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myopie au-delà de -6, une hypermétropie au-delà de +6 ou une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limitée à 10 jours par an et par Assuré pour les établissements et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des montures aux prix limités (30€ pour les montures), sans reste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astigmatie au-delà de -4 ou +4, soit d’un verre multifocal ou progressif.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services de psychiatrie, neuropsychiatrie et assimilés, et à 90 jours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charge pour les Assurés (équipements 100% Santé de classe A).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très complexe » : il s’agit soit d’un verre multifocal ou progressif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 an et par Assuré en rééducation fonctionnelle et soins de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Assurés peuvent toujours choisir des équipements différents,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qui corrige une myopie ou une hypermétropie au-delà de -4 ou +4,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suite et de réadaptation (SSR), puis réduite à 100 % de la base de 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aux prix libres (équipements de classe B). Dans ce deuxième cas, le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soit d’un verre progressif ou multifocal qui corrige une myopie ou une 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remboursement de la Sécurité Sociale.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remboursement des montures sera plafonné à 100€. L’Assuré peut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hypermétropie au-delà de -8 ou +8 accompagnée d’une astigmatie.</w:t>
            </w:r>
          </w:p>
        </w:tc>
      </w:tr>
      <w:tr>
        <w:trPr>
          <w:trHeight w:hRule="exact" w:val="120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0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Prise en charge par an et par bénéficiaire, pour une durée limitée à </w:t>
            </w:r>
          </w:p>
        </w:tc>
        <w:tc>
          <w:tcPr>
            <w:tcW w:type="dxa" w:w="7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choisir des équipements mixtes : des verres sans reste à charge </w:t>
            </w:r>
          </w:p>
        </w:tc>
      </w:tr>
      <w:tr>
        <w:trPr>
          <w:trHeight w:hRule="exact" w:val="168"/>
        </w:trPr>
        <w:tc>
          <w:tcPr>
            <w:tcW w:type="dxa" w:w="3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90 jours. Hors hospitalisation ambulatoire. La chambre particulière </w:t>
            </w:r>
          </w:p>
        </w:tc>
        <w:tc>
          <w:tcPr>
            <w:tcW w:type="dxa" w:w="7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(classe A) avec des montures de prix libre (classe B, remboursement </w:t>
            </w:r>
          </w:p>
        </w:tc>
      </w:tr>
    </w:tbl>
    <w:p>
      <w:pPr>
        <w:autoSpaceDN w:val="0"/>
        <w:autoSpaceDE w:val="0"/>
        <w:widowControl/>
        <w:spacing w:line="245" w:lineRule="auto" w:before="30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co-conçu et co-distribué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GROUPE SANTIANE HOLDING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− 30/32 Boulevard de Vaugirard - 75015 PARIS − SAS au capital de 511 539 € – RCS Paris 812 962 330 – Intermédiaire en assurances – Immatriculé à l’Orias N°19 004 119 (www.orias.fr) et co-distribué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Immatriculé à l’Orias sous le N° 09 050 488 (www.orias.fr).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PREPAR-IARD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Immeuble Le Village - Quartier Valmy - 33 Place Ronde - CS 20243 - 92981 PARIS LA DÉFENSE CEDEX – SA au capital de 800 000 € –  RCS Nanterre 343 158 036 – Entreprise régie par le Code des Assurances – N° LEI : 9695008UHMH3007T1B62.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FILASSISTANCE INTERNATIONAL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- 108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type w:val="continuous"/>
          <w:pgSz w:w="11906" w:h="16838"/>
          <w:pgMar w:top="318" w:right="546" w:bottom="22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6680200</wp:posOffset>
            </wp:positionV>
            <wp:extent cx="6731000" cy="3390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39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5245100</wp:posOffset>
            </wp:positionV>
            <wp:extent cx="723900" cy="673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3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1252"/>
        <w:ind w:left="2652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24"/>
        </w:rPr>
        <w:t xml:space="preserve">Le 100% Santé vous permet d’accéder à une offre sans reste à </w:t>
      </w:r>
      <w:r>
        <w:rPr>
          <w:rFonts w:ascii="Montserrat" w:hAnsi="Montserrat" w:eastAsia="Montserrat"/>
          <w:b/>
          <w:i w:val="0"/>
          <w:color w:val="575756"/>
          <w:sz w:val="24"/>
        </w:rPr>
        <w:t xml:space="preserve">charge sur une sélection d’équipements en dentaire, optique </w:t>
      </w:r>
      <w:r>
        <w:rPr>
          <w:rFonts w:ascii="Montserrat" w:hAnsi="Montserrat" w:eastAsia="Montserrat"/>
          <w:b/>
          <w:i w:val="0"/>
          <w:color w:val="575756"/>
          <w:sz w:val="24"/>
        </w:rPr>
        <w:t xml:space="preserve">et pour les aides auditives. Les paniers 100% Santé seront </w:t>
      </w:r>
      <w:r>
        <w:rPr>
          <w:rFonts w:ascii="Montserrat" w:hAnsi="Montserrat" w:eastAsia="Montserrat"/>
          <w:b/>
          <w:i w:val="0"/>
          <w:color w:val="575756"/>
          <w:sz w:val="24"/>
        </w:rPr>
        <w:t xml:space="preserve">pris en charge intégralement par la Sécurité Sociale et la </w:t>
      </w:r>
      <w:r>
        <w:rPr>
          <w:rFonts w:ascii="Montserrat" w:hAnsi="Montserrat" w:eastAsia="Montserrat"/>
          <w:b/>
          <w:i w:val="0"/>
          <w:color w:val="575756"/>
          <w:sz w:val="24"/>
        </w:rPr>
        <w:t xml:space="preserve">complémentaire santé. Si vous ne souhaitez pas bénéficier des </w:t>
      </w:r>
      <w:r>
        <w:rPr>
          <w:rFonts w:ascii="Montserrat" w:hAnsi="Montserrat" w:eastAsia="Montserrat"/>
          <w:b/>
          <w:i w:val="0"/>
          <w:color w:val="575756"/>
          <w:sz w:val="24"/>
        </w:rPr>
        <w:t xml:space="preserve">équipements compris dans ces paniers, les remboursements se </w:t>
      </w:r>
      <w:r>
        <w:rPr>
          <w:rFonts w:ascii="Montserrat" w:hAnsi="Montserrat" w:eastAsia="Montserrat"/>
          <w:b/>
          <w:i w:val="0"/>
          <w:color w:val="575756"/>
          <w:sz w:val="24"/>
        </w:rPr>
        <w:t>feront selon le niveau de garanties que vous 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0.0" w:type="dxa"/>
      </w:tblPr>
      <w:tblGrid>
        <w:gridCol w:w="10504"/>
      </w:tblGrid>
      <w:tr>
        <w:trPr>
          <w:trHeight w:hRule="exact" w:val="922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3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1"/>
        <w:gridCol w:w="3501"/>
        <w:gridCol w:w="3501"/>
      </w:tblGrid>
      <w:tr>
        <w:trPr>
          <w:trHeight w:hRule="exact" w:val="742"/>
        </w:trPr>
        <w:tc>
          <w:tcPr>
            <w:tcW w:type="dxa" w:w="3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85800" cy="342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85800" cy="355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42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18"/>
        </w:trPr>
        <w:tc>
          <w:tcPr>
            <w:tcW w:type="dxa" w:w="3172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2" w:after="0"/>
              <w:ind w:left="720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SUR 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3.9999999999998" w:type="dxa"/>
            </w:tblPr>
            <w:tblGrid>
              <w:gridCol w:w="3608"/>
            </w:tblGrid>
            <w:tr>
              <w:trPr>
                <w:trHeight w:hRule="exact" w:val="826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280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4"/>
            </w:tblGrid>
            <w:tr>
              <w:trPr>
                <w:trHeight w:hRule="exact" w:val="700"/>
              </w:trPr>
              <w:tc>
                <w:tcPr>
                  <w:tcW w:type="dxa" w:w="3174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154" w:after="0"/>
                    <w:ind w:left="720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SUR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0"/>
        </w:trPr>
        <w:tc>
          <w:tcPr>
            <w:tcW w:type="dxa" w:w="3501"/>
            <w:vMerge/>
            <w:tcBorders/>
          </w:tcPr>
          <w:p/>
        </w:tc>
        <w:tc>
          <w:tcPr>
            <w:tcW w:type="dxa" w:w="3501"/>
            <w:vMerge/>
            <w:tcBorders/>
          </w:tcPr>
          <w:p/>
        </w:tc>
        <w:tc>
          <w:tcPr>
            <w:tcW w:type="dxa" w:w="3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</w:tr>
      <w:tr>
        <w:trPr>
          <w:trHeight w:hRule="exact" w:val="146"/>
        </w:trPr>
        <w:tc>
          <w:tcPr>
            <w:tcW w:type="dxa" w:w="3172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</w:p>
        </w:tc>
        <w:tc>
          <w:tcPr>
            <w:tcW w:type="dxa" w:w="350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501"/>
            <w:vMerge/>
            <w:tcBorders/>
          </w:tcPr>
          <w:p/>
        </w:tc>
        <w:tc>
          <w:tcPr>
            <w:tcW w:type="dxa" w:w="3501"/>
            <w:vMerge/>
            <w:tcBorders/>
          </w:tcPr>
          <w:p/>
        </w:tc>
        <w:tc>
          <w:tcPr>
            <w:tcW w:type="dxa" w:w="3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</w:p>
        </w:tc>
      </w:tr>
      <w:tr>
        <w:trPr>
          <w:trHeight w:hRule="exact" w:val="132"/>
        </w:trPr>
        <w:tc>
          <w:tcPr>
            <w:tcW w:type="dxa" w:w="3172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(1)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DENTAIRE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(2)</w:t>
            </w:r>
          </w:p>
        </w:tc>
        <w:tc>
          <w:tcPr>
            <w:tcW w:type="dxa" w:w="3501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3501"/>
            <w:vMerge/>
            <w:tcBorders/>
          </w:tcPr>
          <w:p/>
        </w:tc>
        <w:tc>
          <w:tcPr>
            <w:tcW w:type="dxa" w:w="3501"/>
            <w:vMerge/>
            <w:tcBorders/>
          </w:tcPr>
          <w:p/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(3)</w:t>
            </w:r>
          </w:p>
        </w:tc>
      </w:tr>
    </w:tbl>
    <w:p>
      <w:pPr>
        <w:autoSpaceDN w:val="0"/>
        <w:autoSpaceDE w:val="0"/>
        <w:widowControl/>
        <w:spacing w:line="366" w:lineRule="exact" w:before="1668" w:after="838"/>
        <w:ind w:left="2160" w:right="1584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  <w:r>
        <w:br/>
      </w: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1501"/>
        <w:gridCol w:w="1501"/>
        <w:gridCol w:w="1501"/>
        <w:gridCol w:w="1501"/>
        <w:gridCol w:w="1501"/>
        <w:gridCol w:w="1501"/>
        <w:gridCol w:w="1501"/>
      </w:tblGrid>
      <w:tr>
        <w:trPr>
          <w:trHeight w:hRule="exact" w:val="2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5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Couronnes :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Équipements de qualité </w:t>
            </w:r>
          </w:p>
        </w:tc>
      </w:tr>
      <w:tr>
        <w:trPr>
          <w:trHeight w:hRule="exact" w:val="187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verres (amincis, antireflet et anti-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rayure) et traitant l’ensemble des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8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70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à </w:t>
            </w:r>
          </w:p>
        </w:tc>
      </w:tr>
      <w:tr>
        <w:trPr>
          <w:trHeight w:hRule="exact" w:val="193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troubles visuels 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écouteur déporté, intra-auriculaire</w:t>
            </w:r>
          </w:p>
        </w:tc>
      </w:tr>
      <w:tr>
        <w:trPr>
          <w:trHeight w:hRule="exact" w:val="196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6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9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monolithiques </w:t>
            </w:r>
          </w:p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Les caractéristiques : </w:t>
            </w:r>
          </w:p>
        </w:tc>
      </w:tr>
      <w:tr>
        <w:trPr>
          <w:trHeight w:hRule="exact" w:val="144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zircones (incisives et canines)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4 ans de garantie </w:t>
            </w:r>
          </w:p>
        </w:tc>
      </w:tr>
      <w:tr>
        <w:trPr>
          <w:trHeight w:hRule="exact" w:val="139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6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30 jours minimum d’essai avant </w:t>
            </w:r>
          </w:p>
        </w:tc>
      </w:tr>
      <w:tr>
        <w:trPr>
          <w:trHeight w:hRule="exact" w:val="160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enfants (10 modèles - 2 coloris)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12 canaux de réglage </w:t>
            </w:r>
          </w:p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Bridges : </w:t>
            </w:r>
          </w:p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</w:p>
        </w:tc>
      </w:tr>
      <w:tr>
        <w:trPr>
          <w:trHeight w:hRule="exact" w:val="128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501"/>
            <w:vMerge/>
            <w:tcBorders/>
          </w:tcPr>
          <w:p/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2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501"/>
            <w:vMerge/>
            <w:tcBorders/>
          </w:tcPr>
          <w:p/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système anti-acouphène, connectivi-</w:t>
            </w:r>
          </w:p>
        </w:tc>
      </w:tr>
      <w:tr>
        <w:trPr>
          <w:trHeight w:hRule="exact" w:val="120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" w:after="0"/>
              <w:ind w:left="398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6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té sans fil, réducteur de bruit du vent, </w:t>
            </w:r>
          </w:p>
        </w:tc>
      </w:tr>
      <w:tr>
        <w:trPr>
          <w:trHeight w:hRule="exact" w:val="171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synchronisation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binaurale,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bande </w:t>
            </w:r>
          </w:p>
        </w:tc>
      </w:tr>
      <w:tr>
        <w:trPr>
          <w:trHeight w:hRule="exact" w:val="77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passante élargie ≥ 6000 Hz, fonction </w:t>
            </w:r>
          </w:p>
        </w:tc>
      </w:tr>
      <w:tr>
        <w:trPr>
          <w:trHeight w:hRule="exact" w:val="103"/>
        </w:trPr>
        <w:tc>
          <w:tcPr>
            <w:tcW w:type="dxa" w:w="150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432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À TARIFS LIBRES</w:t>
            </w:r>
          </w:p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apprentissage de sonie, dispositif an-</w:t>
            </w:r>
          </w:p>
        </w:tc>
      </w:tr>
      <w:tr>
        <w:trPr>
          <w:trHeight w:hRule="exact" w:val="170"/>
        </w:trPr>
        <w:tc>
          <w:tcPr>
            <w:tcW w:type="dxa" w:w="1501"/>
            <w:vMerge/>
            <w:tcBorders/>
          </w:tcPr>
          <w:p/>
        </w:tc>
        <w:tc>
          <w:tcPr>
            <w:tcW w:type="dxa" w:w="4503"/>
            <w:gridSpan w:val="3"/>
            <w:vMerge/>
            <w:tcBorders/>
          </w:tcPr>
          <w:p/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4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78" w:right="636" w:bottom="804" w:left="7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0</wp:posOffset>
            </wp:positionV>
            <wp:extent cx="1866900" cy="1371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2540000</wp:posOffset>
            </wp:positionV>
            <wp:extent cx="6591300" cy="1371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6159500</wp:posOffset>
            </wp:positionV>
            <wp:extent cx="6604000" cy="1587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8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4114800</wp:posOffset>
            </wp:positionV>
            <wp:extent cx="6591300" cy="1549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8267700</wp:posOffset>
            </wp:positionV>
            <wp:extent cx="6604000" cy="15494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8.0" w:type="dxa"/>
      </w:tblPr>
      <w:tblGrid>
        <w:gridCol w:w="5219"/>
        <w:gridCol w:w="5219"/>
      </w:tblGrid>
      <w:tr>
        <w:trPr>
          <w:trHeight w:hRule="exact" w:val="89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47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Tonik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26" w:after="0"/>
              <w:ind w:left="65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EXEMPLE DE REMBOURSEMENT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2C3142"/>
                <w:sz w:val="16"/>
              </w:rPr>
              <w:t xml:space="preserve">Ces exemples sont conformes aux engagements UNOCAM signés le 14 février 2019. Les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16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6"/>
        </w:rPr>
        <w:t xml:space="preserve">calculs effectués sont en fonction de la base de remboursement de la Sécurité Sociale </w:t>
      </w:r>
      <w:r>
        <w:rPr>
          <w:rFonts w:ascii="Montserrat" w:hAnsi="Montserrat" w:eastAsia="Montserrat"/>
          <w:b/>
          <w:i w:val="0"/>
          <w:color w:val="2C3142"/>
          <w:sz w:val="16"/>
        </w:rPr>
        <w:t>en vigueur depuis le 01/01/2022.</w:t>
      </w:r>
    </w:p>
    <w:p>
      <w:pPr>
        <w:autoSpaceDN w:val="0"/>
        <w:autoSpaceDE w:val="0"/>
        <w:widowControl/>
        <w:spacing w:line="200" w:lineRule="exact" w:before="342" w:after="0"/>
        <w:ind w:left="0" w:right="20" w:firstLine="0"/>
        <w:jc w:val="both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6" w:lineRule="exact" w:before="408" w:after="308"/>
        <w:ind w:left="4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hRule="exact" w:val="25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70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9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CHAMBRE PARTICULIÈRE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96" w:after="0"/>
              <w:ind w:left="0" w:right="3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6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FORFAIT JOURNALIER HOSPITALIER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186"/>
        </w:trPr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(sur demande du patient)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(hébergement)</w:t>
            </w:r>
          </w:p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2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2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37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NC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20 €</w:t>
            </w:r>
          </w:p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4" w:after="0"/>
              <w:ind w:left="0" w:right="3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30 €</w:t>
            </w:r>
          </w:p>
        </w:tc>
        <w:tc>
          <w:tcPr>
            <w:tcW w:type="dxa" w:w="4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1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31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20 €</w:t>
            </w:r>
          </w:p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1492"/>
            <w:gridSpan w:val="2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2984"/>
            <w:gridSpan w:val="4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Selon dépense engagée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20" w:after="0"/>
        <w:ind w:left="2016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Séjours avec actes lourds.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59" w:lineRule="auto" w:before="0" w:after="34"/>
        <w:ind w:left="0" w:right="1914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52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16" w:after="0"/>
              <w:ind w:left="3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0" w:right="5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0" w:right="14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835,60 €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18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" w:after="0"/>
              <w:ind w:left="0" w:right="3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4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811,60 €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1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6" w:after="0"/>
              <w:ind w:left="12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58" w:after="512"/>
        <w:ind w:left="2592" w:right="129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835,60€  (dont 24 € de participation forfaitaire, pour toute opération d’au moins 120 €)</w:t>
      </w:r>
    </w:p>
    <w:p>
      <w:pPr>
        <w:sectPr>
          <w:pgSz w:w="11906" w:h="16838"/>
          <w:pgMar w:top="392" w:right="706" w:bottom="466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92" w:right="706" w:bottom="466" w:left="762" w:header="720" w:footer="720" w:gutter="0"/>
          <w:cols w:num="2" w:equalWidth="0">
            <w:col w:w="6051" w:space="0"/>
            <w:col w:w="43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46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392" w:right="706" w:bottom="466" w:left="762" w:header="720" w:footer="720" w:gutter="0"/>
          <w:cols w:num="2" w:equalWidth="0">
            <w:col w:w="6051" w:space="0"/>
            <w:col w:w="43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83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8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2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09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4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355 €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447 €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2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54,34 €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271,70 €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2" w:after="0"/>
              <w:ind w:left="0" w:right="5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271,70 €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175,30 €</w:t>
            </w:r>
          </w:p>
        </w:tc>
      </w:tr>
      <w:tr>
        <w:trPr>
          <w:trHeight w:hRule="exact" w:val="1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0" w:right="4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83,30 €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54,34 €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122,27 €</w:t>
            </w:r>
          </w:p>
        </w:tc>
        <w:tc>
          <w:tcPr>
            <w:tcW w:type="dxa" w:w="160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409"/>
            <w:gridSpan w:val="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" w:after="0"/>
              <w:ind w:left="0" w:right="1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83,30 €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28,96 €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" w:after="0"/>
              <w:ind w:left="0" w:right="60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2" w:after="0"/>
              <w:ind w:left="0" w:right="38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175,30 €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120,96 €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53,04 €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250" w:lineRule="auto" w:before="96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245" w:lineRule="auto" w:before="43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PUBLIC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Séjours sans actes lourds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. 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259" w:lineRule="auto" w:before="0" w:after="14"/>
        <w:ind w:left="256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59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8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60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3 541€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14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38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0" w:right="432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2 832,80 €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708,20 €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1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 xml:space="preserve">0 €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8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92" w:right="706" w:bottom="466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4826000</wp:posOffset>
            </wp:positionV>
            <wp:extent cx="6578600" cy="14859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774700</wp:posOffset>
            </wp:positionV>
            <wp:extent cx="6540500" cy="14478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2628900</wp:posOffset>
            </wp:positionV>
            <wp:extent cx="6540500" cy="14605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6819900</wp:posOffset>
            </wp:positionV>
            <wp:extent cx="6591300" cy="1358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8610600</wp:posOffset>
            </wp:positionV>
            <wp:extent cx="6591300" cy="13716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21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98" w:right="842" w:bottom="582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16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continuous"/>
          <w:pgSz w:w="11906" w:h="16838"/>
          <w:pgMar w:top="398" w:right="842" w:bottom="582" w:left="810" w:header="720" w:footer="720" w:gutter="0"/>
          <w:cols w:num="2" w:equalWidth="0">
            <w:col w:w="6408" w:space="0"/>
            <w:col w:w="38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68"/>
        <w:ind w:left="864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(hors 100% santé)</w:t>
      </w:r>
    </w:p>
    <w:p>
      <w:pPr>
        <w:sectPr>
          <w:type w:val="nextColumn"/>
          <w:pgSz w:w="11906" w:h="16838"/>
          <w:pgMar w:top="398" w:right="842" w:bottom="582" w:left="810" w:header="720" w:footer="720" w:gutter="0"/>
          <w:cols w:num="2" w:equalWidth="0">
            <w:col w:w="6408" w:space="0"/>
            <w:col w:w="384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rPr>
          <w:trHeight w:hRule="exact" w:val="2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1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500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3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40"/>
        </w:trPr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43,38 €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26,03 €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64"/>
            <w:gridSpan w:val="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428 €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17,35 €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1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64"/>
            <w:gridSpan w:val="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type w:val="continuous"/>
          <w:pgSz w:w="11906" w:h="16838"/>
          <w:pgMar w:top="398" w:right="842" w:bottom="582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245" w:lineRule="auto" w:before="388" w:after="0"/>
        <w:ind w:left="201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SUR </w:t>
      </w:r>
      <w:r>
        <w:rPr>
          <w:rFonts w:ascii="Montserrat" w:hAnsi="Montserrat" w:eastAsia="Montserrat"/>
          <w:b/>
          <w:i w:val="0"/>
          <w:color w:val="575756"/>
          <w:sz w:val="16"/>
        </w:rPr>
        <w:t>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Prothèses (hors 100% santé)</w:t>
      </w:r>
    </w:p>
    <w:p>
      <w:pPr>
        <w:sectPr>
          <w:type w:val="continuous"/>
          <w:pgSz w:w="11906" w:h="16838"/>
          <w:pgMar w:top="398" w:right="842" w:bottom="582" w:left="810" w:header="720" w:footer="720" w:gutter="0"/>
          <w:cols w:num="2" w:equalWidth="0">
            <w:col w:w="6000" w:space="0"/>
            <w:col w:w="425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245" w:lineRule="auto" w:before="394" w:after="124"/>
        <w:ind w:left="57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Orthodontie (moins de 16 ans)</w:t>
      </w:r>
    </w:p>
    <w:p>
      <w:pPr>
        <w:sectPr>
          <w:type w:val="nextColumn"/>
          <w:pgSz w:w="11906" w:h="16838"/>
          <w:pgMar w:top="398" w:right="842" w:bottom="582" w:left="810" w:header="720" w:footer="720" w:gutter="0"/>
          <w:cols w:num="2" w:equalWidth="0">
            <w:col w:w="6000" w:space="0"/>
            <w:col w:w="42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32" w:after="0"/>
              <w:ind w:left="3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2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82"/>
        </w:trPr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554 €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720 €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48 €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96 €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72 €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186 €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216 €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2" w:after="0"/>
              <w:ind w:left="0" w:right="2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77,40 €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193,50 €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222,53 €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270,90 €</w:t>
            </w:r>
          </w:p>
        </w:tc>
      </w:tr>
      <w:tr>
        <w:trPr>
          <w:trHeight w:hRule="exact" w:val="2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0" w:right="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126 €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0" w:right="1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156 €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125,78 €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0" w:right="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174,15 €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434 €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386 €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356 €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326 €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296 €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266 €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1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526,50 €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449,10€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400,72€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17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352,35 €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303,97 €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255,60 €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4"/>
        <w:ind w:left="0" w:right="0"/>
      </w:pPr>
    </w:p>
    <w:p>
      <w:pPr>
        <w:sectPr>
          <w:type w:val="continuous"/>
          <w:pgSz w:w="11906" w:h="16838"/>
          <w:pgMar w:top="398" w:right="842" w:bottom="582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4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398" w:right="842" w:bottom="582" w:left="810" w:header="720" w:footer="720" w:gutter="0"/>
          <w:cols w:num="2" w:equalWidth="0">
            <w:col w:w="1536" w:space="0"/>
            <w:col w:w="8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5127"/>
        <w:gridCol w:w="5127"/>
      </w:tblGrid>
      <w:tr>
        <w:trPr>
          <w:trHeight w:hRule="exact" w:val="179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  <w:p>
            <w:pPr>
              <w:autoSpaceDN w:val="0"/>
              <w:autoSpaceDE w:val="0"/>
              <w:widowControl/>
              <w:spacing w:line="235" w:lineRule="auto" w:before="10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SIMPLES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ET MONTURE</w:t>
            </w:r>
          </w:p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  <w:p>
            <w:pPr>
              <w:autoSpaceDN w:val="0"/>
              <w:autoSpaceDE w:val="0"/>
              <w:widowControl/>
              <w:spacing w:line="235" w:lineRule="auto" w:before="1002" w:after="0"/>
              <w:ind w:left="8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VERRES PROGRESSIFS ET MONTURE</w:t>
            </w:r>
          </w:p>
          <w:p>
            <w:pPr>
              <w:autoSpaceDN w:val="0"/>
              <w:autoSpaceDE w:val="0"/>
              <w:widowControl/>
              <w:spacing w:line="235" w:lineRule="auto" w:before="10" w:after="0"/>
              <w:ind w:left="0" w:right="106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4"/>
              </w:rPr>
              <w:t>Équipements 100% santé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rPr>
          <w:trHeight w:hRule="exact" w:val="31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2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7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type w:val="nextColumn"/>
          <w:pgSz w:w="11906" w:h="16838"/>
          <w:pgMar w:top="398" w:right="842" w:bottom="582" w:left="810" w:header="720" w:footer="720" w:gutter="0"/>
          <w:cols w:num="2" w:equalWidth="0">
            <w:col w:w="1536" w:space="0"/>
            <w:col w:w="8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3418"/>
        <w:gridCol w:w="3418"/>
        <w:gridCol w:w="3418"/>
      </w:tblGrid>
      <w:tr>
        <w:trPr>
          <w:trHeight w:hRule="exact" w:val="21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" w:after="0"/>
              <w:ind w:left="3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" w:after="0"/>
              <w:ind w:left="3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41 € PAR VERRE + 30 € PAR MONTURE (limité à 100€)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90 € PAR VERRE + 30 € PAR MONTURE (limité à 100€)</w:t>
            </w:r>
          </w:p>
        </w:tc>
      </w:tr>
      <w:tr>
        <w:trPr>
          <w:trHeight w:hRule="exact" w:val="4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8" w:after="0"/>
              <w:ind w:left="0" w:right="19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20,70 €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16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37,80 €</w:t>
            </w:r>
          </w:p>
        </w:tc>
      </w:tr>
      <w:tr>
        <w:trPr>
          <w:trHeight w:hRule="exact" w:val="20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19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91,30 €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6" w:after="0"/>
              <w:ind w:left="0" w:right="16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172,20 €</w:t>
            </w:r>
          </w:p>
        </w:tc>
      </w:tr>
      <w:tr>
        <w:trPr>
          <w:trHeight w:hRule="exact" w:val="2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3418"/>
            <w:vMerge/>
            <w:tcBorders/>
          </w:tcPr>
          <w:p/>
        </w:tc>
        <w:tc>
          <w:tcPr>
            <w:tcW w:type="dxa" w:w="3418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5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2"/>
        <w:ind w:left="0" w:right="0"/>
      </w:pPr>
    </w:p>
    <w:p>
      <w:pPr>
        <w:sectPr>
          <w:type w:val="continuous"/>
          <w:pgSz w:w="11906" w:h="16838"/>
          <w:pgMar w:top="398" w:right="842" w:bottom="582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45" w:lineRule="auto" w:before="390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Équipements</w:t>
      </w:r>
    </w:p>
    <w:p>
      <w:pPr>
        <w:sectPr>
          <w:type w:val="continuous"/>
          <w:pgSz w:w="11906" w:h="16838"/>
          <w:pgMar w:top="398" w:right="842" w:bottom="582" w:left="810" w:header="720" w:footer="720" w:gutter="0"/>
          <w:cols w:num="2" w:equalWidth="0">
            <w:col w:w="6042" w:space="0"/>
            <w:col w:w="4212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45" w:lineRule="auto" w:before="408" w:after="74"/>
        <w:ind w:left="576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</w:t>
      </w:r>
    </w:p>
    <w:p>
      <w:pPr>
        <w:sectPr>
          <w:type w:val="nextColumn"/>
          <w:pgSz w:w="11906" w:h="16838"/>
          <w:pgMar w:top="398" w:right="842" w:bottom="582" w:left="810" w:header="720" w:footer="720" w:gutter="0"/>
          <w:cols w:num="2" w:equalWidth="0">
            <w:col w:w="6042" w:space="0"/>
            <w:col w:w="42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rPr>
          <w:trHeight w:hRule="exact" w:val="22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6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6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5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3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40"/>
        </w:trPr>
        <w:tc>
          <w:tcPr>
            <w:tcW w:type="dxa" w:w="732"/>
            <w:vMerge/>
            <w:tcBorders/>
          </w:tcPr>
          <w:p/>
        </w:tc>
        <w:tc>
          <w:tcPr>
            <w:tcW w:type="dxa" w:w="44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100 € PAR VERRE + 139 € PAR MONTURE (limité à 100€)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2" w:after="0"/>
              <w:ind w:left="5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231 € PAR VERRE + 139 € PAR MONTURE (limité à 100€)</w:t>
            </w:r>
          </w:p>
        </w:tc>
      </w:tr>
      <w:tr>
        <w:trPr>
          <w:trHeight w:hRule="exact" w:val="50"/>
        </w:trPr>
        <w:tc>
          <w:tcPr>
            <w:tcW w:type="dxa" w:w="732"/>
            <w:vMerge/>
            <w:tcBorders/>
          </w:tcPr>
          <w:p/>
        </w:tc>
        <w:tc>
          <w:tcPr>
            <w:tcW w:type="dxa" w:w="44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0,09 €</w:t>
            </w:r>
          </w:p>
        </w:tc>
        <w:tc>
          <w:tcPr>
            <w:tcW w:type="dxa" w:w="42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4" w:after="0"/>
              <w:ind w:left="0" w:right="18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0,09 €</w:t>
            </w:r>
          </w:p>
        </w:tc>
      </w:tr>
      <w:tr>
        <w:trPr>
          <w:trHeight w:hRule="exact" w:val="39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92"/>
            <w:gridSpan w:val="6"/>
            <w:vMerge/>
            <w:tcBorders/>
          </w:tcPr>
          <w:p/>
        </w:tc>
        <w:tc>
          <w:tcPr>
            <w:tcW w:type="dxa" w:w="5124"/>
            <w:gridSpan w:val="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0,06 €</w:t>
            </w:r>
          </w:p>
        </w:tc>
        <w:tc>
          <w:tcPr>
            <w:tcW w:type="dxa" w:w="13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124,91 €</w:t>
            </w:r>
          </w:p>
        </w:tc>
        <w:tc>
          <w:tcPr>
            <w:tcW w:type="dxa" w:w="9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149,91 €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6" w:after="0"/>
              <w:ind w:left="0" w:right="1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174,91 €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0,06 €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199,91 €</w:t>
            </w:r>
          </w:p>
        </w:tc>
        <w:tc>
          <w:tcPr>
            <w:tcW w:type="dxa" w:w="17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2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224,91 €</w:t>
            </w:r>
          </w:p>
        </w:tc>
        <w:tc>
          <w:tcPr>
            <w:tcW w:type="dxa" w:w="7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249,91 €</w:t>
            </w:r>
          </w:p>
        </w:tc>
      </w:tr>
      <w:tr>
        <w:trPr>
          <w:trHeight w:hRule="exact" w:val="20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32"/>
            <w:vMerge/>
            <w:tcBorders/>
          </w:tcPr>
          <w:p/>
        </w:tc>
        <w:tc>
          <w:tcPr>
            <w:tcW w:type="dxa" w:w="1464"/>
            <w:gridSpan w:val="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1464"/>
            <w:gridSpan w:val="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732"/>
            <w:vMerge/>
            <w:tcBorders/>
          </w:tcPr>
          <w:p/>
        </w:tc>
        <w:tc>
          <w:tcPr>
            <w:tcW w:type="dxa" w:w="2196"/>
            <w:gridSpan w:val="3"/>
            <w:vMerge/>
            <w:tcBorders/>
          </w:tcPr>
          <w:p/>
        </w:tc>
        <w:tc>
          <w:tcPr>
            <w:tcW w:type="dxa" w:w="146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338,85 €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0" w:right="4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214 €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0" w:right="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189 €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0" w:right="24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164 €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600,85 €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0" w:right="5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401 €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0" w:right="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376 €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0" w:right="8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351 €</w:t>
            </w:r>
          </w:p>
        </w:tc>
      </w:tr>
    </w:tbl>
    <w:p>
      <w:pPr>
        <w:autoSpaceDN w:val="0"/>
        <w:autoSpaceDE w:val="0"/>
        <w:widowControl/>
        <w:spacing w:line="250" w:lineRule="auto" w:before="54" w:after="28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>
        <w:trPr>
          <w:trHeight w:hRule="exact" w:val="23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88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4" w:after="0"/>
              <w:ind w:left="0" w:right="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FORFAIT ANNUEL LENTILLES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4" w:after="0"/>
              <w:ind w:left="3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0" w:after="0"/>
              <w:ind w:left="0" w:right="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3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OPÉRATION CORRECTIVE DE LA MYOPIE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20"/>
        </w:trPr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Non remboursées par le Régime Obligatoire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Chirurgie réfractive</w:t>
            </w:r>
          </w:p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2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2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4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22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4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NC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NC</w:t>
            </w:r>
          </w:p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789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72" w:after="0"/>
              <w:ind w:left="0" w:right="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32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3156"/>
            <w:gridSpan w:val="4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156"/>
            <w:gridSpan w:val="4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50 €</w:t>
            </w:r>
          </w:p>
        </w:tc>
        <w:tc>
          <w:tcPr>
            <w:tcW w:type="dxa" w:w="1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75 €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1578"/>
            <w:gridSpan w:val="2"/>
            <w:vMerge/>
            <w:tcBorders/>
          </w:tcPr>
          <w:p/>
        </w:tc>
        <w:tc>
          <w:tcPr>
            <w:tcW w:type="dxa" w:w="1578"/>
            <w:gridSpan w:val="2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156"/>
            <w:gridSpan w:val="4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3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Selon dépense engagée</w:t>
            </w:r>
          </w:p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3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Selon dépense engagée</w:t>
            </w:r>
          </w:p>
        </w:tc>
        <w:tc>
          <w:tcPr>
            <w:tcW w:type="dxa" w:w="7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98" w:right="842" w:bottom="582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749300</wp:posOffset>
            </wp:positionV>
            <wp:extent cx="6591300" cy="1485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2971800</wp:posOffset>
            </wp:positionV>
            <wp:extent cx="6540500" cy="14859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4813300</wp:posOffset>
            </wp:positionV>
            <wp:extent cx="6527800" cy="147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6667500</wp:posOffset>
            </wp:positionV>
            <wp:extent cx="6540500" cy="147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8547100</wp:posOffset>
            </wp:positionV>
            <wp:extent cx="6527800" cy="14859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54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hRule="exact" w:val="23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72" w:after="0"/>
              <w:ind w:left="34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PAR OREILLE (100% SANTÉ)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3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1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PAR OREILLE (HORS 100% SANTÉ)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180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 patient de plus de 20 ans 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 patient de plus de 20 ans 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A17EA8"/>
                <w:sz w:val="14"/>
              </w:rPr>
              <w:t>Équipements 100% santé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Équipements (hors 100% santé)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4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3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950 €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1 476 €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240 €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710 €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160 €</w:t>
            </w:r>
          </w:p>
        </w:tc>
        <w:tc>
          <w:tcPr>
            <w:tcW w:type="dxa" w:w="2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2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240 €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3176"/>
            <w:gridSpan w:val="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2382"/>
            <w:gridSpan w:val="3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1 076 €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996 €</w:t>
            </w:r>
          </w:p>
        </w:tc>
        <w:tc>
          <w:tcPr>
            <w:tcW w:type="dxa" w:w="7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0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318" w:lineRule="exact" w:before="292" w:after="266"/>
        <w:ind w:left="8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pgSz w:w="11906" w:h="16838"/>
          <w:pgMar w:top="376" w:right="824" w:bottom="320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824" w:bottom="320" w:left="762" w:header="720" w:footer="720" w:gutter="0"/>
          <w:cols w:num="2" w:equalWidth="0">
            <w:col w:w="6030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2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76" w:right="824" w:bottom="320" w:left="762" w:header="720" w:footer="720" w:gutter="0"/>
          <w:cols w:num="2" w:equalWidth="0">
            <w:col w:w="6030" w:space="0"/>
            <w:col w:w="42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hRule="exact" w:val="27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2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30 €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5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9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20"/>
        </w:trPr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35 €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24,50 €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10,50 €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1474"/>
            <w:gridSpan w:val="2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5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  <w:tc>
          <w:tcPr>
            <w:tcW w:type="dxa" w:w="737"/>
            <w:vMerge/>
            <w:tcBorders/>
          </w:tcPr>
          <w:p/>
        </w:tc>
        <w:tc>
          <w:tcPr>
            <w:tcW w:type="dxa" w:w="7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2"/>
        <w:ind w:left="0" w:right="0"/>
      </w:pPr>
    </w:p>
    <w:p>
      <w:pPr>
        <w:sectPr>
          <w:type w:val="continuous"/>
          <w:pgSz w:w="11906" w:h="16838"/>
          <w:pgMar w:top="376" w:right="824" w:bottom="320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45" w:lineRule="auto" w:before="242" w:after="0"/>
        <w:ind w:left="1872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824" w:bottom="320" w:left="762" w:header="720" w:footer="720" w:gutter="0"/>
          <w:cols w:num="2" w:equalWidth="0">
            <w:col w:w="6080" w:space="0"/>
            <w:col w:w="424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245" w:lineRule="auto" w:before="216" w:after="64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376" w:right="824" w:bottom="320" w:left="762" w:header="720" w:footer="720" w:gutter="0"/>
          <w:cols w:num="2" w:equalWidth="0">
            <w:col w:w="6080" w:space="0"/>
            <w:col w:w="4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hRule="exact" w:val="269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0" w:after="0"/>
              <w:ind w:left="3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19"/>
        </w:trPr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37 €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23,90 €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4" w:after="0"/>
              <w:ind w:left="0" w:right="12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10,50 €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17,50€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24,50 €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5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25,50 €</w:t>
            </w:r>
          </w:p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19,25 €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1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24,50 €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588"/>
            <w:gridSpan w:val="2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794"/>
            <w:vMerge/>
            <w:tcBorders/>
          </w:tcPr>
          <w:p/>
        </w:tc>
        <w:tc>
          <w:tcPr>
            <w:tcW w:type="dxa" w:w="79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2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15 €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8 €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6,25 €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31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0" w:after="0"/>
              <w:ind w:left="0" w:right="13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0€</w:t>
            </w:r>
          </w:p>
        </w:tc>
        <w:tc>
          <w:tcPr>
            <w:tcW w:type="dxa" w:w="7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type w:val="continuous"/>
          <w:pgSz w:w="11906" w:h="16838"/>
          <w:pgMar w:top="376" w:right="824" w:bottom="320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45" w:lineRule="auto" w:before="254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76" w:right="824" w:bottom="320" w:left="762" w:header="720" w:footer="720" w:gutter="0"/>
          <w:cols w:num="2" w:equalWidth="0">
            <w:col w:w="6074" w:space="0"/>
            <w:col w:w="4246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245" w:lineRule="auto" w:before="246" w:after="6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376" w:right="824" w:bottom="320" w:left="762" w:header="720" w:footer="720" w:gutter="0"/>
          <w:cols w:num="2" w:equalWidth="0">
            <w:col w:w="6074" w:space="0"/>
            <w:col w:w="424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>
        <w:trPr>
          <w:trHeight w:hRule="exact" w:val="26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96" w:after="0"/>
              <w:ind w:left="3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2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28,10 €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6,90 €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55 €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9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08"/>
        </w:trPr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54 €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64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70" w:after="0"/>
              <w:ind w:left="0" w:right="1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18,50 €</w:t>
            </w:r>
          </w:p>
        </w:tc>
        <w:tc>
          <w:tcPr>
            <w:tcW w:type="dxa" w:w="1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23,90 €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16,10 €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8" w:after="0"/>
              <w:ind w:left="28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8,05 €</w:t>
            </w:r>
          </w:p>
        </w:tc>
        <w:tc>
          <w:tcPr>
            <w:tcW w:type="dxa" w:w="645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290"/>
            <w:gridSpan w:val="2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290"/>
            <w:gridSpan w:val="2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20,35 €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25,90 €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290"/>
            <w:gridSpan w:val="2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9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290"/>
            <w:gridSpan w:val="2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19 €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11,60 €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9,75€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4,20 €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2 €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32 €</w:t>
            </w:r>
          </w:p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645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2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30,85 €</w:t>
            </w:r>
          </w:p>
        </w:tc>
        <w:tc>
          <w:tcPr>
            <w:tcW w:type="dxa" w:w="6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46"/>
        <w:ind w:left="0" w:right="0"/>
      </w:pPr>
    </w:p>
    <w:p>
      <w:pPr>
        <w:sectPr>
          <w:type w:val="continuous"/>
          <w:pgSz w:w="11906" w:h="16838"/>
          <w:pgMar w:top="376" w:right="824" w:bottom="320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45" w:lineRule="auto" w:before="258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376" w:right="824" w:bottom="320" w:left="762" w:header="720" w:footer="720" w:gutter="0"/>
          <w:cols w:num="2" w:equalWidth="0">
            <w:col w:w="6145" w:space="0"/>
            <w:col w:w="417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250" w:lineRule="auto" w:before="346" w:after="150"/>
        <w:ind w:left="576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376" w:right="824" w:bottom="320" w:left="762" w:header="720" w:footer="720" w:gutter="0"/>
          <w:cols w:num="2" w:equalWidth="0">
            <w:col w:w="6145" w:space="0"/>
            <w:col w:w="41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26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4" w:after="0"/>
              <w:ind w:left="4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6,90 €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3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57 €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2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T1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T6</w:t>
            </w:r>
          </w:p>
        </w:tc>
      </w:tr>
      <w:tr>
        <w:trPr>
          <w:trHeight w:hRule="exact" w:val="230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25,80 €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14,10 €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2" w:after="0"/>
              <w:ind w:left="2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8,05 €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14,64 €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4" w:after="0"/>
              <w:ind w:left="0" w:right="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11,16 €</w:t>
            </w:r>
          </w:p>
        </w:tc>
      </w:tr>
      <w:tr>
        <w:trPr>
          <w:trHeight w:hRule="exact" w:val="38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8" w:after="0"/>
              <w:ind w:left="2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3"/>
              </w:rPr>
              <w:t>9,76 €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Tonik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376"/>
            <w:gridSpan w:val="2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36 €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5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34,85 €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2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1,40 €</w:t>
            </w:r>
          </w:p>
        </w:tc>
        <w:tc>
          <w:tcPr>
            <w:tcW w:type="dxa" w:w="688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0" w:right="1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3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1906" w:h="16838"/>
          <w:pgMar w:top="376" w:right="824" w:bottom="320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continuous"/>
          <w:pgSz w:w="11906" w:h="16838"/>
          <w:pgMar w:top="376" w:right="824" w:bottom="320" w:left="762" w:header="720" w:footer="720" w:gutter="0"/>
          <w:cols w:num="2" w:equalWidth="0">
            <w:col w:w="6095" w:space="0"/>
            <w:col w:w="4224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nextColumn"/>
          <w:pgSz w:w="11906" w:h="16838"/>
          <w:pgMar w:top="376" w:right="824" w:bottom="320" w:left="762" w:header="720" w:footer="720" w:gutter="0"/>
          <w:cols w:num="2" w:equalWidth="0">
            <w:col w:w="6095" w:space="0"/>
            <w:col w:w="42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3632200</wp:posOffset>
            </wp:positionV>
            <wp:extent cx="6591300" cy="6921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92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6164580</wp:posOffset>
            </wp:positionH>
            <wp:positionV relativeFrom="page">
              <wp:posOffset>579120</wp:posOffset>
            </wp:positionV>
            <wp:extent cx="770890" cy="1346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34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381000</wp:posOffset>
            </wp:positionV>
            <wp:extent cx="6604000" cy="18415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84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0" w:lineRule="exact" w:before="126" w:after="0"/>
        <w:ind w:left="178" w:right="576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26"/>
        </w:rPr>
        <w:t>ASSURANCE COMPLÉMENTAIRE SANTÉ</w:t>
      </w:r>
      <w:r>
        <w:br/>
      </w:r>
      <w:r>
        <w:rPr>
          <w:rFonts w:ascii="Montserrat" w:hAnsi="Montserrat" w:eastAsia="Montserrat"/>
          <w:b/>
          <w:i w:val="0"/>
          <w:color w:val="FFFFFF"/>
          <w:sz w:val="16"/>
        </w:rPr>
        <w:t xml:space="preserve">Document d’information sur le produit d’assurance </w:t>
      </w:r>
    </w:p>
    <w:p>
      <w:pPr>
        <w:autoSpaceDN w:val="0"/>
        <w:autoSpaceDE w:val="0"/>
        <w:widowControl/>
        <w:spacing w:line="245" w:lineRule="auto" w:before="314" w:after="0"/>
        <w:ind w:left="144" w:right="144" w:firstLine="0"/>
        <w:jc w:val="center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Produit co-conçu et 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GROUPE SANTIANE HOLDING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− 30/32 Boulevard de Vaugirard - 75015 PARIS − SAS au capital de 511 539 € –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RCS Paris 812 962 330 – Intermédiaire en assurances − Immatriculée à l’Orias N°19 004 119 (www.orias.fr) et co-distribué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NÉOLIANE SANTÉ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− 143 Boulevard René Cassin - Immeuble Nouvel’R - Bat C - CS 63278 - 06205 NICE CEDEX 3 − SAS au capital de 2 000 000 € − RCS Nice B 510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204 274 − Intermédiaire en assurances − Immatriculée à l’Orias sous le N° 09 050 488. Produit co-conçu et assuré par </w:t>
      </w:r>
      <w:r>
        <w:rPr>
          <w:rFonts w:ascii="Montserrat" w:hAnsi="Montserrat" w:eastAsia="Montserrat"/>
          <w:b/>
          <w:i w:val="0"/>
          <w:color w:val="FFFFFF"/>
          <w:sz w:val="14"/>
        </w:rPr>
        <w:t>PREPAR IARD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 − Immeuble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Le Village - Quartier Valmy - 33 Place Ronde - CS 20243 - 92981 Paris La Défense cedex − SA au capital de 800 000€ − RCS Nanterre 343 158 </w:t>
      </w:r>
      <w:r>
        <w:rPr>
          <w:rFonts w:ascii="Montserrat" w:hAnsi="Montserrat" w:eastAsia="Montserrat"/>
          <w:b w:val="0"/>
          <w:i w:val="0"/>
          <w:color w:val="FFFFFF"/>
          <w:sz w:val="14"/>
        </w:rPr>
        <w:t xml:space="preserve">036 − Entreprise régie par le Code des assurances − N° LEI : 9695008UHMH3007T1B62 − Entité du Groupe BPCE − N° d’identifiant unique ADEME : </w:t>
      </w:r>
    </w:p>
    <w:p>
      <w:pPr>
        <w:autoSpaceDN w:val="0"/>
        <w:autoSpaceDE w:val="0"/>
        <w:widowControl/>
        <w:spacing w:line="257" w:lineRule="auto" w:before="10" w:after="0"/>
        <w:ind w:left="178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14"/>
        </w:rPr>
        <w:t>FR232581_03FWUB.</w:t>
      </w:r>
    </w:p>
    <w:p>
      <w:pPr>
        <w:autoSpaceDN w:val="0"/>
        <w:autoSpaceDE w:val="0"/>
        <w:widowControl/>
        <w:spacing w:line="235" w:lineRule="auto" w:before="356" w:after="0"/>
        <w:ind w:left="17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6"/>
        </w:rPr>
        <w:t>Produit : NÉOLIANE TONIK</w:t>
      </w:r>
    </w:p>
    <w:p>
      <w:pPr>
        <w:autoSpaceDN w:val="0"/>
        <w:autoSpaceDE w:val="0"/>
        <w:widowControl/>
        <w:spacing w:line="245" w:lineRule="auto" w:before="3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TONIK sont fournies au client dans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d’autres documents et, notamment, dans le tableau de garanties qui détaille le niveau des remboursements.</w:t>
      </w:r>
    </w:p>
    <w:p>
      <w:pPr>
        <w:autoSpaceDN w:val="0"/>
        <w:autoSpaceDE w:val="0"/>
        <w:widowControl/>
        <w:spacing w:line="252" w:lineRule="exact" w:before="150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57" w:lineRule="auto" w:before="8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TONIK est un produit d’Assurance Complémentaire Santé. </w:t>
      </w: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une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ayants-droit, après l’intervention du Régime Obligatoire d’Assurance Maladie et, dans certains cas, des frais non remboursés par ce dernier. Le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produit NÉOLIANE TONIK est « responsable » car il respecte les obligations et interdictions de prise en charge fixées par la législation. Il est également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solidaire » car il ne prévoit pas de questionnaire d’état de santé et son tarif ne dépend pas de l’état de santé de l’assuré. </w:t>
      </w:r>
    </w:p>
    <w:p>
      <w:pPr>
        <w:autoSpaceDN w:val="0"/>
        <w:autoSpaceDE w:val="0"/>
        <w:widowControl/>
        <w:spacing w:line="245" w:lineRule="auto" w:before="0" w:after="37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TONIK est conforme au dispositif « 100% Santé »  qui permet à l’Adhérent de bénéficier d’un zéro reste à charge sur les paniers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optique, dentaire et aides auditives.</w:t>
      </w:r>
    </w:p>
    <w:p>
      <w:pPr>
        <w:sectPr>
          <w:pgSz w:w="11906" w:h="16838"/>
          <w:pgMar w:top="358" w:right="704" w:bottom="368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84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92" w:after="0"/>
        <w:ind w:left="212" w:right="220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soumis à des plafonds qui varient en fonction de la formule et par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conséquent une somme peut rester à votre charge. Les plafonds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figurent au tableau des garanties ci-joint.</w:t>
      </w:r>
    </w:p>
    <w:p>
      <w:pPr>
        <w:autoSpaceDN w:val="0"/>
        <w:autoSpaceDE w:val="0"/>
        <w:widowControl/>
        <w:spacing w:line="245" w:lineRule="auto" w:before="178" w:after="0"/>
        <w:ind w:left="398" w:right="288" w:hanging="186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Frais de séjour, Forfait journalier hospitalier,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Honoraires, Frais de transport, Forfait patient urgences (FPU) ; </w:t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Soins dentaires, Inlays-onlays, Parodontologie,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dentaires, Implantologie et Orthodontie remboursés par le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Régime Obligatoire, Plafond dentaire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- Panier 100% Santé,  Monture et verres (équipement de la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Classe B), Lentilles acceptées par le Régime Obligatoire ; </w:t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Honoraires médicaux,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paramédicaux,   Analyses et examens de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laboratoire, 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Équipements 100% Santé - (Classe I - Panier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Prévention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Médecines complémentaires (ostéopathe,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homéopathe, acupuncteur, naturopathe, étiopathe,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diététicien, chiropracteur, micro-kinésithérapeute, pédicure/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podologue, réflexologue, sophrologue, luminothérapeute,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hypnothérapeute, tabacologue, mésothérapeute,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psychomotricien, psychologue, ergothérapeute, sexologue),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cure thermale. </w:t>
      </w:r>
    </w:p>
    <w:p>
      <w:pPr>
        <w:autoSpaceDN w:val="0"/>
        <w:tabs>
          <w:tab w:pos="396" w:val="left"/>
        </w:tabs>
        <w:autoSpaceDE w:val="0"/>
        <w:widowControl/>
        <w:spacing w:line="245" w:lineRule="auto" w:before="180" w:after="0"/>
        <w:ind w:left="212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, via le réseau Viamedis (dispense d’avance de frais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chez de nombreux professionnels de santé). </w:t>
      </w:r>
    </w:p>
    <w:p>
      <w:pPr>
        <w:autoSpaceDN w:val="0"/>
        <w:tabs>
          <w:tab w:pos="396" w:val="left"/>
        </w:tabs>
        <w:autoSpaceDE w:val="0"/>
        <w:widowControl/>
        <w:spacing w:line="245" w:lineRule="auto" w:before="180" w:after="0"/>
        <w:ind w:left="212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d’immobilisation, d’hospitalisation, de chimio/radiothérapie,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perte d’autonomie ou de décès. </w:t>
      </w:r>
    </w:p>
    <w:p>
      <w:pPr>
        <w:autoSpaceDN w:val="0"/>
        <w:tabs>
          <w:tab w:pos="1150" w:val="left"/>
          <w:tab w:pos="4084" w:val="left"/>
        </w:tabs>
        <w:autoSpaceDE w:val="0"/>
        <w:widowControl/>
        <w:spacing w:line="245" w:lineRule="auto" w:before="900" w:after="0"/>
        <w:ind w:left="922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358" w:right="704" w:bottom="368" w:left="762" w:header="720" w:footer="720" w:gutter="0"/>
          <w:cols w:num="2" w:equalWidth="0">
            <w:col w:w="5260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90" w:val="left"/>
        </w:tabs>
        <w:autoSpaceDE w:val="0"/>
        <w:widowControl/>
        <w:spacing w:line="245" w:lineRule="auto" w:before="234" w:after="0"/>
        <w:ind w:left="408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;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indemnités versées en complément de la sécurité sociale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cas d’arrêt de travail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esthétique, les soins effectués à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fins esthétiques, les cures de toutes natures (sauf celles prises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charge dans le cadre de la garantie « Cure thermale »),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thalassothérapie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similaires.</w:t>
      </w:r>
    </w:p>
    <w:p>
      <w:pPr>
        <w:autoSpaceDN w:val="0"/>
        <w:autoSpaceDE w:val="0"/>
        <w:widowControl/>
        <w:spacing w:line="168" w:lineRule="exact" w:before="0" w:after="0"/>
        <w:ind w:left="0" w:right="1600" w:firstLine="0"/>
        <w:jc w:val="right"/>
      </w:pPr>
      <w:r>
        <w:rPr>
          <w:rFonts w:ascii="HelveticaNeueLTStd" w:hAnsi="HelveticaNeueLTStd" w:eastAsia="HelveticaNeueLTStd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52" w:lineRule="exact" w:before="452" w:after="0"/>
        <w:ind w:left="85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2" w:lineRule="exact" w:before="12" w:after="0"/>
        <w:ind w:left="85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36" w:val="left"/>
        </w:tabs>
        <w:autoSpaceDE w:val="0"/>
        <w:widowControl/>
        <w:spacing w:line="245" w:lineRule="auto" w:before="156" w:after="0"/>
        <w:ind w:left="22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participation forfaitaire de 2€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médicaments, actes paramédicaux et transport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d’honoraires si les dépenses de santé sont réalisées en dehors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du parcours de soins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 xml:space="preserve">!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réglementairement pour les médecins n’adhérant pas à un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dispositif de pratique tarifaire maîtrisée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 xml:space="preserve">!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Ne sont pas pris en charge les séjours en gérontologie, en Instituts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Médico Pédagogiques, en unités de soins longs séjours (USLD),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établissements d’hébergement pour personnes âgées. </w:t>
      </w:r>
    </w:p>
    <w:p>
      <w:pPr>
        <w:autoSpaceDN w:val="0"/>
        <w:tabs>
          <w:tab w:pos="298" w:val="left"/>
        </w:tabs>
        <w:autoSpaceDE w:val="0"/>
        <w:widowControl/>
        <w:spacing w:line="245" w:lineRule="auto" w:before="300" w:after="0"/>
        <w:ind w:left="222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PRINCIPALES RESTRICTIONS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frais de séjour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Non couverts au-delà d’une durée maximum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10 jours par an et par assuré pour les établissements et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services de psychiatrie, neuropsychiatrie et assimilés, et de 90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jours par an et par Assuré en rééducation fonctionnelle et soins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de suite et de réadaptation (SSR).</w:t>
      </w:r>
    </w:p>
    <w:p>
      <w:pPr>
        <w:autoSpaceDN w:val="0"/>
        <w:tabs>
          <w:tab w:pos="296" w:val="left"/>
          <w:tab w:pos="336" w:val="left"/>
        </w:tabs>
        <w:autoSpaceDE w:val="0"/>
        <w:widowControl/>
        <w:spacing w:line="245" w:lineRule="auto" w:before="0" w:after="0"/>
        <w:ind w:left="222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Chambre particulière, Confort Hospi et Frais accompagnant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Non couverts au-delà d’une durée maximum de 10 jours par an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par assuré pour les établissements et services de psychiatrie,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neuropsychiatrie et assimilés, et de 30 jours par an et par Assuré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rééducation fonctionnelle et soins de suite et de réadaptation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(SSR) publics ou privés conventionnés (maisons de rééducation,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repos ou de convalescence), sous réserve de prise en charge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l’Assurance Maladie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Chambre particulière, Confort Hospi et Frais accompagnant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Prise en charge dans la limite de 90 jours par an et par bénéficiaire; </w:t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 optique est tous les deux ans pour les plus de 16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ans, tous les ans chez les moins de 16 ans, tous les 6 mois de la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naissance aux 6 ans, avec possibilité de renouvellement anticipé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en cas d’évolution de la vue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5"/>
        </w:rPr>
        <w:t>!</w:t>
      </w:r>
      <w:r>
        <w:rPr>
          <w:rFonts w:ascii="Montserrat" w:hAnsi="Montserrat" w:eastAsia="Montserrat"/>
          <w:b/>
          <w:i w:val="0"/>
          <w:color w:val="575756"/>
          <w:sz w:val="15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Renouvellement tous les 4 ans suivant la date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d’acquisition.</w:t>
      </w:r>
    </w:p>
    <w:p>
      <w:pPr>
        <w:autoSpaceDN w:val="0"/>
        <w:autoSpaceDE w:val="0"/>
        <w:widowControl/>
        <w:spacing w:line="235" w:lineRule="auto" w:before="298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Cette liste n’est pas exhaustive.</w:t>
      </w:r>
    </w:p>
    <w:p>
      <w:pPr>
        <w:sectPr>
          <w:type w:val="nextColumn"/>
          <w:pgSz w:w="11906" w:h="16838"/>
          <w:pgMar w:top="358" w:right="704" w:bottom="368" w:left="762" w:header="720" w:footer="720" w:gutter="0"/>
          <w:cols w:num="2" w:equalWidth="0">
            <w:col w:w="5260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08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en Guadeloupe,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Guyane, La Réunion et en Martinique, pour des frais engagés sur ces mêmes zones géographiques.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Elles s’étendent aux accidents survenus et Maladies contractées à l’étranger lors de voyages ou de séjours de moins de trois mois, si le Régime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84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 garantie, de perte du droit à garantie ou de résiliation du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57" w:lineRule="auto" w:before="15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l’adhésion au Contrat groupe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59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Résider en France métropolitaine, Martinique, Guyane, La Réunion ou Guadeloupe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18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6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En cours de vie du contrat : ces changements peuvent dans certains cas entrainer la modification du contrat et de la cotisation.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</w:p>
          <w:p>
            <w:pPr>
              <w:autoSpaceDN w:val="0"/>
              <w:autoSpaceDE w:val="0"/>
              <w:widowControl/>
              <w:spacing w:line="168" w:lineRule="exact" w:before="166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Pour le versement de la prestation :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Transmettre dans les délais prévus les documents justificatifs nécessaires au paiement des prestations prévues au contrat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Faire parvenir les demandes de remboursements à l’assureur dans un délai maximum de deux (2) ans suivant la date de la prestation. 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0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57" w:lineRule="auto" w:before="1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peut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1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2.00000000000003" w:type="dxa"/>
            </w:tblPr>
            <w:tblGrid>
              <w:gridCol w:w="5177"/>
              <w:gridCol w:w="5177"/>
            </w:tblGrid>
            <w:tr>
              <w:trPr>
                <w:trHeight w:hRule="exact" w:val="554"/>
              </w:trPr>
              <w:tc>
                <w:tcPr>
                  <w:tcW w:type="dxa" w:w="550"/>
                  <w:tcBorders/>
                  <w:shd w:fill="2caae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5600" cy="355600"/>
                        <wp:docPr id="37" name="Picture 3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600" cy="355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44" w:after="0"/>
                    <w:ind w:left="90" w:right="0" w:firstLine="0"/>
                    <w:jc w:val="left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4B71B1"/>
                      <w:sz w:val="22"/>
                    </w:rPr>
                    <w:t xml:space="preserve">QUAND COMMENCE LA COUVERTURE ET QUAND PREND-ELLE FIN ?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5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première cotisation. L’adhésion est conclue pour une durée initiale d’un (1) an. Elle se renouvelle tacitement chaque année à sa date anniversaire,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sauf en cas de résiliation.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2" w:after="0"/>
              <w:ind w:left="160" w:right="201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date de résiliation quelqu’en soit le motif, quelle qu’en soit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déménagement en dehors de la France métropolitaine, Guadeloupe, Guyane, La Réunion ou Martinique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 ;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00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 ? </w:t>
            </w:r>
          </w:p>
          <w:p>
            <w:pPr>
              <w:autoSpaceDN w:val="0"/>
              <w:autoSpaceDE w:val="0"/>
              <w:widowControl/>
              <w:spacing w:line="245" w:lineRule="auto" w:before="14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l’échéance anniversaire puis à chaque échéance annuelle moyennant un préavis de deux (2) mois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jusqu’à trente (30) jours après la date d’envoi de son échéancier. La résiliation prend effet la veille de l’échéance annuelle à 24 heures (article L.113-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12 du Code des assurances).</w:t>
            </w:r>
          </w:p>
          <w:p>
            <w:pPr>
              <w:autoSpaceDN w:val="0"/>
              <w:autoSpaceDE w:val="0"/>
              <w:widowControl/>
              <w:spacing w:line="168" w:lineRule="exact" w:before="14" w:after="0"/>
              <w:ind w:left="160" w:right="86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tout autre support durable, par acte extra judiciaire ou par déclaration au siège social à :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Néoliane Santé – Service Résiliation – 143 Boulevard René Cassin – Immeuble Nouvel’R - Bat C – CS 63278 - 06205 NICE CEDEX 3 ;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www.neoliane.fr/service-client,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7" w:lineRule="auto" w:before="15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résiliation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prend alors effet un (1) mois après réception de la notification de résiliation par l’Assureur.</w:t>
            </w:r>
          </w:p>
          <w:p>
            <w:pPr>
              <w:autoSpaceDN w:val="0"/>
              <w:autoSpaceDE w:val="0"/>
              <w:widowControl/>
              <w:spacing w:line="247" w:lineRule="auto" w:before="0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(1)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46" w:right="736" w:bottom="532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