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495300</wp:posOffset>
            </wp:positionH>
            <wp:positionV relativeFrom="page">
              <wp:posOffset>3632200</wp:posOffset>
            </wp:positionV>
            <wp:extent cx="6591300" cy="69215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6921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6164580</wp:posOffset>
            </wp:positionH>
            <wp:positionV relativeFrom="page">
              <wp:posOffset>579120</wp:posOffset>
            </wp:positionV>
            <wp:extent cx="770890" cy="140162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0890" cy="14016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381000</wp:posOffset>
            </wp:positionV>
            <wp:extent cx="6604000" cy="18415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841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70" w:lineRule="exact" w:before="126" w:after="0"/>
        <w:ind w:left="178" w:right="5760" w:firstLine="0"/>
        <w:jc w:val="left"/>
      </w:pPr>
      <w:r>
        <w:rPr>
          <w:rFonts w:ascii="BrandingSF" w:hAnsi="BrandingSF" w:eastAsia="BrandingSF"/>
          <w:b/>
          <w:i w:val="0"/>
          <w:color w:val="FFFFFF"/>
          <w:sz w:val="26"/>
        </w:rPr>
        <w:t>ASSURANCE COMPLÉMENTAIRE SANTÉ</w:t>
      </w:r>
      <w:r>
        <w:br/>
      </w:r>
      <w:r>
        <w:rPr>
          <w:rFonts w:ascii="Montserrat" w:hAnsi="Montserrat" w:eastAsia="Montserrat"/>
          <w:b/>
          <w:i w:val="0"/>
          <w:color w:val="FFFFFF"/>
          <w:sz w:val="16"/>
        </w:rPr>
        <w:t xml:space="preserve">Document d’information sur le produit d’assurance </w:t>
      </w:r>
    </w:p>
    <w:p>
      <w:pPr>
        <w:autoSpaceDN w:val="0"/>
        <w:autoSpaceDE w:val="0"/>
        <w:widowControl/>
        <w:spacing w:line="245" w:lineRule="auto" w:before="314" w:after="0"/>
        <w:ind w:left="144" w:right="144" w:firstLine="0"/>
        <w:jc w:val="center"/>
      </w:pPr>
      <w:r>
        <w:rPr>
          <w:rFonts w:ascii="Montserrat" w:hAnsi="Montserrat" w:eastAsia="Montserrat"/>
          <w:b w:val="0"/>
          <w:i w:val="0"/>
          <w:color w:val="FFFFFF"/>
          <w:sz w:val="14"/>
        </w:rPr>
        <w:t xml:space="preserve">Produit co-conçu et distribué par </w:t>
      </w:r>
      <w:r>
        <w:rPr>
          <w:rFonts w:ascii="Montserrat" w:hAnsi="Montserrat" w:eastAsia="Montserrat"/>
          <w:b/>
          <w:i w:val="0"/>
          <w:color w:val="FFFFFF"/>
          <w:sz w:val="14"/>
        </w:rPr>
        <w:t>GROUPE SANTIANE HOLDING</w:t>
      </w:r>
      <w:r>
        <w:rPr>
          <w:rFonts w:ascii="Montserrat" w:hAnsi="Montserrat" w:eastAsia="Montserrat"/>
          <w:b w:val="0"/>
          <w:i w:val="0"/>
          <w:color w:val="FFFFFF"/>
          <w:sz w:val="14"/>
        </w:rPr>
        <w:t xml:space="preserve"> − 30/32 Boulevard de Vaugirard - 75015 PARIS − SAS au capital de 511 539 € – </w:t>
      </w:r>
      <w:r>
        <w:rPr>
          <w:rFonts w:ascii="Montserrat" w:hAnsi="Montserrat" w:eastAsia="Montserrat"/>
          <w:b w:val="0"/>
          <w:i w:val="0"/>
          <w:color w:val="FFFFFF"/>
          <w:sz w:val="14"/>
        </w:rPr>
        <w:t xml:space="preserve">RCS Paris 812 962 330 – Intermédiaire en assurances − Immatriculée à l’Orias N°19 004 119 (www.orias.fr) et co-distribué par </w:t>
      </w:r>
      <w:r>
        <w:rPr>
          <w:rFonts w:ascii="Montserrat" w:hAnsi="Montserrat" w:eastAsia="Montserrat"/>
          <w:b/>
          <w:i w:val="0"/>
          <w:color w:val="FFFFFF"/>
          <w:sz w:val="14"/>
        </w:rPr>
        <w:t>NÉOLIANE SANTÉ</w:t>
      </w:r>
      <w:r>
        <w:rPr>
          <w:rFonts w:ascii="Montserrat" w:hAnsi="Montserrat" w:eastAsia="Montserrat"/>
          <w:b w:val="0"/>
          <w:i w:val="0"/>
          <w:color w:val="FFFFFF"/>
          <w:sz w:val="14"/>
        </w:rPr>
        <w:t xml:space="preserve">− 143 Boulevard René Cassin - Immeuble Nouvel’R - Bat C - CS 63278 - 06205 NICE CEDEX 3 − SAS au capital de 2 000 000 € − RCS Nice B 510 </w:t>
      </w:r>
      <w:r>
        <w:rPr>
          <w:rFonts w:ascii="Montserrat" w:hAnsi="Montserrat" w:eastAsia="Montserrat"/>
          <w:b w:val="0"/>
          <w:i w:val="0"/>
          <w:color w:val="FFFFFF"/>
          <w:sz w:val="14"/>
        </w:rPr>
        <w:t xml:space="preserve">204 274 − Intermédiaire en assurances − Immatriculée à l’Orias sous le N° 09 050 488. Produit co-conçu et assuré par </w:t>
      </w:r>
      <w:r>
        <w:rPr>
          <w:rFonts w:ascii="Montserrat" w:hAnsi="Montserrat" w:eastAsia="Montserrat"/>
          <w:b/>
          <w:i w:val="0"/>
          <w:color w:val="FFFFFF"/>
          <w:sz w:val="14"/>
        </w:rPr>
        <w:t>PREPAR IARD</w:t>
      </w:r>
      <w:r>
        <w:rPr>
          <w:rFonts w:ascii="Montserrat" w:hAnsi="Montserrat" w:eastAsia="Montserrat"/>
          <w:b w:val="0"/>
          <w:i w:val="0"/>
          <w:color w:val="FFFFFF"/>
          <w:sz w:val="14"/>
        </w:rPr>
        <w:t xml:space="preserve"> − Immeuble </w:t>
      </w:r>
      <w:r>
        <w:rPr>
          <w:rFonts w:ascii="Montserrat" w:hAnsi="Montserrat" w:eastAsia="Montserrat"/>
          <w:b w:val="0"/>
          <w:i w:val="0"/>
          <w:color w:val="FFFFFF"/>
          <w:sz w:val="14"/>
        </w:rPr>
        <w:t xml:space="preserve">Le Village - Quartier Valmy - 33 Place Ronde - CS 20243 - 92981 Paris La Défense cedex − SA au capital de 800 000€ − RCS Nanterre 343 158 </w:t>
      </w:r>
      <w:r>
        <w:rPr>
          <w:rFonts w:ascii="Montserrat" w:hAnsi="Montserrat" w:eastAsia="Montserrat"/>
          <w:b w:val="0"/>
          <w:i w:val="0"/>
          <w:color w:val="FFFFFF"/>
          <w:sz w:val="14"/>
        </w:rPr>
        <w:t xml:space="preserve">036 − Entreprise régie par le Code des assurances − N° LEI : 9695008UHMH3007T1B62 − Entité du Groupe BPCE − N° d’identifiant unique ADEME : </w:t>
      </w:r>
    </w:p>
    <w:p>
      <w:pPr>
        <w:autoSpaceDN w:val="0"/>
        <w:autoSpaceDE w:val="0"/>
        <w:widowControl/>
        <w:spacing w:line="257" w:lineRule="auto" w:before="10" w:after="0"/>
        <w:ind w:left="178" w:right="0" w:firstLine="0"/>
        <w:jc w:val="left"/>
      </w:pPr>
      <w:r>
        <w:rPr>
          <w:rFonts w:ascii="Montserrat" w:hAnsi="Montserrat" w:eastAsia="Montserrat"/>
          <w:b w:val="0"/>
          <w:i w:val="0"/>
          <w:color w:val="FFFFFF"/>
          <w:sz w:val="14"/>
        </w:rPr>
        <w:t>FR232581_03FWUB.</w:t>
      </w:r>
    </w:p>
    <w:p>
      <w:pPr>
        <w:autoSpaceDN w:val="0"/>
        <w:autoSpaceDE w:val="0"/>
        <w:widowControl/>
        <w:spacing w:line="235" w:lineRule="auto" w:before="356" w:after="0"/>
        <w:ind w:left="178" w:right="0" w:firstLine="0"/>
        <w:jc w:val="left"/>
      </w:pPr>
      <w:r>
        <w:rPr>
          <w:rFonts w:ascii="Montserrat" w:hAnsi="Montserrat" w:eastAsia="Montserrat"/>
          <w:b/>
          <w:i w:val="0"/>
          <w:color w:val="FFFFFF"/>
          <w:sz w:val="16"/>
        </w:rPr>
        <w:t>Produit : NÉOLIANE TONIK</w:t>
      </w:r>
    </w:p>
    <w:p>
      <w:pPr>
        <w:autoSpaceDN w:val="0"/>
        <w:autoSpaceDE w:val="0"/>
        <w:widowControl/>
        <w:spacing w:line="245" w:lineRule="auto" w:before="382" w:after="0"/>
        <w:ind w:left="0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4"/>
        </w:rPr>
        <w:t xml:space="preserve">Ce document d’information présente un résumé des principales garanties et exclusions du produit. Il ne prend pas en compte vos besoins et </w:t>
      </w:r>
      <w:r>
        <w:rPr>
          <w:rFonts w:ascii="Montserrat" w:hAnsi="Montserrat" w:eastAsia="Montserrat"/>
          <w:b/>
          <w:i w:val="0"/>
          <w:color w:val="575756"/>
          <w:sz w:val="14"/>
        </w:rPr>
        <w:t xml:space="preserve">demandes spécifiques. Toutes les informations contractuelles et précontractuelles sur le produit NÉOLIANE TONIK sont fournies au client dans </w:t>
      </w:r>
    </w:p>
    <w:p>
      <w:pPr>
        <w:autoSpaceDN w:val="0"/>
        <w:autoSpaceDE w:val="0"/>
        <w:widowControl/>
        <w:spacing w:line="235" w:lineRule="auto" w:before="0" w:after="0"/>
        <w:ind w:left="0" w:right="0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4"/>
        </w:rPr>
        <w:t>d’autres documents et, notamment, dans le tableau de garanties qui détaille le niveau des remboursements.</w:t>
      </w:r>
    </w:p>
    <w:p>
      <w:pPr>
        <w:autoSpaceDN w:val="0"/>
        <w:autoSpaceDE w:val="0"/>
        <w:widowControl/>
        <w:spacing w:line="252" w:lineRule="exact" w:before="150" w:after="0"/>
        <w:ind w:left="0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>De quel type d’assurance s’agit-il ?</w:t>
      </w:r>
    </w:p>
    <w:p>
      <w:pPr>
        <w:autoSpaceDN w:val="0"/>
        <w:autoSpaceDE w:val="0"/>
        <w:widowControl/>
        <w:spacing w:line="257" w:lineRule="auto" w:before="82" w:after="0"/>
        <w:ind w:left="0" w:right="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 produit NÉOLIANE TONIK est un produit d’Assurance Complémentaire Santé. </w:t>
      </w:r>
    </w:p>
    <w:p>
      <w:pPr>
        <w:autoSpaceDN w:val="0"/>
        <w:autoSpaceDE w:val="0"/>
        <w:widowControl/>
        <w:spacing w:line="245" w:lineRule="auto" w:before="0" w:after="0"/>
        <w:ind w:left="0" w:right="22" w:firstLine="0"/>
        <w:jc w:val="both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En cas d’accident, de Maladie ou de maternité, il est destiné à rembourser tout ou une partie des frais de santé restant à la charge de l’Adhérent et des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éventuels ayants-droit, après l’intervention du Régime Obligatoire d’Assurance Maladie et, dans certains cas, des frais non remboursés par ce dernier. Le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produit NÉOLIANE TONIK est « responsable » car il respecte les obligations et interdictions de prise en charge fixées par la législation. Il est également «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solidaire » car il ne prévoit pas de questionnaire d’état de santé et son tarif ne dépend pas de l’état de santé de l’assuré. </w:t>
      </w:r>
    </w:p>
    <w:p>
      <w:pPr>
        <w:autoSpaceDN w:val="0"/>
        <w:autoSpaceDE w:val="0"/>
        <w:widowControl/>
        <w:spacing w:line="245" w:lineRule="auto" w:before="0" w:after="370"/>
        <w:ind w:left="0" w:right="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 produit NÉOLIANE TONIK est conforme au dispositif « 100% Santé »  qui permet à l’Adhérent de bénéficier d’un zéro reste à charge sur les paniers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optique, dentaire et aides auditives.</w:t>
      </w:r>
    </w:p>
    <w:p>
      <w:pPr>
        <w:sectPr>
          <w:pgSz w:w="11906" w:h="16838"/>
          <w:pgMar w:top="358" w:right="704" w:bottom="368" w:left="7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0"/>
        <w:ind w:left="846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 xml:space="preserve">QU’EST CE QUI EST ASSURÉ ? </w:t>
      </w:r>
    </w:p>
    <w:p>
      <w:pPr>
        <w:autoSpaceDN w:val="0"/>
        <w:autoSpaceDE w:val="0"/>
        <w:widowControl/>
        <w:spacing w:line="245" w:lineRule="auto" w:before="292" w:after="0"/>
        <w:ind w:left="212" w:right="220" w:firstLine="2"/>
        <w:jc w:val="both"/>
      </w:pP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Les remboursements de frais couverts par l’assurance ne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peuvent pas être plus élevés que les dépenses engagées. Ils sont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soumis à des plafonds qui varient en fonction de la formule et par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conséquent une somme peut rester à votre charge. Les plafonds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figurent au tableau des garanties ci-joint.</w:t>
      </w:r>
    </w:p>
    <w:p>
      <w:pPr>
        <w:autoSpaceDN w:val="0"/>
        <w:autoSpaceDE w:val="0"/>
        <w:widowControl/>
        <w:spacing w:line="245" w:lineRule="auto" w:before="178" w:after="0"/>
        <w:ind w:left="398" w:right="288" w:hanging="186"/>
        <w:jc w:val="left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LES GARANTIES SYSTÉMATIQUEMENT PRÉVUES :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5"/>
        </w:rPr>
        <w:t>Hospitalisation :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Frais de séjour, Forfait journalier hospitalier,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Honoraires, Frais de transport, Forfait patient urgences (FPU) ; </w:t>
      </w:r>
      <w:r>
        <w:rPr>
          <w:rFonts w:ascii="Montserrat" w:hAnsi="Montserrat" w:eastAsia="Montserrat"/>
          <w:b/>
          <w:i w:val="0"/>
          <w:color w:val="575756"/>
          <w:sz w:val="15"/>
        </w:rPr>
        <w:t>Dentaire :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Soins et prothèses 100% Santé (Panier 100% Santé),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Soins dentaires, Inlays-onlays, Parodontologie, Prothèses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dentaires, Implantologie et Orthodontie remboursés par le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Régime Obligatoire, Plafond dentaire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5"/>
        </w:rPr>
        <w:t>Optique :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Équipements verres et montures de la Classe A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- Panier 100% Santé,  Monture et verres (équipement de la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Classe B), Lentilles acceptées par le Régime Obligatoire ; </w:t>
      </w:r>
      <w:r>
        <w:rPr>
          <w:rFonts w:ascii="Montserrat" w:hAnsi="Montserrat" w:eastAsia="Montserrat"/>
          <w:b/>
          <w:i w:val="0"/>
          <w:color w:val="575756"/>
          <w:sz w:val="15"/>
        </w:rPr>
        <w:t>Soins courants :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Médicaments, Honoraires médicaux,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Honoraires paramédicaux,   Analyses et examens de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laboratoire, Matériel médical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5"/>
        </w:rPr>
        <w:t xml:space="preserve">Aides auditives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Équipements 100% Santé - (Classe I - Panier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100% Santé), Prothèses auditives de la Classe II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5"/>
        </w:rPr>
        <w:t>Prévention :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Médecines complémentaires (ostéopathe,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homéopathe, acupuncteur, naturopathe, étiopathe,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diététicien, chiropracteur, micro-kinésithérapeute, pédicure/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podologue, réflexologue, sophrologue, luminothérapeute,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hypnothérapeute, tabacologue, mésothérapeute,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psychomotricien, psychologue, ergothérapeute, sexologue),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cure thermale. </w:t>
      </w:r>
    </w:p>
    <w:p>
      <w:pPr>
        <w:autoSpaceDN w:val="0"/>
        <w:tabs>
          <w:tab w:pos="396" w:val="left"/>
        </w:tabs>
        <w:autoSpaceDE w:val="0"/>
        <w:widowControl/>
        <w:spacing w:line="245" w:lineRule="auto" w:before="180" w:after="0"/>
        <w:ind w:left="212" w:right="288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LES SERVICES SYSTÉMATIQUEMENT PRÉVUS :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5"/>
        </w:rPr>
        <w:t>Tiers Payant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, via le réseau Viamedis (dispense d’avance de frais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chez de nombreux professionnels de santé). </w:t>
      </w:r>
    </w:p>
    <w:p>
      <w:pPr>
        <w:autoSpaceDN w:val="0"/>
        <w:tabs>
          <w:tab w:pos="396" w:val="left"/>
        </w:tabs>
        <w:autoSpaceDE w:val="0"/>
        <w:widowControl/>
        <w:spacing w:line="245" w:lineRule="auto" w:before="180" w:after="0"/>
        <w:ind w:left="212" w:right="432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L’ASSISTANCE SYSTÉMATIQUEMENT PRÉVUS :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Assistance en cas d’événements traumatisants,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d’immobilisation, d’hospitalisation, de chimio/radiothérapie, de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perte d’autonomie ou de décès. </w:t>
      </w:r>
    </w:p>
    <w:p>
      <w:pPr>
        <w:autoSpaceDN w:val="0"/>
        <w:tabs>
          <w:tab w:pos="1150" w:val="left"/>
          <w:tab w:pos="4084" w:val="left"/>
        </w:tabs>
        <w:autoSpaceDE w:val="0"/>
        <w:widowControl/>
        <w:spacing w:line="245" w:lineRule="auto" w:before="900" w:after="0"/>
        <w:ind w:left="922" w:right="720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« Les garanties précédées d’une coche </w:t>
      </w:r>
      <w:r>
        <w:tab/>
      </w:r>
      <w:r>
        <w:rPr>
          <w:rFonts w:ascii="Montserrat" w:hAnsi="Montserrat" w:eastAsia="Montserrat"/>
          <w:b/>
          <w:i w:val="0"/>
          <w:color w:val="575756"/>
          <w:sz w:val="15"/>
        </w:rPr>
        <w:t xml:space="preserve"> sont </w:t>
      </w:r>
      <w:r>
        <w:rPr>
          <w:rFonts w:ascii="Montserrat" w:hAnsi="Montserrat" w:eastAsia="Montserrat"/>
          <w:b/>
          <w:i w:val="0"/>
          <w:color w:val="575756"/>
          <w:sz w:val="15"/>
        </w:rPr>
        <w:t>systématiquement prévues au contrat ».</w:t>
      </w:r>
    </w:p>
    <w:p>
      <w:pPr>
        <w:sectPr>
          <w:type w:val="continuous"/>
          <w:pgSz w:w="11906" w:h="16838"/>
          <w:pgMar w:top="358" w:right="704" w:bottom="368" w:left="762" w:header="720" w:footer="720" w:gutter="0"/>
          <w:cols w:num="2" w:equalWidth="0">
            <w:col w:w="5260" w:space="0"/>
            <w:col w:w="5180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0"/>
        <w:ind w:left="0" w:right="0" w:firstLine="0"/>
        <w:jc w:val="center"/>
      </w:pPr>
      <w:r>
        <w:rPr>
          <w:rFonts w:ascii="BrandingSF" w:hAnsi="BrandingSF" w:eastAsia="BrandingSF"/>
          <w:b/>
          <w:i w:val="0"/>
          <w:color w:val="03579E"/>
          <w:sz w:val="22"/>
        </w:rPr>
        <w:t>QU’EST-CE QUI N’EST PAS ASSURÉ ?</w:t>
      </w:r>
    </w:p>
    <w:p>
      <w:pPr>
        <w:autoSpaceDN w:val="0"/>
        <w:tabs>
          <w:tab w:pos="490" w:val="left"/>
        </w:tabs>
        <w:autoSpaceDE w:val="0"/>
        <w:widowControl/>
        <w:spacing w:line="245" w:lineRule="auto" w:before="234" w:after="0"/>
        <w:ind w:left="408" w:right="288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Les soins reçus en dehors de la période de validité du contrat ;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Les indemnités versées en complément de la sécurité sociale en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cas d’arrêt de travail ;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La chirurgie non prise en charge par la sécurité sociale, dans un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but de rajeunissement ou esthétique, les soins effectués à des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fins esthétiques, les cures de toutes natures (sauf celles prises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en charge dans le cadre de la garantie « Cure thermale »), la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thalassothérapie ;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Les cures d’amaigrissement, de sommeil, de désintoxication ou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les séjours en institut médico-pédagogique et établissements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similaires.</w:t>
      </w:r>
    </w:p>
    <w:p>
      <w:pPr>
        <w:autoSpaceDN w:val="0"/>
        <w:autoSpaceDE w:val="0"/>
        <w:widowControl/>
        <w:spacing w:line="168" w:lineRule="exact" w:before="0" w:after="0"/>
        <w:ind w:left="0" w:right="1600" w:firstLine="0"/>
        <w:jc w:val="right"/>
      </w:pPr>
      <w:r>
        <w:rPr>
          <w:rFonts w:ascii="HelveticaNeueLTStd" w:hAnsi="HelveticaNeueLTStd" w:eastAsia="HelveticaNeueLTStd"/>
          <w:b/>
          <w:i w:val="0"/>
          <w:color w:val="575756"/>
          <w:sz w:val="14"/>
        </w:rPr>
        <w:t>Cette liste n’est pas exhaustive.</w:t>
      </w:r>
    </w:p>
    <w:p>
      <w:pPr>
        <w:autoSpaceDN w:val="0"/>
        <w:autoSpaceDE w:val="0"/>
        <w:widowControl/>
        <w:spacing w:line="252" w:lineRule="exact" w:before="452" w:after="0"/>
        <w:ind w:left="858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 xml:space="preserve">Y-A-T-IL DES EXCLUSIONS À LA </w:t>
      </w:r>
    </w:p>
    <w:p>
      <w:pPr>
        <w:autoSpaceDN w:val="0"/>
        <w:autoSpaceDE w:val="0"/>
        <w:widowControl/>
        <w:spacing w:line="252" w:lineRule="exact" w:before="12" w:after="0"/>
        <w:ind w:left="858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>COUVERTURE ?</w:t>
      </w:r>
    </w:p>
    <w:p>
      <w:pPr>
        <w:autoSpaceDN w:val="0"/>
        <w:tabs>
          <w:tab w:pos="336" w:val="left"/>
        </w:tabs>
        <w:autoSpaceDE w:val="0"/>
        <w:widowControl/>
        <w:spacing w:line="245" w:lineRule="auto" w:before="156" w:after="0"/>
        <w:ind w:left="222" w:right="144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PRINCIPALES EXCLUSIONS :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5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La participation forfaitaire de 2€ et les franchises sur les boites de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médicaments, actes paramédicaux et transport ;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5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La majoration du Ticket Modérateur et les dépassements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d’honoraires si les dépenses de santé sont réalisées en dehors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du parcours de soins ;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5"/>
        </w:rPr>
        <w:t xml:space="preserve">!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Les dépassements d’honoraires au-delà de la limite fixée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réglementairement pour les médecins n’adhérant pas à un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dispositif de pratique tarifaire maîtrisée ;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5"/>
        </w:rPr>
        <w:t xml:space="preserve">!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Ne sont pas pris en charge les séjours en gérontologie, en Instituts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Médico Pédagogiques, en unités de soins longs séjours (USLD),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en établissements d’hébergement pour personnes âgées. </w:t>
      </w:r>
    </w:p>
    <w:p>
      <w:pPr>
        <w:autoSpaceDN w:val="0"/>
        <w:tabs>
          <w:tab w:pos="298" w:val="left"/>
        </w:tabs>
        <w:autoSpaceDE w:val="0"/>
        <w:widowControl/>
        <w:spacing w:line="245" w:lineRule="auto" w:before="300" w:after="0"/>
        <w:ind w:left="222" w:right="288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PRINCIPALES RESTRICTIONS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5"/>
        </w:rPr>
        <w:t>!</w:t>
      </w:r>
      <w:r>
        <w:rPr>
          <w:rFonts w:ascii="Montserrat" w:hAnsi="Montserrat" w:eastAsia="Montserrat"/>
          <w:b/>
          <w:i w:val="0"/>
          <w:color w:val="575756"/>
          <w:sz w:val="15"/>
        </w:rPr>
        <w:t xml:space="preserve">Les frais de séjour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Non couverts au-delà d’une durée maximum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de 10 jours par an et par assuré pour les établissements et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services de psychiatrie, neuropsychiatrie et assimilés, et de 90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jours par an et par Assuré en rééducation fonctionnelle et soins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de suite et de réadaptation (SSR).</w:t>
      </w:r>
    </w:p>
    <w:p>
      <w:pPr>
        <w:autoSpaceDN w:val="0"/>
        <w:tabs>
          <w:tab w:pos="296" w:val="left"/>
          <w:tab w:pos="336" w:val="left"/>
        </w:tabs>
        <w:autoSpaceDE w:val="0"/>
        <w:widowControl/>
        <w:spacing w:line="245" w:lineRule="auto" w:before="0" w:after="0"/>
        <w:ind w:left="222" w:right="288" w:firstLine="0"/>
        <w:jc w:val="left"/>
      </w:pPr>
      <w:r>
        <w:rPr>
          <w:rFonts w:ascii="Montserrat" w:hAnsi="Montserrat" w:eastAsia="Montserrat"/>
          <w:b/>
          <w:i w:val="0"/>
          <w:color w:val="EA5C2C"/>
          <w:sz w:val="15"/>
        </w:rPr>
        <w:t>!</w:t>
      </w:r>
      <w:r>
        <w:rPr>
          <w:rFonts w:ascii="Montserrat" w:hAnsi="Montserrat" w:eastAsia="Montserrat"/>
          <w:b/>
          <w:i w:val="0"/>
          <w:color w:val="575756"/>
          <w:sz w:val="15"/>
        </w:rPr>
        <w:t xml:space="preserve">Chambre particulière, Confort Hospi et Frais accompagnant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Non couverts au-delà d’une durée maximum de 10 jours par an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et par assuré pour les établissements et services de psychiatrie,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neuropsychiatrie et assimilés, et de 30 jours par an et par Assuré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en rééducation fonctionnelle et soins de suite et de réadaptation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(SSR) publics ou privés conventionnés (maisons de rééducation,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de repos ou de convalescence), sous réserve de prise en charge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de l’Assurance Maladie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5"/>
        </w:rPr>
        <w:t>!</w:t>
      </w:r>
      <w:r>
        <w:rPr>
          <w:rFonts w:ascii="Montserrat" w:hAnsi="Montserrat" w:eastAsia="Montserrat"/>
          <w:b/>
          <w:i w:val="0"/>
          <w:color w:val="575756"/>
          <w:sz w:val="15"/>
        </w:rPr>
        <w:t xml:space="preserve">Chambre particulière, Confort Hospi et Frais accompagnant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Prise en charge dans la limite de 90 jours par an et par bénéficiaire; </w:t>
      </w:r>
      <w:r>
        <w:rPr>
          <w:rFonts w:ascii="Montserrat" w:hAnsi="Montserrat" w:eastAsia="Montserrat"/>
          <w:b/>
          <w:i w:val="0"/>
          <w:color w:val="EA5C2C"/>
          <w:sz w:val="15"/>
        </w:rPr>
        <w:t>!</w:t>
      </w:r>
      <w:r>
        <w:rPr>
          <w:rFonts w:ascii="Montserrat" w:hAnsi="Montserrat" w:eastAsia="Montserrat"/>
          <w:b/>
          <w:i w:val="0"/>
          <w:color w:val="575756"/>
          <w:sz w:val="15"/>
        </w:rPr>
        <w:t>Optique :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La fréquence de remboursement pour un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équipement optique est tous les deux ans pour les plus de 16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ans, tous les ans chez les moins de 16 ans, tous les 6 mois de la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naissance aux 6 ans, avec possibilité de renouvellement anticipé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en cas d’évolution de la vue ;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5"/>
        </w:rPr>
        <w:t>!</w:t>
      </w:r>
      <w:r>
        <w:rPr>
          <w:rFonts w:ascii="Montserrat" w:hAnsi="Montserrat" w:eastAsia="Montserrat"/>
          <w:b/>
          <w:i w:val="0"/>
          <w:color w:val="575756"/>
          <w:sz w:val="15"/>
        </w:rPr>
        <w:t>Aides auditives :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Renouvellement tous les 4 ans suivant la date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d’acquisition.</w:t>
      </w:r>
    </w:p>
    <w:p>
      <w:pPr>
        <w:autoSpaceDN w:val="0"/>
        <w:autoSpaceDE w:val="0"/>
        <w:widowControl/>
        <w:spacing w:line="235" w:lineRule="auto" w:before="298" w:after="0"/>
        <w:ind w:left="0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>Cette liste n’est pas exhaustive.</w:t>
      </w:r>
    </w:p>
    <w:p>
      <w:pPr>
        <w:sectPr>
          <w:type w:val="nextColumn"/>
          <w:pgSz w:w="11906" w:h="16838"/>
          <w:pgMar w:top="358" w:right="704" w:bottom="368" w:left="762" w:header="720" w:footer="720" w:gutter="0"/>
          <w:cols w:num="2" w:equalWidth="0">
            <w:col w:w="5260" w:space="0"/>
            <w:col w:w="51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2088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240" w:lineRule="auto" w:before="148" w:after="0"/>
              <w:ind w:left="1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683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OÙ SUIS-JE COUVERT(E) ? </w:t>
            </w:r>
          </w:p>
          <w:p>
            <w:pPr>
              <w:autoSpaceDN w:val="0"/>
              <w:autoSpaceDE w:val="0"/>
              <w:widowControl/>
              <w:spacing w:line="245" w:lineRule="auto" w:before="172" w:after="0"/>
              <w:ind w:left="160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Les garanties d’assurance frais de santé ne bénéf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i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cient qu’aux seuls Assurés résidant à titre principal en France Métropolitaine, en Guadeloupe,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Guyane, La Réunion et en Martinique, pour des frais engagés sur ces mêmes zones géographiques.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60" w:right="288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Elles s’étendent aux accidents survenus et Maladies contractées à l’étranger lors de voyages ou de séjours de moins de trois mois, si le Régime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Obligatoire français d’Assurance Maladie de l’adhérent s’applique.</w:t>
            </w:r>
          </w:p>
        </w:tc>
      </w:tr>
    </w:tbl>
    <w:p>
      <w:pPr>
        <w:autoSpaceDN w:val="0"/>
        <w:autoSpaceDE w:val="0"/>
        <w:widowControl/>
        <w:spacing w:line="17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4846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240" w:lineRule="auto" w:before="144" w:after="0"/>
              <w:ind w:left="1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81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QUELLES SONT MES OBLIGATIONS ? </w:t>
            </w:r>
          </w:p>
          <w:p>
            <w:pPr>
              <w:autoSpaceDN w:val="0"/>
              <w:autoSpaceDE w:val="0"/>
              <w:widowControl/>
              <w:spacing w:line="245" w:lineRule="auto" w:before="240" w:after="0"/>
              <w:ind w:left="160" w:right="72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 xml:space="preserve">Sous peine, en fonction de l’obligation non respectée, de nullité d’adhésion garantie, de perte du droit à garantie ou de résiliation du 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 xml:space="preserve">contrat : </w:t>
            </w:r>
          </w:p>
          <w:p>
            <w:pPr>
              <w:autoSpaceDN w:val="0"/>
              <w:autoSpaceDE w:val="0"/>
              <w:widowControl/>
              <w:spacing w:line="257" w:lineRule="auto" w:before="156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À l’adhésion au Contrat groupe :</w:t>
            </w:r>
          </w:p>
          <w:p>
            <w:pPr>
              <w:autoSpaceDN w:val="0"/>
              <w:autoSpaceDE w:val="0"/>
              <w:widowControl/>
              <w:spacing w:line="168" w:lineRule="exact" w:before="168" w:after="0"/>
              <w:ind w:left="160" w:right="2592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Remplir avec exactitude et signer la demande d’adhésion ainsi que le mandat de prélèvement (SEPA)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Résider en France métropolitaine, Martinique, Guyane, La Réunion ou Guadeloupe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Être âgé(e) d’au moins 18 ans et sans limite d’âge à la date d’adhésion figurant sur la demande d’adhésion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Être adhérent(e) à l’Association Groupement pour la Prévoyance et la Santé pour Tous (GPST)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Relever du Régime Obligatoire d’Assurance Maladie français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Fournir tout document justificatif demandé par l’Assureur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Régler la cotisation indiquée au certificat d’adhésion.</w:t>
            </w:r>
          </w:p>
          <w:p>
            <w:pPr>
              <w:autoSpaceDN w:val="0"/>
              <w:tabs>
                <w:tab w:pos="264" w:val="left"/>
              </w:tabs>
              <w:autoSpaceDE w:val="0"/>
              <w:widowControl/>
              <w:spacing w:line="168" w:lineRule="exact" w:before="166" w:after="0"/>
              <w:ind w:left="160" w:right="288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>En cours de vie du contrat : ces changements peuvent dans certains cas entrainer la modification du contrat et de la cotisation.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Déclarer toute circonstance nouvelle pouvant avoir des conséquences sur l’exécution du contrat (déménagement, changement d’état civil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ou de domiciliation bancaire, souscription d’un autre contrat couvrant les mêmes risques, cessation ou changement d’affiliation au Régime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Obligatoire, changement de domicile, changement de profession ou une cessation d’activité professionnelle) ;</w:t>
            </w:r>
          </w:p>
          <w:p>
            <w:pPr>
              <w:autoSpaceDN w:val="0"/>
              <w:autoSpaceDE w:val="0"/>
              <w:widowControl/>
              <w:spacing w:line="168" w:lineRule="exact" w:before="166" w:after="0"/>
              <w:ind w:left="160" w:right="72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 xml:space="preserve">Pour le versement de la prestation : 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Transmettre dans les délais prévus les documents justificatifs nécessaires au paiement des prestations prévues au contrat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 Faire parvenir les demandes de remboursements à l’assureur dans un délai maximum de deux (2) ans suivant la date de la prestation. </w:t>
            </w:r>
          </w:p>
        </w:tc>
      </w:tr>
    </w:tbl>
    <w:p>
      <w:pPr>
        <w:autoSpaceDN w:val="0"/>
        <w:autoSpaceDE w:val="0"/>
        <w:widowControl/>
        <w:spacing w:line="1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1406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14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42900" cy="355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>QUAND ET COMMENT EFFECTUER LES PAIEMENTS ?</w:t>
            </w:r>
          </w:p>
          <w:p>
            <w:pPr>
              <w:autoSpaceDN w:val="0"/>
              <w:autoSpaceDE w:val="0"/>
              <w:widowControl/>
              <w:spacing w:line="257" w:lineRule="auto" w:before="19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Les cotisations sont payables d’avance par prélèvement automatique selon la périodicité convenue à l’adhésion. La périodicité du paiement peut </w:t>
            </w:r>
          </w:p>
          <w:p>
            <w:pPr>
              <w:autoSpaceDN w:val="0"/>
              <w:autoSpaceDE w:val="0"/>
              <w:widowControl/>
              <w:spacing w:line="257" w:lineRule="auto" w:before="0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être mensuelle, trimestrielle, semestrielle ou annuelle.</w:t>
            </w:r>
          </w:p>
        </w:tc>
      </w:tr>
    </w:tbl>
    <w:p>
      <w:pPr>
        <w:autoSpaceDN w:val="0"/>
        <w:autoSpaceDE w:val="0"/>
        <w:widowControl/>
        <w:spacing w:line="17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2916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2.00000000000003" w:type="dxa"/>
            </w:tblPr>
            <w:tblGrid>
              <w:gridCol w:w="5177"/>
              <w:gridCol w:w="5177"/>
            </w:tblGrid>
            <w:tr>
              <w:trPr>
                <w:trHeight w:hRule="exact" w:val="554"/>
              </w:trPr>
              <w:tc>
                <w:tcPr>
                  <w:tcW w:type="dxa" w:w="550"/>
                  <w:tcBorders/>
                  <w:shd w:fill="2caae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55600" cy="355600"/>
                        <wp:docPr id="7" name="Picture 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5600" cy="355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808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144" w:after="0"/>
                    <w:ind w:left="90" w:right="0" w:firstLine="0"/>
                    <w:jc w:val="left"/>
                  </w:pPr>
                  <w:r>
                    <w:rPr>
                      <w:rFonts w:ascii="BrandingSF" w:hAnsi="BrandingSF" w:eastAsia="BrandingSF"/>
                      <w:b/>
                      <w:i w:val="0"/>
                      <w:color w:val="4B71B1"/>
                      <w:sz w:val="22"/>
                    </w:rPr>
                    <w:t xml:space="preserve">QUAND COMMENCE LA COUVERTURE ET QUAND PREND-ELLE FIN ?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152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L’adhésion prend effet à la date convenue entre les parties et figurant sur le certificat d’adhésion, sous réserve du bon encaissement de la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première cotisation. L’adhésion est conclue pour une durée initiale d’un (1) an. Elle se renouvelle tacitement chaque année à sa date anniversaire,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sauf en cas de résiliation.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60" w:right="288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L’Adhérent dispose d’un délai de renonciation de 14 jours qui commence à courir soit à compter de la date de signature de son contrat, soit à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compter du jour où il a reçu les conditions contractuelles et les informations particulières si cette dernière date est postérieure.</w:t>
            </w:r>
          </w:p>
          <w:p>
            <w:pPr>
              <w:autoSpaceDN w:val="0"/>
              <w:autoSpaceDE w:val="0"/>
              <w:widowControl/>
              <w:spacing w:line="168" w:lineRule="exact" w:before="12" w:after="0"/>
              <w:ind w:left="160" w:right="2016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La couverture prend fin :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À la date de résiliation quelqu’en soit le motif, quelle qu’en soit la partie à l’origine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En cas de décès de l’Adhérent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En cas de déménagement en dehors de la France métropolitaine, Guadeloupe, Guyane, La Réunion ou Martinique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En cas de retrait total de l’agrément administratif accordé à l’Assureur. ;</w:t>
            </w:r>
          </w:p>
        </w:tc>
      </w:tr>
    </w:tbl>
    <w:p>
      <w:pPr>
        <w:autoSpaceDN w:val="0"/>
        <w:autoSpaceDE w:val="0"/>
        <w:widowControl/>
        <w:spacing w:line="17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2900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240" w:lineRule="auto" w:before="148" w:after="0"/>
              <w:ind w:left="1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81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COMMENT PUIS-JE RÉSILIER LE CONTRAT  ? </w:t>
            </w:r>
          </w:p>
          <w:p>
            <w:pPr>
              <w:autoSpaceDN w:val="0"/>
              <w:autoSpaceDE w:val="0"/>
              <w:widowControl/>
              <w:spacing w:line="245" w:lineRule="auto" w:before="148" w:after="0"/>
              <w:ind w:left="160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L’Adhérent peut résilier son adhésion à l’échéance anniversaire puis à chaque échéance annuelle moyennant un préavis de deux (2) mois ou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jusqu’à trente (30) jours après la date d’envoi de son échéancier. La résiliation prend effet la veille de l’échéance annuelle à 24 heures (article L.113-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12 du Code des assurances).</w:t>
            </w:r>
          </w:p>
          <w:p>
            <w:pPr>
              <w:autoSpaceDN w:val="0"/>
              <w:autoSpaceDE w:val="0"/>
              <w:widowControl/>
              <w:spacing w:line="168" w:lineRule="exact" w:before="14" w:after="0"/>
              <w:ind w:left="160" w:right="864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Par lettre ou tout autre support durable, par acte extra judiciaire ou par déclaration au siège social à :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 xml:space="preserve"> Néoliane Santé – Service Résiliation – 143 Boulevard René Cassin – Immeuble Nouvel’R - Bat C – CS 63278 - 06205 NICE CEDEX 3 ; 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Sur l’espace adhérent :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 xml:space="preserve"> www.neoliane.fr/service-client, rubrique « Je souhaite résilier ou me rétracter ».</w:t>
            </w:r>
          </w:p>
          <w:p>
            <w:pPr>
              <w:autoSpaceDN w:val="0"/>
              <w:autoSpaceDE w:val="0"/>
              <w:widowControl/>
              <w:spacing w:line="247" w:lineRule="auto" w:before="154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Une fois la première année d’adhésion écoulée, l’Adhérent bénéficie de la même faculté qu’il peut toutefois exercer à tout moment. La résiliation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prend alors effet un (1) mois après réception de la notification de résiliation par l’Assureur.</w:t>
            </w:r>
          </w:p>
          <w:p>
            <w:pPr>
              <w:autoSpaceDN w:val="0"/>
              <w:autoSpaceDE w:val="0"/>
              <w:widowControl/>
              <w:spacing w:line="247" w:lineRule="auto" w:before="0" w:after="0"/>
              <w:ind w:left="160" w:right="432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Enfin, en cas de désaccord suite à une modification de ses droits et obligations ou à l’augmentation de sa cotisation, l’Adhérent peut résilier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dans le délai d’un (1) mois suivant la date de réception de la lettre l’en informant.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346" w:right="736" w:bottom="532" w:left="75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