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技术要求</w:t>
      </w:r>
    </w:p>
    <w:p>
      <w:r>
        <w:t>投标文件应说明总体技术方案与实施方法。</w:t>
      </w:r>
    </w:p>
    <w:p>
      <w:pPr>
        <w:pStyle w:val="Heading2"/>
      </w:pPr>
      <w:r>
        <w:t>1.1 实施范围</w:t>
      </w:r>
    </w:p>
    <w:p>
      <w:r>
        <w:t>1.1 实施范围包括系统部署、培训和验收支持。</w:t>
      </w:r>
    </w:p>
    <w:p>
      <w:pPr>
        <w:pStyle w:val="Heading1"/>
      </w:pPr>
      <w:r>
        <w:t>2 商务要求</w:t>
      </w:r>
    </w:p>
    <w:p>
      <w:r>
        <w:t>投标报价应包含税费，并说明报价有效期。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