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rFonts w:ascii="Times New Roman" w:hAnsi="Times New Roman" w:eastAsia="宋体"/>
          <w:sz w:val="24"/>
        </w:rPr>
        <w:t>分类号：____________</w:t>
      </w:r>
    </w:p>
    <w:p>
      <w:pPr>
        <w:spacing w:before="720" w:after="0"/>
        <w:ind w:firstLine="0"/>
        <w:jc w:val="center"/>
      </w:pPr>
      <w:r>
        <w:rPr>
          <w:rFonts w:ascii="Times New Roman" w:hAnsi="Times New Roman" w:eastAsia="宋体"/>
          <w:b/>
          <w:sz w:val="44"/>
        </w:rPr>
        <w:t>安徽师范大学</w:t>
      </w:r>
    </w:p>
    <w:p>
      <w:pPr>
        <w:spacing w:before="0" w:after="560"/>
        <w:ind w:firstLine="0"/>
        <w:jc w:val="center"/>
      </w:pPr>
      <w:r>
        <w:rPr>
          <w:rFonts w:ascii="Times New Roman" w:hAnsi="Times New Roman" w:eastAsia="宋体"/>
          <w:b/>
          <w:sz w:val="44"/>
        </w:rPr>
        <w:t>硕士学位论文</w:t>
      </w:r>
    </w:p>
    <w:p>
      <w:pPr>
        <w:spacing w:before="480" w:after="80"/>
        <w:ind w:firstLine="0"/>
        <w:jc w:val="center"/>
      </w:pPr>
      <w:r>
        <w:rPr>
          <w:rFonts w:ascii="Times New Roman" w:hAnsi="Times New Roman" w:eastAsia="宋体"/>
          <w:b/>
          <w:sz w:val="44"/>
        </w:rPr>
        <w:t>智能电子实验笔记系统设计与实现</w:t>
      </w:r>
    </w:p>
    <w:p>
      <w:pPr>
        <w:spacing w:before="0" w:after="240"/>
        <w:ind w:firstLine="0"/>
        <w:jc w:val="center"/>
      </w:pPr>
      <w:r>
        <w:rPr>
          <w:rFonts w:ascii="Times New Roman" w:hAnsi="Times New Roman" w:eastAsia="宋体"/>
          <w:b/>
          <w:sz w:val="32"/>
        </w:rPr>
        <w:t>——面向科研实验记录</w:t>
      </w:r>
    </w:p>
    <w:p>
      <w:pPr>
        <w:spacing w:before="0" w:after="720"/>
        <w:ind w:firstLine="0"/>
        <w:jc w:val="center"/>
      </w:pPr>
      <w:r>
        <w:rPr>
          <w:rFonts w:ascii="Times New Roman" w:hAnsi="Times New Roman" w:eastAsia="宋体"/>
          <w:b/>
          <w:sz w:val="28"/>
        </w:rPr>
        <w:t>Design and Implementation of an Intelligent Electronic Laboratory Notebook System: Scientific Experiment Records</w:t>
      </w:r>
    </w:p>
    <w:p>
      <w:pPr>
        <w:spacing w:before="0" w:after="160"/>
        <w:ind w:firstLine="0"/>
        <w:jc w:val="center"/>
      </w:pPr>
      <w:r>
        <w:rPr>
          <w:rFonts w:ascii="Times New Roman" w:hAnsi="Times New Roman" w:eastAsia="宋体"/>
          <w:b w:val="0"/>
          <w:sz w:val="28"/>
        </w:rPr>
        <w:t>学科专业：____________________</w:t>
      </w:r>
    </w:p>
    <w:p>
      <w:pPr>
        <w:spacing w:before="0" w:after="160"/>
        <w:ind w:firstLine="0"/>
        <w:jc w:val="center"/>
      </w:pPr>
      <w:r>
        <w:rPr>
          <w:rFonts w:ascii="Times New Roman" w:hAnsi="Times New Roman" w:eastAsia="宋体"/>
          <w:b w:val="0"/>
          <w:sz w:val="28"/>
        </w:rPr>
        <w:t>研究方向：____________________</w:t>
      </w:r>
    </w:p>
    <w:p>
      <w:pPr>
        <w:spacing w:before="0" w:after="160"/>
        <w:ind w:firstLine="0"/>
        <w:jc w:val="center"/>
      </w:pPr>
      <w:r>
        <w:rPr>
          <w:rFonts w:ascii="Times New Roman" w:hAnsi="Times New Roman" w:eastAsia="宋体"/>
          <w:b w:val="0"/>
          <w:sz w:val="28"/>
        </w:rPr>
        <w:t>作者姓名：____________________</w:t>
      </w:r>
    </w:p>
    <w:p>
      <w:pPr>
        <w:spacing w:before="0" w:after="160"/>
        <w:ind w:firstLine="0"/>
        <w:jc w:val="center"/>
      </w:pPr>
      <w:r>
        <w:rPr>
          <w:rFonts w:ascii="Times New Roman" w:hAnsi="Times New Roman" w:eastAsia="宋体"/>
          <w:b w:val="0"/>
          <w:sz w:val="28"/>
        </w:rPr>
        <w:t>指导教师：____________________</w:t>
      </w:r>
    </w:p>
    <w:p>
      <w:pPr>
        <w:spacing w:before="0" w:after="160"/>
        <w:ind w:firstLine="0"/>
        <w:jc w:val="center"/>
      </w:pPr>
      <w:r>
        <w:rPr>
          <w:rFonts w:ascii="Times New Roman" w:hAnsi="Times New Roman" w:eastAsia="宋体"/>
          <w:b w:val="0"/>
          <w:sz w:val="28"/>
        </w:rPr>
        <w:t>论文提交日期：____________________</w:t>
      </w:r>
    </w:p>
    <w:p>
      <w:r>
        <w:br w:type="page"/>
      </w:r>
    </w:p>
    <w:p>
      <w:pPr>
        <w:spacing w:before="0" w:after="360"/>
        <w:ind w:firstLine="0"/>
        <w:jc w:val="center"/>
      </w:pPr>
      <w:r>
        <w:rPr>
          <w:rFonts w:ascii="Times New Roman" w:hAnsi="Times New Roman" w:eastAsia="宋体"/>
          <w:b/>
          <w:sz w:val="36"/>
        </w:rPr>
        <w:t>学位论文独创性声明</w:t>
      </w:r>
    </w:p>
    <w:p>
      <w:pPr>
        <w:spacing w:lineRule="exact" w:line="400"/>
        <w:ind w:firstLineChars="200"/>
        <w:jc w:val="both"/>
      </w:pPr>
      <w:r>
        <w:rPr>
          <w:rFonts w:ascii="Times New Roman" w:hAnsi="Times New Roman" w:eastAsia="宋体"/>
          <w:b w:val="0"/>
          <w:sz w:val="24"/>
        </w:rPr>
        <w:t>本人郑重声明：所呈交的学位论文是在指导教师指导下独立完成的研究成果。除文中已经注明引用的内容外，本论文不包含他人已经发表或撰写过的研究成果。对本文研究作出重要贡献的个人和集体，均已在文中明确说明并表示谢意。</w:t>
      </w:r>
    </w:p>
    <w:p>
      <w:pPr>
        <w:spacing w:before="560" w:after="0"/>
        <w:ind w:firstLine="0"/>
        <w:jc w:val="center"/>
      </w:pPr>
      <w:r>
        <w:rPr>
          <w:rFonts w:ascii="Times New Roman" w:hAnsi="Times New Roman" w:eastAsia="宋体"/>
          <w:b w:val="0"/>
          <w:sz w:val="24"/>
        </w:rPr>
        <w:t>作者签名：____________    日期：____年__月__日</w:t>
      </w:r>
    </w:p>
    <w:p>
      <w:pPr>
        <w:spacing w:before="960" w:after="360"/>
        <w:ind w:firstLine="0"/>
        <w:jc w:val="center"/>
      </w:pPr>
      <w:r>
        <w:rPr>
          <w:rFonts w:ascii="Times New Roman" w:hAnsi="Times New Roman" w:eastAsia="宋体"/>
          <w:b/>
          <w:sz w:val="36"/>
        </w:rPr>
        <w:t>学位论文版权使用授权书</w:t>
      </w:r>
    </w:p>
    <w:p>
      <w:pPr>
        <w:spacing w:lineRule="exact" w:line="400"/>
        <w:ind w:firstLineChars="200"/>
        <w:jc w:val="both"/>
      </w:pPr>
      <w:r>
        <w:rPr>
          <w:rFonts w:ascii="Times New Roman" w:hAnsi="Times New Roman" w:eastAsia="宋体"/>
          <w:b w:val="0"/>
          <w:sz w:val="24"/>
        </w:rPr>
        <w:t>本人及指导教师同意学校保留并向有关机构送交本学位论文的复印件和电子版，允许论文被查阅和借阅，并授权学校将本论文的全部或部分内容编入有关数据库进行检索、保存和汇编。涉密论文在解密后适用本授权书。</w:t>
      </w:r>
    </w:p>
    <w:p>
      <w:pPr>
        <w:spacing w:before="560" w:after="0"/>
        <w:ind w:firstLine="0"/>
        <w:jc w:val="center"/>
      </w:pPr>
      <w:r>
        <w:rPr>
          <w:rFonts w:ascii="Times New Roman" w:hAnsi="Times New Roman" w:eastAsia="宋体"/>
          <w:b w:val="0"/>
          <w:sz w:val="24"/>
        </w:rPr>
        <w:t>作者签名：____________    指导教师签名：____________</w:t>
      </w:r>
    </w:p>
    <w:p>
      <w:pPr>
        <w:spacing w:before="0" w:after="0"/>
        <w:ind w:firstLine="0"/>
        <w:jc w:val="center"/>
      </w:pPr>
      <w:r>
        <w:rPr>
          <w:rFonts w:ascii="Times New Roman" w:hAnsi="Times New Roman" w:eastAsia="宋体"/>
          <w:b w:val="0"/>
          <w:sz w:val="24"/>
        </w:rPr>
        <w:t>日期：____年__月__日</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w:t>
      </w:r>
    </w:p>
    <w:p>
      <w:r>
        <w:rPr>
          <w:rFonts w:ascii="Times New Roman" w:hAnsi="Times New Roman" w:eastAsia="宋体"/>
          <w:b w:val="0"/>
          <w:sz w:val="24"/>
        </w:rPr>
        <w:t>为保证实验结论可复核,本文固定问答语料、模型、提示版本和检索参数,保存每次运行使用的资料片段、图谱关系、响应时延、Token 用量与评价结果,并通过自动化测试、接口冒烟和浏览器关键路径验证项目隔离、审核入库与审计追溯。结果表明,轻量一跳关系证据能够改善当前封闭语料中的关系型问答,但对指代消解、时间过滤和多关系聚合仍存在不足。本文实验数据规模较小,尚未覆盖真实课题组长期使用和跨领域泛化,因此相关结论限定于当前项目语料、系统实现与评价规则。</w:t>
      </w:r>
    </w:p>
    <w:p>
      <w:r>
        <w:rPr>
          <w:rFonts w:ascii="Times New Roman" w:hAnsi="Times New Roman" w:eastAsia="宋体"/>
          <w:b w:val="0"/>
          <w:sz w:val="24"/>
        </w:rPr>
        <w:t>关键词：电子实验笔记；科研数据管理；知识图谱；检索增强生成；固定任务型智能辅助生成</w:t>
      </w:r>
    </w:p>
    <w:p>
      <w:r>
        <w:br w:type="page"/>
      </w:r>
    </w:p>
    <w:p>
      <w:pPr>
        <w:pStyle w:val="Heading1"/>
        <w:ind w:firstLine="0"/>
      </w:pPr>
      <w:r>
        <w:t>Abstract</w:t>
      </w:r>
    </w:p>
    <w:p>
      <w:pPr>
        <w:spacing w:lineRule="exact" w:line="360"/>
      </w:pPr>
      <w:r>
        <w:rPr>
          <w:rFonts w:ascii="Times New Roman" w:hAnsi="Times New Roman" w:eastAsia="宋体"/>
          <w:b w:val="0"/>
          <w:sz w:val="24"/>
        </w:rPr>
        <w:t>Scientific experimental records underpin reproducibility, data traceability, and research auditing. Conventional electronic laboratory notebooks manage records and files but do not directly expose experiment-object relations, while document-only RAG may miss relations contained in structured notes. This thesis organizes approved records under project-level permission constraints, studies evidence-enhanced question answering, and implements an intelligent electronic laboratory notebook system.</w:t>
      </w:r>
    </w:p>
    <w:p>
      <w:pPr>
        <w:spacing w:lineRule="exact" w:line="360"/>
      </w:pPr>
      <w:r>
        <w:rPr>
          <w:rFonts w:ascii="Times New Roman" w:hAnsi="Times New Roman" w:eastAsia="宋体"/>
          <w:b w:val="0"/>
          <w:sz w:val="24"/>
        </w:rPr>
        <w:t>Using projects as the management boundary, the system integrates notes, attachments, review workflows, member permissions, and audit logs. Projects, notes, users, documents, experiment types, reagents, instruments, samples, and results form a project-level knowledge graph whose updates depend on note approval. Document passages and relevant graph relations jointly support question answering. The system provides plain and graph-enhanced RAG, records sources, graph hits, latency, and evaluations, and implements bounded generation for summaries, weekly reports, stage reports, and graph overviews.</w:t>
      </w:r>
    </w:p>
    <w:p>
      <w:pPr>
        <w:spacing w:lineRule="exact" w:line="360"/>
      </w:pPr>
      <w:r>
        <w:rPr>
          <w:rFonts w:ascii="Times New Roman" w:hAnsi="Times New Roman" w:eastAsia="宋体"/>
          <w:b w:val="0"/>
          <w:sz w:val="24"/>
        </w:rPr>
        <w:t>The system uses FastAPI, PostgreSQL/pgvector, Next.js, and the DeepSeek API. Three research-scenario projects contain 35 approved notes, 357 entities, and 445 relations. Auditing 53 observed relations from four normalized notes yields 98.11% precision, 100.00% recall, and 99.05% F1, with one false extraction caused by an omitted head noun. In a paired 20-question experiment, rule-based task completion rises from 20.0% for plain RAG to 70.0% for graph-enhanced RAG (exact McNemar test, p=0.0020); experiment-object relation questions rise from 0% to 100%. Graph enhancement adds 103.20 ms mean latency and 325.70 tokens. Raising the minimum graph score from 1.0 to 4.0 reduces coverage from 95% to 60%.</w:t>
      </w:r>
    </w:p>
    <w:p>
      <w:pPr>
        <w:spacing w:lineRule="exact" w:line="360"/>
      </w:pPr>
      <w:r>
        <w:rPr>
          <w:rFonts w:ascii="Times New Roman" w:hAnsi="Times New Roman" w:eastAsia="宋体"/>
          <w:b w:val="0"/>
          <w:sz w:val="24"/>
        </w:rPr>
        <w:t>For reproducibility, the study fixes the corpus, model, prompt version, and retrieval parameters; stores passages, graph relations, latency, token usage, and evaluations; and verifies isolation, post-review ingestion, and audit traceability through automated, API, and browser tests. Lightweight one-hop evidence improves relation-oriented questions in the current closed corpus, but coreference resolution, temporal filtering, and multi-relation aggregation remain limited. The small dataset does not establish long-term usability or cross-domain generalization, so the conclusions apply only to the current corpus, implementation, and evaluation rules.</w:t>
      </w:r>
    </w:p>
    <w:p>
      <w:pPr>
        <w:spacing w:lineRule="exact" w:line="360"/>
      </w:pPr>
      <w:r>
        <w:rPr>
          <w:rFonts w:ascii="Times New Roman" w:hAnsi="Times New Roman" w:eastAsia="宋体"/>
          <w:b w:val="0"/>
          <w:sz w:val="24"/>
        </w:rPr>
        <w:t>Key words: Electronic Laboratory Notebook; Research Data Management; Knowledge Graph; Retrieval-Augmented Generation; Fixed-Task Intelligent Generation</w:t>
      </w:r>
    </w:p>
    <w:p>
      <w:r>
        <w:br w:type="page"/>
      </w:r>
    </w:p>
    <w:p>
      <w:pPr>
        <w:jc w:val="center"/>
      </w:pPr>
      <w:r>
        <w:rPr>
          <w:rFonts w:ascii="Times New Roman" w:hAnsi="Times New Roman" w:eastAsia="宋体"/>
          <w:b/>
          <w:sz w:val="36"/>
        </w:rPr>
        <w:t>目录</w:t>
      </w:r>
    </w:p>
    <w:p>
      <w:pPr>
        <w:tabs>
          <w:tab w:pos="8504" w:val="right" w:leader="dot"/>
        </w:tabs>
        <w:spacing w:before="0" w:after="0" w:lineRule="exact" w:line="320"/>
        <w:ind w:firstLine="0" w:left="0"/>
      </w:pPr>
      <w:r>
        <w:rPr>
          <w:rFonts w:ascii="Times New Roman" w:hAnsi="Times New Roman" w:eastAsia="黑体"/>
          <w:b/>
          <w:sz w:val="20"/>
        </w:rPr>
        <w:t>第一章 绪论</w:t>
        <w:tab/>
        <w:t>1</w:t>
      </w:r>
    </w:p>
    <w:p>
      <w:pPr>
        <w:tabs>
          <w:tab w:pos="8504" w:val="right" w:leader="dot"/>
        </w:tabs>
        <w:spacing w:before="0" w:after="0" w:lineRule="exact" w:line="320"/>
        <w:ind w:firstLine="0" w:left="420"/>
      </w:pPr>
      <w:r>
        <w:rPr>
          <w:rFonts w:ascii="Times New Roman" w:hAnsi="Times New Roman" w:eastAsia="宋体"/>
          <w:b w:val="0"/>
          <w:sz w:val="18"/>
        </w:rPr>
        <w:t>1.1 研究背景及意义</w:t>
        <w:tab/>
        <w:t>1</w:t>
      </w:r>
    </w:p>
    <w:p>
      <w:pPr>
        <w:tabs>
          <w:tab w:pos="8504" w:val="right" w:leader="dot"/>
        </w:tabs>
        <w:spacing w:before="0" w:after="0" w:lineRule="exact" w:line="320"/>
        <w:ind w:firstLine="0" w:left="420"/>
      </w:pPr>
      <w:r>
        <w:rPr>
          <w:rFonts w:ascii="Times New Roman" w:hAnsi="Times New Roman" w:eastAsia="宋体"/>
          <w:b w:val="0"/>
          <w:sz w:val="18"/>
        </w:rPr>
        <w:t>1.2 国内外研究现状</w:t>
        <w:tab/>
        <w:t>2</w:t>
      </w:r>
    </w:p>
    <w:p>
      <w:pPr>
        <w:tabs>
          <w:tab w:pos="8504" w:val="right" w:leader="dot"/>
        </w:tabs>
        <w:spacing w:before="0" w:after="0" w:lineRule="exact" w:line="320"/>
        <w:ind w:firstLine="0" w:left="839"/>
      </w:pPr>
      <w:r>
        <w:rPr>
          <w:rFonts w:ascii="Times New Roman" w:hAnsi="Times New Roman" w:eastAsia="宋体"/>
          <w:b w:val="0"/>
          <w:sz w:val="18"/>
        </w:rPr>
        <w:t>1.2.1 电子实验笔记系统研究现状</w:t>
        <w:tab/>
        <w:t>2</w:t>
      </w:r>
    </w:p>
    <w:p>
      <w:pPr>
        <w:tabs>
          <w:tab w:pos="8504" w:val="right" w:leader="dot"/>
        </w:tabs>
        <w:spacing w:before="0" w:after="0" w:lineRule="exact" w:line="320"/>
        <w:ind w:firstLine="0" w:left="839"/>
      </w:pPr>
      <w:r>
        <w:rPr>
          <w:rFonts w:ascii="Times New Roman" w:hAnsi="Times New Roman" w:eastAsia="宋体"/>
          <w:b w:val="0"/>
          <w:sz w:val="18"/>
        </w:rPr>
        <w:t>1.2.2 大语言模型与 RAG 技术研究现状</w:t>
        <w:tab/>
        <w:t>2</w:t>
      </w:r>
    </w:p>
    <w:p>
      <w:pPr>
        <w:tabs>
          <w:tab w:pos="8504" w:val="right" w:leader="dot"/>
        </w:tabs>
        <w:spacing w:before="0" w:after="0" w:lineRule="exact" w:line="320"/>
        <w:ind w:firstLine="0" w:left="839"/>
      </w:pPr>
      <w:r>
        <w:rPr>
          <w:rFonts w:ascii="Times New Roman" w:hAnsi="Times New Roman" w:eastAsia="宋体"/>
          <w:b w:val="0"/>
          <w:sz w:val="18"/>
        </w:rPr>
        <w:t>1.2.3 知识图谱在科研数据管理中的应用现状</w:t>
        <w:tab/>
        <w:t>3</w:t>
      </w:r>
    </w:p>
    <w:p>
      <w:pPr>
        <w:tabs>
          <w:tab w:pos="8504" w:val="right" w:leader="dot"/>
        </w:tabs>
        <w:spacing w:before="0" w:after="0" w:lineRule="exact" w:line="320"/>
        <w:ind w:firstLine="0" w:left="839"/>
      </w:pPr>
      <w:r>
        <w:rPr>
          <w:rFonts w:ascii="Times New Roman" w:hAnsi="Times New Roman" w:eastAsia="宋体"/>
          <w:b w:val="0"/>
          <w:sz w:val="18"/>
        </w:rPr>
        <w:t>1.2.4 智能体与工具调用技术研究现状</w:t>
        <w:tab/>
        <w:t>3</w:t>
      </w:r>
    </w:p>
    <w:p>
      <w:pPr>
        <w:tabs>
          <w:tab w:pos="8504" w:val="right" w:leader="dot"/>
        </w:tabs>
        <w:spacing w:before="0" w:after="0" w:lineRule="exact" w:line="320"/>
        <w:ind w:firstLine="0" w:left="420"/>
      </w:pPr>
      <w:r>
        <w:rPr>
          <w:rFonts w:ascii="Times New Roman" w:hAnsi="Times New Roman" w:eastAsia="宋体"/>
          <w:b w:val="0"/>
          <w:sz w:val="18"/>
        </w:rPr>
        <w:t>1.3 现有研究存在的问题</w:t>
        <w:tab/>
        <w:t>4</w:t>
      </w:r>
    </w:p>
    <w:p>
      <w:pPr>
        <w:tabs>
          <w:tab w:pos="8504" w:val="right" w:leader="dot"/>
        </w:tabs>
        <w:spacing w:before="0" w:after="0" w:lineRule="exact" w:line="320"/>
        <w:ind w:firstLine="0" w:left="420"/>
      </w:pPr>
      <w:r>
        <w:rPr>
          <w:rFonts w:ascii="Times New Roman" w:hAnsi="Times New Roman" w:eastAsia="宋体"/>
          <w:b w:val="0"/>
          <w:sz w:val="18"/>
        </w:rPr>
        <w:t>1.4 论文主要研究内容</w:t>
        <w:tab/>
        <w:t>5</w:t>
      </w:r>
    </w:p>
    <w:p>
      <w:pPr>
        <w:tabs>
          <w:tab w:pos="8504" w:val="right" w:leader="dot"/>
        </w:tabs>
        <w:spacing w:before="0" w:after="0" w:lineRule="exact" w:line="320"/>
        <w:ind w:firstLine="0" w:left="420"/>
      </w:pPr>
      <w:r>
        <w:rPr>
          <w:rFonts w:ascii="Times New Roman" w:hAnsi="Times New Roman" w:eastAsia="宋体"/>
          <w:b w:val="0"/>
          <w:sz w:val="18"/>
        </w:rPr>
        <w:t>1.5 论文创新点</w:t>
        <w:tab/>
        <w:t>6</w:t>
      </w:r>
    </w:p>
    <w:p>
      <w:pPr>
        <w:tabs>
          <w:tab w:pos="8504" w:val="right" w:leader="dot"/>
        </w:tabs>
        <w:spacing w:before="0" w:after="0" w:lineRule="exact" w:line="320"/>
        <w:ind w:firstLine="0" w:left="420"/>
      </w:pPr>
      <w:r>
        <w:rPr>
          <w:rFonts w:ascii="Times New Roman" w:hAnsi="Times New Roman" w:eastAsia="宋体"/>
          <w:b w:val="0"/>
          <w:sz w:val="18"/>
        </w:rPr>
        <w:t>1.6 论文组织结构</w:t>
        <w:tab/>
        <w:t>6</w:t>
      </w:r>
    </w:p>
    <w:p>
      <w:pPr>
        <w:tabs>
          <w:tab w:pos="8504" w:val="right" w:leader="dot"/>
        </w:tabs>
        <w:spacing w:before="0" w:after="0" w:lineRule="exact" w:line="320"/>
        <w:ind w:firstLine="0" w:left="0"/>
      </w:pPr>
      <w:r>
        <w:rPr>
          <w:rFonts w:ascii="Times New Roman" w:hAnsi="Times New Roman" w:eastAsia="黑体"/>
          <w:b/>
          <w:sz w:val="20"/>
        </w:rPr>
        <w:t>第二章 相关理论与技术</w:t>
        <w:tab/>
        <w:t>8</w:t>
      </w:r>
    </w:p>
    <w:p>
      <w:pPr>
        <w:tabs>
          <w:tab w:pos="8504" w:val="right" w:leader="dot"/>
        </w:tabs>
        <w:spacing w:before="0" w:after="0" w:lineRule="exact" w:line="320"/>
        <w:ind w:firstLine="0" w:left="420"/>
      </w:pPr>
      <w:r>
        <w:rPr>
          <w:rFonts w:ascii="Times New Roman" w:hAnsi="Times New Roman" w:eastAsia="宋体"/>
          <w:b w:val="0"/>
          <w:sz w:val="18"/>
        </w:rPr>
        <w:t>2.1 电子实验笔记与科研数据管理</w:t>
        <w:tab/>
        <w:t>8</w:t>
      </w:r>
    </w:p>
    <w:p>
      <w:pPr>
        <w:tabs>
          <w:tab w:pos="8504" w:val="right" w:leader="dot"/>
        </w:tabs>
        <w:spacing w:before="0" w:after="0" w:lineRule="exact" w:line="320"/>
        <w:ind w:firstLine="0" w:left="420"/>
      </w:pPr>
      <w:r>
        <w:rPr>
          <w:rFonts w:ascii="Times New Roman" w:hAnsi="Times New Roman" w:eastAsia="宋体"/>
          <w:b w:val="0"/>
          <w:sz w:val="18"/>
        </w:rPr>
        <w:t>2.2 大语言模型与检索增强生成技术</w:t>
        <w:tab/>
        <w:t>9</w:t>
      </w:r>
    </w:p>
    <w:p>
      <w:pPr>
        <w:tabs>
          <w:tab w:pos="8504" w:val="right" w:leader="dot"/>
        </w:tabs>
        <w:spacing w:before="0" w:after="0" w:lineRule="exact" w:line="320"/>
        <w:ind w:firstLine="0" w:left="420"/>
      </w:pPr>
      <w:r>
        <w:rPr>
          <w:rFonts w:ascii="Times New Roman" w:hAnsi="Times New Roman" w:eastAsia="宋体"/>
          <w:b w:val="0"/>
          <w:sz w:val="18"/>
        </w:rPr>
        <w:t>2.3 知识图谱与实体关系建模</w:t>
        <w:tab/>
        <w:t>10</w:t>
      </w:r>
    </w:p>
    <w:p>
      <w:pPr>
        <w:tabs>
          <w:tab w:pos="8504" w:val="right" w:leader="dot"/>
        </w:tabs>
        <w:spacing w:before="0" w:after="0" w:lineRule="exact" w:line="320"/>
        <w:ind w:firstLine="0" w:left="420"/>
      </w:pPr>
      <w:r>
        <w:rPr>
          <w:rFonts w:ascii="Times New Roman" w:hAnsi="Times New Roman" w:eastAsia="宋体"/>
          <w:b w:val="0"/>
          <w:sz w:val="18"/>
        </w:rPr>
        <w:t>2.4 智能体与工具调用机制</w:t>
        <w:tab/>
        <w:t>11</w:t>
      </w:r>
    </w:p>
    <w:p>
      <w:pPr>
        <w:tabs>
          <w:tab w:pos="8504" w:val="right" w:leader="dot"/>
        </w:tabs>
        <w:spacing w:before="0" w:after="0" w:lineRule="exact" w:line="320"/>
        <w:ind w:firstLine="0" w:left="420"/>
      </w:pPr>
      <w:r>
        <w:rPr>
          <w:rFonts w:ascii="Times New Roman" w:hAnsi="Times New Roman" w:eastAsia="宋体"/>
          <w:b w:val="0"/>
          <w:sz w:val="18"/>
        </w:rPr>
        <w:t>2.5 系统开发相关技术</w:t>
        <w:tab/>
        <w:t>11</w:t>
      </w:r>
    </w:p>
    <w:p>
      <w:pPr>
        <w:tabs>
          <w:tab w:pos="8504" w:val="right" w:leader="dot"/>
        </w:tabs>
        <w:spacing w:before="0" w:after="0" w:lineRule="exact" w:line="320"/>
        <w:ind w:firstLine="0" w:left="420"/>
      </w:pPr>
      <w:r>
        <w:rPr>
          <w:rFonts w:ascii="Times New Roman" w:hAnsi="Times New Roman" w:eastAsia="宋体"/>
          <w:b w:val="0"/>
          <w:sz w:val="18"/>
        </w:rPr>
        <w:t>2.6 本章小结</w:t>
        <w:tab/>
        <w:t>12</w:t>
      </w:r>
    </w:p>
    <w:p>
      <w:pPr>
        <w:tabs>
          <w:tab w:pos="8504" w:val="right" w:leader="dot"/>
        </w:tabs>
        <w:spacing w:before="0" w:after="0" w:lineRule="exact" w:line="320"/>
        <w:ind w:firstLine="0" w:left="0"/>
      </w:pPr>
      <w:r>
        <w:rPr>
          <w:rFonts w:ascii="Times New Roman" w:hAnsi="Times New Roman" w:eastAsia="黑体"/>
          <w:b/>
          <w:sz w:val="20"/>
        </w:rPr>
        <w:t>第三章 面向科研实验记录的需求分析与问题建模</w:t>
        <w:tab/>
        <w:t>13</w:t>
      </w:r>
    </w:p>
    <w:p>
      <w:pPr>
        <w:tabs>
          <w:tab w:pos="8504" w:val="right" w:leader="dot"/>
        </w:tabs>
        <w:spacing w:before="0" w:after="0" w:lineRule="exact" w:line="320"/>
        <w:ind w:firstLine="0" w:left="420"/>
      </w:pPr>
      <w:r>
        <w:rPr>
          <w:rFonts w:ascii="Times New Roman" w:hAnsi="Times New Roman" w:eastAsia="宋体"/>
          <w:b w:val="0"/>
          <w:sz w:val="18"/>
        </w:rPr>
        <w:t>3.1 科研实验记录业务场景分析</w:t>
        <w:tab/>
        <w:t>13</w:t>
      </w:r>
    </w:p>
    <w:p>
      <w:pPr>
        <w:tabs>
          <w:tab w:pos="8504" w:val="right" w:leader="dot"/>
        </w:tabs>
        <w:spacing w:before="0" w:after="0" w:lineRule="exact" w:line="320"/>
        <w:ind w:firstLine="0" w:left="420"/>
      </w:pPr>
      <w:r>
        <w:rPr>
          <w:rFonts w:ascii="Times New Roman" w:hAnsi="Times New Roman" w:eastAsia="宋体"/>
          <w:b w:val="0"/>
          <w:sz w:val="18"/>
        </w:rPr>
        <w:t>3.2 用户角色与权限需求分析</w:t>
        <w:tab/>
        <w:t>13</w:t>
      </w:r>
    </w:p>
    <w:p>
      <w:pPr>
        <w:tabs>
          <w:tab w:pos="8504" w:val="right" w:leader="dot"/>
        </w:tabs>
        <w:spacing w:before="0" w:after="0" w:lineRule="exact" w:line="320"/>
        <w:ind w:firstLine="0" w:left="420"/>
      </w:pPr>
      <w:r>
        <w:rPr>
          <w:rFonts w:ascii="Times New Roman" w:hAnsi="Times New Roman" w:eastAsia="宋体"/>
          <w:b w:val="0"/>
          <w:sz w:val="18"/>
        </w:rPr>
        <w:t>3.3 实验笔记、附件资料与项目知识库需求分析</w:t>
        <w:tab/>
        <w:t>16</w:t>
      </w:r>
    </w:p>
    <w:p>
      <w:pPr>
        <w:tabs>
          <w:tab w:pos="8504" w:val="right" w:leader="dot"/>
        </w:tabs>
        <w:spacing w:before="0" w:after="0" w:lineRule="exact" w:line="320"/>
        <w:ind w:firstLine="0" w:left="420"/>
      </w:pPr>
      <w:r>
        <w:rPr>
          <w:rFonts w:ascii="Times New Roman" w:hAnsi="Times New Roman" w:eastAsia="宋体"/>
          <w:b w:val="0"/>
          <w:sz w:val="18"/>
        </w:rPr>
        <w:t>3.4 AI 辅助实验记录管理需求分析</w:t>
        <w:tab/>
        <w:t>16</w:t>
      </w:r>
    </w:p>
    <w:p>
      <w:pPr>
        <w:tabs>
          <w:tab w:pos="8504" w:val="right" w:leader="dot"/>
        </w:tabs>
        <w:spacing w:before="0" w:after="0" w:lineRule="exact" w:line="320"/>
        <w:ind w:firstLine="0" w:left="420"/>
      </w:pPr>
      <w:r>
        <w:rPr>
          <w:rFonts w:ascii="Times New Roman" w:hAnsi="Times New Roman" w:eastAsia="宋体"/>
          <w:b w:val="0"/>
          <w:sz w:val="18"/>
        </w:rPr>
        <w:t>3.5 系统非功能需求分析</w:t>
        <w:tab/>
        <w:t>16</w:t>
      </w:r>
    </w:p>
    <w:p>
      <w:pPr>
        <w:tabs>
          <w:tab w:pos="8504" w:val="right" w:leader="dot"/>
        </w:tabs>
        <w:spacing w:before="0" w:after="0" w:lineRule="exact" w:line="320"/>
        <w:ind w:firstLine="0" w:left="420"/>
      </w:pPr>
      <w:r>
        <w:rPr>
          <w:rFonts w:ascii="Times New Roman" w:hAnsi="Times New Roman" w:eastAsia="宋体"/>
          <w:b w:val="0"/>
          <w:sz w:val="18"/>
        </w:rPr>
        <w:t>3.6 关键问题建模</w:t>
        <w:tab/>
        <w:t>17</w:t>
      </w:r>
    </w:p>
    <w:p>
      <w:pPr>
        <w:tabs>
          <w:tab w:pos="8504" w:val="right" w:leader="dot"/>
        </w:tabs>
        <w:spacing w:before="0" w:after="0" w:lineRule="exact" w:line="320"/>
        <w:ind w:firstLine="0" w:left="839"/>
      </w:pPr>
      <w:r>
        <w:rPr>
          <w:rFonts w:ascii="Times New Roman" w:hAnsi="Times New Roman" w:eastAsia="宋体"/>
          <w:b w:val="0"/>
          <w:sz w:val="18"/>
        </w:rPr>
        <w:t>3.6.1 实验记录非结构化问题</w:t>
        <w:tab/>
        <w:t>18</w:t>
      </w:r>
    </w:p>
    <w:p>
      <w:pPr>
        <w:tabs>
          <w:tab w:pos="8504" w:val="right" w:leader="dot"/>
        </w:tabs>
        <w:spacing w:before="0" w:after="0" w:lineRule="exact" w:line="320"/>
        <w:ind w:firstLine="0" w:left="839"/>
      </w:pPr>
      <w:r>
        <w:rPr>
          <w:rFonts w:ascii="Times New Roman" w:hAnsi="Times New Roman" w:eastAsia="宋体"/>
          <w:b w:val="0"/>
          <w:sz w:val="18"/>
        </w:rPr>
        <w:t>3.6.2 项目知识权限隔离问题</w:t>
        <w:tab/>
        <w:t>19</w:t>
      </w:r>
    </w:p>
    <w:p>
      <w:pPr>
        <w:tabs>
          <w:tab w:pos="8504" w:val="right" w:leader="dot"/>
        </w:tabs>
        <w:spacing w:before="0" w:after="0" w:lineRule="exact" w:line="320"/>
        <w:ind w:firstLine="0" w:left="839"/>
      </w:pPr>
      <w:r>
        <w:rPr>
          <w:rFonts w:ascii="Times New Roman" w:hAnsi="Times New Roman" w:eastAsia="宋体"/>
          <w:b w:val="0"/>
          <w:sz w:val="18"/>
        </w:rPr>
        <w:t>3.6.3 实验知识关联不足问题</w:t>
        <w:tab/>
        <w:t>19</w:t>
      </w:r>
    </w:p>
    <w:p>
      <w:pPr>
        <w:tabs>
          <w:tab w:pos="8504" w:val="right" w:leader="dot"/>
        </w:tabs>
        <w:spacing w:before="0" w:after="0" w:lineRule="exact" w:line="320"/>
        <w:ind w:firstLine="0" w:left="839"/>
      </w:pPr>
      <w:r>
        <w:rPr>
          <w:rFonts w:ascii="Times New Roman" w:hAnsi="Times New Roman" w:eastAsia="宋体"/>
          <w:b w:val="0"/>
          <w:sz w:val="18"/>
        </w:rPr>
        <w:t>3.6.4 AI 回答可信性与可追溯问题</w:t>
        <w:tab/>
        <w:t>19</w:t>
      </w:r>
    </w:p>
    <w:p>
      <w:pPr>
        <w:tabs>
          <w:tab w:pos="8504" w:val="right" w:leader="dot"/>
        </w:tabs>
        <w:spacing w:before="0" w:after="0" w:lineRule="exact" w:line="320"/>
        <w:ind w:firstLine="0" w:left="420"/>
      </w:pPr>
      <w:r>
        <w:rPr>
          <w:rFonts w:ascii="Times New Roman" w:hAnsi="Times New Roman" w:eastAsia="宋体"/>
          <w:b w:val="0"/>
          <w:sz w:val="18"/>
        </w:rPr>
        <w:t>3.7 本章小结</w:t>
        <w:tab/>
        <w:t>19</w:t>
      </w:r>
    </w:p>
    <w:p>
      <w:r>
        <w:br w:type="page"/>
      </w:r>
    </w:p>
    <w:p>
      <w:pPr>
        <w:tabs>
          <w:tab w:pos="8504" w:val="right" w:leader="dot"/>
        </w:tabs>
        <w:spacing w:before="0" w:after="0" w:lineRule="exact" w:line="320"/>
        <w:ind w:firstLine="0" w:left="0"/>
      </w:pPr>
      <w:r>
        <w:rPr>
          <w:rFonts w:ascii="Times New Roman" w:hAnsi="Times New Roman" w:eastAsia="黑体"/>
          <w:b/>
          <w:sz w:val="20"/>
        </w:rPr>
        <w:t>第四章 实验知识图谱构建与可信知识管理方法</w:t>
        <w:tab/>
        <w:t>20</w:t>
      </w:r>
    </w:p>
    <w:p>
      <w:pPr>
        <w:tabs>
          <w:tab w:pos="8504" w:val="right" w:leader="dot"/>
        </w:tabs>
        <w:spacing w:before="0" w:after="0" w:lineRule="exact" w:line="320"/>
        <w:ind w:firstLine="0" w:left="420"/>
      </w:pPr>
      <w:r>
        <w:rPr>
          <w:rFonts w:ascii="Times New Roman" w:hAnsi="Times New Roman" w:eastAsia="宋体"/>
          <w:b w:val="0"/>
          <w:sz w:val="18"/>
        </w:rPr>
        <w:t>4.1 实验知识图谱总体设计</w:t>
        <w:tab/>
        <w:t>20</w:t>
      </w:r>
    </w:p>
    <w:p>
      <w:pPr>
        <w:tabs>
          <w:tab w:pos="8504" w:val="right" w:leader="dot"/>
        </w:tabs>
        <w:spacing w:before="0" w:after="0" w:lineRule="exact" w:line="320"/>
        <w:ind w:firstLine="0" w:left="420"/>
      </w:pPr>
      <w:r>
        <w:rPr>
          <w:rFonts w:ascii="Times New Roman" w:hAnsi="Times New Roman" w:eastAsia="宋体"/>
          <w:b w:val="0"/>
          <w:sz w:val="18"/>
        </w:rPr>
        <w:t>4.2 实验记录实体定义</w:t>
        <w:tab/>
        <w:t>20</w:t>
      </w:r>
    </w:p>
    <w:p>
      <w:pPr>
        <w:tabs>
          <w:tab w:pos="8504" w:val="right" w:leader="dot"/>
        </w:tabs>
        <w:spacing w:before="0" w:after="0" w:lineRule="exact" w:line="320"/>
        <w:ind w:firstLine="0" w:left="420"/>
      </w:pPr>
      <w:r>
        <w:rPr>
          <w:rFonts w:ascii="Times New Roman" w:hAnsi="Times New Roman" w:eastAsia="宋体"/>
          <w:b w:val="0"/>
          <w:sz w:val="18"/>
        </w:rPr>
        <w:t>4.3 实验知识关系定义</w:t>
        <w:tab/>
        <w:t>21</w:t>
      </w:r>
    </w:p>
    <w:p>
      <w:pPr>
        <w:tabs>
          <w:tab w:pos="8504" w:val="right" w:leader="dot"/>
        </w:tabs>
        <w:spacing w:before="0" w:after="0" w:lineRule="exact" w:line="320"/>
        <w:ind w:firstLine="0" w:left="420"/>
      </w:pPr>
      <w:r>
        <w:rPr>
          <w:rFonts w:ascii="Times New Roman" w:hAnsi="Times New Roman" w:eastAsia="宋体"/>
          <w:b w:val="0"/>
          <w:sz w:val="18"/>
        </w:rPr>
        <w:t>4.4 基于实验笔记内容的实体关系抽取方法</w:t>
        <w:tab/>
        <w:t>22</w:t>
      </w:r>
    </w:p>
    <w:p>
      <w:pPr>
        <w:tabs>
          <w:tab w:pos="8504" w:val="right" w:leader="dot"/>
        </w:tabs>
        <w:spacing w:before="0" w:after="0" w:lineRule="exact" w:line="320"/>
        <w:ind w:firstLine="0" w:left="420"/>
      </w:pPr>
      <w:r>
        <w:rPr>
          <w:rFonts w:ascii="Times New Roman" w:hAnsi="Times New Roman" w:eastAsia="宋体"/>
          <w:b w:val="0"/>
          <w:sz w:val="18"/>
        </w:rPr>
        <w:t>4.5 面向项目权限的知识图谱更新机制</w:t>
        <w:tab/>
        <w:t>25</w:t>
      </w:r>
    </w:p>
    <w:p>
      <w:pPr>
        <w:tabs>
          <w:tab w:pos="8504" w:val="right" w:leader="dot"/>
        </w:tabs>
        <w:spacing w:before="0" w:after="0" w:lineRule="exact" w:line="320"/>
        <w:ind w:firstLine="0" w:left="420"/>
      </w:pPr>
      <w:r>
        <w:rPr>
          <w:rFonts w:ascii="Times New Roman" w:hAnsi="Times New Roman" w:eastAsia="宋体"/>
          <w:b w:val="0"/>
          <w:sz w:val="18"/>
        </w:rPr>
        <w:t>4.6 资料审核与知识入库机制</w:t>
        <w:tab/>
        <w:t>26</w:t>
      </w:r>
    </w:p>
    <w:p>
      <w:pPr>
        <w:tabs>
          <w:tab w:pos="8504" w:val="right" w:leader="dot"/>
        </w:tabs>
        <w:spacing w:before="0" w:after="0" w:lineRule="exact" w:line="320"/>
        <w:ind w:firstLine="0" w:left="420"/>
      </w:pPr>
      <w:r>
        <w:rPr>
          <w:rFonts w:ascii="Times New Roman" w:hAnsi="Times New Roman" w:eastAsia="宋体"/>
          <w:b w:val="0"/>
          <w:sz w:val="18"/>
        </w:rPr>
        <w:t>4.7 实验知识图谱可视化与关联检索</w:t>
        <w:tab/>
        <w:t>26</w:t>
      </w:r>
    </w:p>
    <w:p>
      <w:pPr>
        <w:tabs>
          <w:tab w:pos="8504" w:val="right" w:leader="dot"/>
        </w:tabs>
        <w:spacing w:before="0" w:after="0" w:lineRule="exact" w:line="320"/>
        <w:ind w:firstLine="0" w:left="420"/>
      </w:pPr>
      <w:r>
        <w:rPr>
          <w:rFonts w:ascii="Times New Roman" w:hAnsi="Times New Roman" w:eastAsia="宋体"/>
          <w:b w:val="0"/>
          <w:sz w:val="18"/>
        </w:rPr>
        <w:t>4.8 本章小结</w:t>
        <w:tab/>
        <w:t>27</w:t>
      </w:r>
    </w:p>
    <w:p>
      <w:pPr>
        <w:tabs>
          <w:tab w:pos="8504" w:val="right" w:leader="dot"/>
        </w:tabs>
        <w:spacing w:before="0" w:after="0" w:lineRule="exact" w:line="320"/>
        <w:ind w:firstLine="0" w:left="0"/>
      </w:pPr>
      <w:r>
        <w:rPr>
          <w:rFonts w:ascii="Times New Roman" w:hAnsi="Times New Roman" w:eastAsia="黑体"/>
          <w:b/>
          <w:sz w:val="20"/>
        </w:rPr>
        <w:t>第五章 基于知识图谱与 RAG 的智能问答及固定任务型辅助生成方法</w:t>
        <w:tab/>
        <w:t>28</w:t>
      </w:r>
    </w:p>
    <w:p>
      <w:pPr>
        <w:tabs>
          <w:tab w:pos="8504" w:val="right" w:leader="dot"/>
        </w:tabs>
        <w:spacing w:before="0" w:after="0" w:lineRule="exact" w:line="320"/>
        <w:ind w:firstLine="0" w:left="420"/>
      </w:pPr>
      <w:r>
        <w:rPr>
          <w:rFonts w:ascii="Times New Roman" w:hAnsi="Times New Roman" w:eastAsia="宋体"/>
          <w:b w:val="0"/>
          <w:sz w:val="18"/>
        </w:rPr>
        <w:t>5.1 项目级 RAG 知识库构建方法</w:t>
        <w:tab/>
        <w:t>28</w:t>
      </w:r>
    </w:p>
    <w:p>
      <w:pPr>
        <w:tabs>
          <w:tab w:pos="8504" w:val="right" w:leader="dot"/>
        </w:tabs>
        <w:spacing w:before="0" w:after="0" w:lineRule="exact" w:line="320"/>
        <w:ind w:firstLine="0" w:left="420"/>
      </w:pPr>
      <w:r>
        <w:rPr>
          <w:rFonts w:ascii="Times New Roman" w:hAnsi="Times New Roman" w:eastAsia="宋体"/>
          <w:b w:val="0"/>
          <w:sz w:val="18"/>
        </w:rPr>
        <w:t>5.2 融合知识图谱的检索增强策略</w:t>
        <w:tab/>
        <w:t>29</w:t>
      </w:r>
    </w:p>
    <w:p>
      <w:pPr>
        <w:tabs>
          <w:tab w:pos="8504" w:val="right" w:leader="dot"/>
        </w:tabs>
        <w:spacing w:before="0" w:after="0" w:lineRule="exact" w:line="320"/>
        <w:ind w:firstLine="0" w:left="420"/>
      </w:pPr>
      <w:r>
        <w:rPr>
          <w:rFonts w:ascii="Times New Roman" w:hAnsi="Times New Roman" w:eastAsia="宋体"/>
          <w:b w:val="0"/>
          <w:sz w:val="18"/>
        </w:rPr>
        <w:t>5.3 权限约束下的智能问答流程</w:t>
        <w:tab/>
        <w:t>31</w:t>
      </w:r>
    </w:p>
    <w:p>
      <w:pPr>
        <w:tabs>
          <w:tab w:pos="8504" w:val="right" w:leader="dot"/>
        </w:tabs>
        <w:spacing w:before="0" w:after="0" w:lineRule="exact" w:line="320"/>
        <w:ind w:firstLine="0" w:left="420"/>
      </w:pPr>
      <w:r>
        <w:rPr>
          <w:rFonts w:ascii="Times New Roman" w:hAnsi="Times New Roman" w:eastAsia="宋体"/>
          <w:b w:val="0"/>
          <w:sz w:val="18"/>
        </w:rPr>
        <w:t>5.4 引用来源与回答可追溯机制</w:t>
        <w:tab/>
        <w:t>31</w:t>
      </w:r>
    </w:p>
    <w:p>
      <w:pPr>
        <w:tabs>
          <w:tab w:pos="8504" w:val="right" w:leader="dot"/>
        </w:tabs>
        <w:spacing w:before="0" w:after="0" w:lineRule="exact" w:line="320"/>
        <w:ind w:firstLine="0" w:left="420"/>
      </w:pPr>
      <w:r>
        <w:rPr>
          <w:rFonts w:ascii="Times New Roman" w:hAnsi="Times New Roman" w:eastAsia="宋体"/>
          <w:b w:val="0"/>
          <w:sz w:val="18"/>
        </w:rPr>
        <w:t>5.5 面向实验笔记的固定任务型辅助生成设计</w:t>
        <w:tab/>
        <w:t>32</w:t>
      </w:r>
    </w:p>
    <w:p>
      <w:pPr>
        <w:tabs>
          <w:tab w:pos="8504" w:val="right" w:leader="dot"/>
        </w:tabs>
        <w:spacing w:before="0" w:after="0" w:lineRule="exact" w:line="320"/>
        <w:ind w:firstLine="0" w:left="839"/>
      </w:pPr>
      <w:r>
        <w:rPr>
          <w:rFonts w:ascii="Times New Roman" w:hAnsi="Times New Roman" w:eastAsia="宋体"/>
          <w:b w:val="0"/>
          <w:sz w:val="18"/>
        </w:rPr>
        <w:t>5.5.1 实验笔记结构化整理任务</w:t>
        <w:tab/>
        <w:t>32</w:t>
      </w:r>
    </w:p>
    <w:p>
      <w:pPr>
        <w:tabs>
          <w:tab w:pos="8504" w:val="right" w:leader="dot"/>
        </w:tabs>
        <w:spacing w:before="0" w:after="0" w:lineRule="exact" w:line="320"/>
        <w:ind w:firstLine="0" w:left="839"/>
      </w:pPr>
      <w:r>
        <w:rPr>
          <w:rFonts w:ascii="Times New Roman" w:hAnsi="Times New Roman" w:eastAsia="宋体"/>
          <w:b w:val="0"/>
          <w:sz w:val="18"/>
        </w:rPr>
        <w:t>5.5.2 实验总结与周报生成任务</w:t>
        <w:tab/>
        <w:t>33</w:t>
      </w:r>
    </w:p>
    <w:p>
      <w:pPr>
        <w:tabs>
          <w:tab w:pos="8504" w:val="right" w:leader="dot"/>
        </w:tabs>
        <w:spacing w:before="0" w:after="0" w:lineRule="exact" w:line="320"/>
        <w:ind w:firstLine="0" w:left="839"/>
      </w:pPr>
      <w:r>
        <w:rPr>
          <w:rFonts w:ascii="Times New Roman" w:hAnsi="Times New Roman" w:eastAsia="宋体"/>
          <w:b w:val="0"/>
          <w:sz w:val="18"/>
        </w:rPr>
        <w:t>5.5.3 实验知识图谱概览生成任务</w:t>
        <w:tab/>
        <w:t>33</w:t>
      </w:r>
    </w:p>
    <w:p>
      <w:pPr>
        <w:tabs>
          <w:tab w:pos="8504" w:val="right" w:leader="dot"/>
        </w:tabs>
        <w:spacing w:before="0" w:after="0" w:lineRule="exact" w:line="320"/>
        <w:ind w:firstLine="0" w:left="420"/>
      </w:pPr>
      <w:r>
        <w:rPr>
          <w:rFonts w:ascii="Times New Roman" w:hAnsi="Times New Roman" w:eastAsia="宋体"/>
          <w:b w:val="0"/>
          <w:sz w:val="18"/>
        </w:rPr>
        <w:t>5.6 基于工具调用/MCP 的辅助生成机制</w:t>
        <w:tab/>
        <w:t>33</w:t>
      </w:r>
    </w:p>
    <w:p>
      <w:pPr>
        <w:tabs>
          <w:tab w:pos="8504" w:val="right" w:leader="dot"/>
        </w:tabs>
        <w:spacing w:before="0" w:after="0" w:lineRule="exact" w:line="320"/>
        <w:ind w:firstLine="0" w:left="420"/>
      </w:pPr>
      <w:r>
        <w:rPr>
          <w:rFonts w:ascii="Times New Roman" w:hAnsi="Times New Roman" w:eastAsia="宋体"/>
          <w:b w:val="0"/>
          <w:sz w:val="18"/>
        </w:rPr>
        <w:t>5.7 本章小结</w:t>
        <w:tab/>
        <w:t>34</w:t>
      </w:r>
    </w:p>
    <w:p>
      <w:pPr>
        <w:tabs>
          <w:tab w:pos="8504" w:val="right" w:leader="dot"/>
        </w:tabs>
        <w:spacing w:before="0" w:after="0" w:lineRule="exact" w:line="320"/>
        <w:ind w:firstLine="0" w:left="0"/>
      </w:pPr>
      <w:r>
        <w:rPr>
          <w:rFonts w:ascii="Times New Roman" w:hAnsi="Times New Roman" w:eastAsia="黑体"/>
          <w:b/>
          <w:sz w:val="20"/>
        </w:rPr>
        <w:t>第六章 智能电子实验笔记系统设计与实现</w:t>
        <w:tab/>
        <w:t>35</w:t>
      </w:r>
    </w:p>
    <w:p>
      <w:pPr>
        <w:tabs>
          <w:tab w:pos="8504" w:val="right" w:leader="dot"/>
        </w:tabs>
        <w:spacing w:before="0" w:after="0" w:lineRule="exact" w:line="320"/>
        <w:ind w:firstLine="0" w:left="420"/>
      </w:pPr>
      <w:r>
        <w:rPr>
          <w:rFonts w:ascii="Times New Roman" w:hAnsi="Times New Roman" w:eastAsia="宋体"/>
          <w:b w:val="0"/>
          <w:sz w:val="18"/>
        </w:rPr>
        <w:t>6.1 系统架构设计</w:t>
        <w:tab/>
        <w:t>35</w:t>
      </w:r>
    </w:p>
    <w:p>
      <w:pPr>
        <w:tabs>
          <w:tab w:pos="8504" w:val="right" w:leader="dot"/>
        </w:tabs>
        <w:spacing w:before="0" w:after="0" w:lineRule="exact" w:line="320"/>
        <w:ind w:firstLine="0" w:left="420"/>
      </w:pPr>
      <w:r>
        <w:rPr>
          <w:rFonts w:ascii="Times New Roman" w:hAnsi="Times New Roman" w:eastAsia="宋体"/>
          <w:b w:val="0"/>
          <w:sz w:val="18"/>
        </w:rPr>
        <w:t>6.2 系统功能模块设计</w:t>
        <w:tab/>
        <w:t>36</w:t>
      </w:r>
    </w:p>
    <w:p>
      <w:pPr>
        <w:tabs>
          <w:tab w:pos="8504" w:val="right" w:leader="dot"/>
        </w:tabs>
        <w:spacing w:before="0" w:after="0" w:lineRule="exact" w:line="320"/>
        <w:ind w:firstLine="0" w:left="420"/>
      </w:pPr>
      <w:r>
        <w:rPr>
          <w:rFonts w:ascii="Times New Roman" w:hAnsi="Times New Roman" w:eastAsia="宋体"/>
          <w:b w:val="0"/>
          <w:sz w:val="18"/>
        </w:rPr>
        <w:t>6.3 数据库设计</w:t>
        <w:tab/>
        <w:t>39</w:t>
      </w:r>
    </w:p>
    <w:p>
      <w:pPr>
        <w:tabs>
          <w:tab w:pos="8504" w:val="right" w:leader="dot"/>
        </w:tabs>
        <w:spacing w:before="0" w:after="0" w:lineRule="exact" w:line="320"/>
        <w:ind w:firstLine="0" w:left="420"/>
      </w:pPr>
      <w:r>
        <w:rPr>
          <w:rFonts w:ascii="Times New Roman" w:hAnsi="Times New Roman" w:eastAsia="宋体"/>
          <w:b w:val="0"/>
          <w:sz w:val="18"/>
        </w:rPr>
        <w:t>6.4 用户与权限模块实现</w:t>
        <w:tab/>
        <w:t>39</w:t>
      </w:r>
    </w:p>
    <w:p>
      <w:pPr>
        <w:tabs>
          <w:tab w:pos="8504" w:val="right" w:leader="dot"/>
        </w:tabs>
        <w:spacing w:before="0" w:after="0" w:lineRule="exact" w:line="320"/>
        <w:ind w:firstLine="0" w:left="420"/>
      </w:pPr>
      <w:r>
        <w:rPr>
          <w:rFonts w:ascii="Times New Roman" w:hAnsi="Times New Roman" w:eastAsia="宋体"/>
          <w:b w:val="0"/>
          <w:sz w:val="18"/>
        </w:rPr>
        <w:t>6.5 项目与实验笔记模块实现</w:t>
        <w:tab/>
        <w:t>40</w:t>
      </w:r>
    </w:p>
    <w:p>
      <w:pPr>
        <w:tabs>
          <w:tab w:pos="8504" w:val="right" w:leader="dot"/>
        </w:tabs>
        <w:spacing w:before="0" w:after="0" w:lineRule="exact" w:line="320"/>
        <w:ind w:firstLine="0" w:left="420"/>
      </w:pPr>
      <w:r>
        <w:rPr>
          <w:rFonts w:ascii="Times New Roman" w:hAnsi="Times New Roman" w:eastAsia="宋体"/>
          <w:b w:val="0"/>
          <w:sz w:val="18"/>
        </w:rPr>
        <w:t>6.6 附件资料与审核模块实现</w:t>
        <w:tab/>
        <w:t>40</w:t>
      </w:r>
    </w:p>
    <w:p>
      <w:pPr>
        <w:tabs>
          <w:tab w:pos="8504" w:val="right" w:leader="dot"/>
        </w:tabs>
        <w:spacing w:before="0" w:after="0" w:lineRule="exact" w:line="320"/>
        <w:ind w:firstLine="0" w:left="420"/>
      </w:pPr>
      <w:r>
        <w:rPr>
          <w:rFonts w:ascii="Times New Roman" w:hAnsi="Times New Roman" w:eastAsia="宋体"/>
          <w:b w:val="0"/>
          <w:sz w:val="18"/>
        </w:rPr>
        <w:t>6.7 知识图谱模块实现</w:t>
        <w:tab/>
        <w:t>41</w:t>
      </w:r>
    </w:p>
    <w:p>
      <w:pPr>
        <w:tabs>
          <w:tab w:pos="8504" w:val="right" w:leader="dot"/>
        </w:tabs>
        <w:spacing w:before="0" w:after="0" w:lineRule="exact" w:line="320"/>
        <w:ind w:firstLine="0" w:left="420"/>
      </w:pPr>
      <w:r>
        <w:rPr>
          <w:rFonts w:ascii="Times New Roman" w:hAnsi="Times New Roman" w:eastAsia="宋体"/>
          <w:b w:val="0"/>
          <w:sz w:val="18"/>
        </w:rPr>
        <w:t>6.8 AI 问答与智能辅助生成模块实现</w:t>
        <w:tab/>
        <w:t>42</w:t>
      </w:r>
    </w:p>
    <w:p>
      <w:pPr>
        <w:tabs>
          <w:tab w:pos="8504" w:val="right" w:leader="dot"/>
        </w:tabs>
        <w:spacing w:before="0" w:after="0" w:lineRule="exact" w:line="320"/>
        <w:ind w:firstLine="0" w:left="420"/>
      </w:pPr>
      <w:r>
        <w:rPr>
          <w:rFonts w:ascii="Times New Roman" w:hAnsi="Times New Roman" w:eastAsia="宋体"/>
          <w:b w:val="0"/>
          <w:sz w:val="18"/>
        </w:rPr>
        <w:t>6.9 安全与审计追溯实现</w:t>
        <w:tab/>
        <w:t>42</w:t>
      </w:r>
    </w:p>
    <w:p>
      <w:r>
        <w:br w:type="page"/>
      </w:r>
    </w:p>
    <w:p>
      <w:pPr>
        <w:tabs>
          <w:tab w:pos="8504" w:val="right" w:leader="dot"/>
        </w:tabs>
        <w:spacing w:before="0" w:after="0" w:lineRule="exact" w:line="320"/>
        <w:ind w:firstLine="0" w:left="420"/>
      </w:pPr>
      <w:r>
        <w:rPr>
          <w:rFonts w:ascii="Times New Roman" w:hAnsi="Times New Roman" w:eastAsia="宋体"/>
          <w:b w:val="0"/>
          <w:sz w:val="18"/>
        </w:rPr>
        <w:t>6.10 本章小结</w:t>
        <w:tab/>
        <w:t>43</w:t>
      </w:r>
    </w:p>
    <w:p>
      <w:pPr>
        <w:tabs>
          <w:tab w:pos="8504" w:val="right" w:leader="dot"/>
        </w:tabs>
        <w:spacing w:before="0" w:after="0" w:lineRule="exact" w:line="320"/>
        <w:ind w:firstLine="0" w:left="0"/>
      </w:pPr>
      <w:r>
        <w:rPr>
          <w:rFonts w:ascii="Times New Roman" w:hAnsi="Times New Roman" w:eastAsia="黑体"/>
          <w:b/>
          <w:sz w:val="20"/>
        </w:rPr>
        <w:t>第七章 实验与结果分析</w:t>
        <w:tab/>
        <w:t>44</w:t>
      </w:r>
    </w:p>
    <w:p>
      <w:pPr>
        <w:tabs>
          <w:tab w:pos="8504" w:val="right" w:leader="dot"/>
        </w:tabs>
        <w:spacing w:before="0" w:after="0" w:lineRule="exact" w:line="320"/>
        <w:ind w:firstLine="0" w:left="420"/>
      </w:pPr>
      <w:r>
        <w:rPr>
          <w:rFonts w:ascii="Times New Roman" w:hAnsi="Times New Roman" w:eastAsia="宋体"/>
          <w:b w:val="0"/>
          <w:sz w:val="18"/>
        </w:rPr>
        <w:t>7.1 实验目标与评价指标</w:t>
        <w:tab/>
        <w:t>44</w:t>
      </w:r>
    </w:p>
    <w:p>
      <w:pPr>
        <w:tabs>
          <w:tab w:pos="8504" w:val="right" w:leader="dot"/>
        </w:tabs>
        <w:spacing w:before="0" w:after="0" w:lineRule="exact" w:line="320"/>
        <w:ind w:firstLine="0" w:left="420"/>
      </w:pPr>
      <w:r>
        <w:rPr>
          <w:rFonts w:ascii="Times New Roman" w:hAnsi="Times New Roman" w:eastAsia="宋体"/>
          <w:b w:val="0"/>
          <w:sz w:val="18"/>
        </w:rPr>
        <w:t>7.2 实验环境与测试数据</w:t>
        <w:tab/>
        <w:t>45</w:t>
      </w:r>
    </w:p>
    <w:p>
      <w:pPr>
        <w:tabs>
          <w:tab w:pos="8504" w:val="right" w:leader="dot"/>
        </w:tabs>
        <w:spacing w:before="0" w:after="0" w:lineRule="exact" w:line="320"/>
        <w:ind w:firstLine="0" w:left="420"/>
      </w:pPr>
      <w:r>
        <w:rPr>
          <w:rFonts w:ascii="Times New Roman" w:hAnsi="Times New Roman" w:eastAsia="宋体"/>
          <w:b w:val="0"/>
          <w:sz w:val="18"/>
        </w:rPr>
        <w:t>7.3 功能闭环与安全边界测试</w:t>
        <w:tab/>
        <w:t>46</w:t>
      </w:r>
    </w:p>
    <w:p>
      <w:pPr>
        <w:tabs>
          <w:tab w:pos="8504" w:val="right" w:leader="dot"/>
        </w:tabs>
        <w:spacing w:before="0" w:after="0" w:lineRule="exact" w:line="320"/>
        <w:ind w:firstLine="0" w:left="420"/>
      </w:pPr>
      <w:r>
        <w:rPr>
          <w:rFonts w:ascii="Times New Roman" w:hAnsi="Times New Roman" w:eastAsia="宋体"/>
          <w:b w:val="0"/>
          <w:sz w:val="18"/>
        </w:rPr>
        <w:t>7.4 知识图谱构建效果分析</w:t>
        <w:tab/>
        <w:t>47</w:t>
      </w:r>
    </w:p>
    <w:p>
      <w:pPr>
        <w:tabs>
          <w:tab w:pos="8504" w:val="right" w:leader="dot"/>
        </w:tabs>
        <w:spacing w:before="0" w:after="0" w:lineRule="exact" w:line="320"/>
        <w:ind w:firstLine="0" w:left="420"/>
      </w:pPr>
      <w:r>
        <w:rPr>
          <w:rFonts w:ascii="Times New Roman" w:hAnsi="Times New Roman" w:eastAsia="宋体"/>
          <w:b w:val="0"/>
          <w:sz w:val="18"/>
        </w:rPr>
        <w:t>7.5 普通 RAG 与图谱增强 RAG 对照实验</w:t>
        <w:tab/>
        <w:t>48</w:t>
      </w:r>
    </w:p>
    <w:p>
      <w:pPr>
        <w:tabs>
          <w:tab w:pos="8504" w:val="right" w:leader="dot"/>
        </w:tabs>
        <w:spacing w:before="0" w:after="0" w:lineRule="exact" w:line="320"/>
        <w:ind w:firstLine="0" w:left="839"/>
      </w:pPr>
      <w:r>
        <w:rPr>
          <w:rFonts w:ascii="Times New Roman" w:hAnsi="Times New Roman" w:eastAsia="宋体"/>
          <w:b w:val="0"/>
          <w:sz w:val="18"/>
        </w:rPr>
        <w:t>7.5.1 实验控制与答案规则</w:t>
        <w:tab/>
        <w:t>48</w:t>
      </w:r>
    </w:p>
    <w:p>
      <w:pPr>
        <w:tabs>
          <w:tab w:pos="8504" w:val="right" w:leader="dot"/>
        </w:tabs>
        <w:spacing w:before="0" w:after="0" w:lineRule="exact" w:line="320"/>
        <w:ind w:firstLine="0" w:left="839"/>
      </w:pPr>
      <w:r>
        <w:rPr>
          <w:rFonts w:ascii="Times New Roman" w:hAnsi="Times New Roman" w:eastAsia="宋体"/>
          <w:b w:val="0"/>
          <w:sz w:val="18"/>
        </w:rPr>
        <w:t>7.5.2 总体结果与分题型结果</w:t>
        <w:tab/>
        <w:t>49</w:t>
      </w:r>
    </w:p>
    <w:p>
      <w:pPr>
        <w:tabs>
          <w:tab w:pos="8504" w:val="right" w:leader="dot"/>
        </w:tabs>
        <w:spacing w:before="0" w:after="0" w:lineRule="exact" w:line="320"/>
        <w:ind w:firstLine="0" w:left="839"/>
      </w:pPr>
      <w:r>
        <w:rPr>
          <w:rFonts w:ascii="Times New Roman" w:hAnsi="Times New Roman" w:eastAsia="宋体"/>
          <w:b w:val="0"/>
          <w:sz w:val="18"/>
        </w:rPr>
        <w:t>7.5.3 时延异常与参数敏感性</w:t>
        <w:tab/>
        <w:t>51</w:t>
      </w:r>
    </w:p>
    <w:p>
      <w:pPr>
        <w:tabs>
          <w:tab w:pos="8504" w:val="right" w:leader="dot"/>
        </w:tabs>
        <w:spacing w:before="0" w:after="0" w:lineRule="exact" w:line="320"/>
        <w:ind w:firstLine="0" w:left="420"/>
      </w:pPr>
      <w:r>
        <w:rPr>
          <w:rFonts w:ascii="Times New Roman" w:hAnsi="Times New Roman" w:eastAsia="宋体"/>
          <w:b w:val="0"/>
          <w:sz w:val="18"/>
        </w:rPr>
        <w:t>7.6 固定任务型智能辅助生成验证</w:t>
        <w:tab/>
        <w:t>52</w:t>
      </w:r>
    </w:p>
    <w:p>
      <w:pPr>
        <w:tabs>
          <w:tab w:pos="8504" w:val="right" w:leader="dot"/>
        </w:tabs>
        <w:spacing w:before="0" w:after="0" w:lineRule="exact" w:line="320"/>
        <w:ind w:firstLine="0" w:left="420"/>
      </w:pPr>
      <w:r>
        <w:rPr>
          <w:rFonts w:ascii="Times New Roman" w:hAnsi="Times New Roman" w:eastAsia="宋体"/>
          <w:b w:val="0"/>
          <w:sz w:val="18"/>
        </w:rPr>
        <w:t>7.7 场景化验证与审计追溯</w:t>
        <w:tab/>
        <w:t>54</w:t>
      </w:r>
    </w:p>
    <w:p>
      <w:pPr>
        <w:tabs>
          <w:tab w:pos="8504" w:val="right" w:leader="dot"/>
        </w:tabs>
        <w:spacing w:before="0" w:after="0" w:lineRule="exact" w:line="320"/>
        <w:ind w:firstLine="0" w:left="420"/>
      </w:pPr>
      <w:r>
        <w:rPr>
          <w:rFonts w:ascii="Times New Roman" w:hAnsi="Times New Roman" w:eastAsia="宋体"/>
          <w:b w:val="0"/>
          <w:sz w:val="18"/>
        </w:rPr>
        <w:t>7.8 实验结果分析</w:t>
        <w:tab/>
        <w:t>55</w:t>
      </w:r>
    </w:p>
    <w:p>
      <w:pPr>
        <w:tabs>
          <w:tab w:pos="8504" w:val="right" w:leader="dot"/>
        </w:tabs>
        <w:spacing w:before="0" w:after="0" w:lineRule="exact" w:line="320"/>
        <w:ind w:firstLine="0" w:left="420"/>
      </w:pPr>
      <w:r>
        <w:rPr>
          <w:rFonts w:ascii="Times New Roman" w:hAnsi="Times New Roman" w:eastAsia="宋体"/>
          <w:b w:val="0"/>
          <w:sz w:val="18"/>
        </w:rPr>
        <w:t>7.9 本章小结</w:t>
        <w:tab/>
        <w:t>55</w:t>
      </w:r>
    </w:p>
    <w:p>
      <w:pPr>
        <w:tabs>
          <w:tab w:pos="8504" w:val="right" w:leader="dot"/>
        </w:tabs>
        <w:spacing w:before="0" w:after="0" w:lineRule="exact" w:line="320"/>
        <w:ind w:firstLine="0" w:left="0"/>
      </w:pPr>
      <w:r>
        <w:rPr>
          <w:rFonts w:ascii="Times New Roman" w:hAnsi="Times New Roman" w:eastAsia="黑体"/>
          <w:b/>
          <w:sz w:val="20"/>
        </w:rPr>
        <w:t>第八章 总结与展望</w:t>
        <w:tab/>
        <w:t>57</w:t>
      </w:r>
    </w:p>
    <w:p>
      <w:pPr>
        <w:tabs>
          <w:tab w:pos="8504" w:val="right" w:leader="dot"/>
        </w:tabs>
        <w:spacing w:before="0" w:after="0" w:lineRule="exact" w:line="320"/>
        <w:ind w:firstLine="0" w:left="420"/>
      </w:pPr>
      <w:r>
        <w:rPr>
          <w:rFonts w:ascii="Times New Roman" w:hAnsi="Times New Roman" w:eastAsia="宋体"/>
          <w:b w:val="0"/>
          <w:sz w:val="18"/>
        </w:rPr>
        <w:t>8.1 工作总结</w:t>
        <w:tab/>
        <w:t>57</w:t>
      </w:r>
    </w:p>
    <w:p>
      <w:pPr>
        <w:tabs>
          <w:tab w:pos="8504" w:val="right" w:leader="dot"/>
        </w:tabs>
        <w:spacing w:before="0" w:after="0" w:lineRule="exact" w:line="320"/>
        <w:ind w:firstLine="0" w:left="420"/>
      </w:pPr>
      <w:r>
        <w:rPr>
          <w:rFonts w:ascii="Times New Roman" w:hAnsi="Times New Roman" w:eastAsia="宋体"/>
          <w:b w:val="0"/>
          <w:sz w:val="18"/>
        </w:rPr>
        <w:t>8.2 主要创新点总结</w:t>
        <w:tab/>
        <w:t>57</w:t>
      </w:r>
    </w:p>
    <w:p>
      <w:pPr>
        <w:tabs>
          <w:tab w:pos="8504" w:val="right" w:leader="dot"/>
        </w:tabs>
        <w:spacing w:before="0" w:after="0" w:lineRule="exact" w:line="320"/>
        <w:ind w:firstLine="0" w:left="420"/>
      </w:pPr>
      <w:r>
        <w:rPr>
          <w:rFonts w:ascii="Times New Roman" w:hAnsi="Times New Roman" w:eastAsia="宋体"/>
          <w:b w:val="0"/>
          <w:sz w:val="18"/>
        </w:rPr>
        <w:t>8.3 不足分析</w:t>
        <w:tab/>
        <w:t>57</w:t>
      </w:r>
    </w:p>
    <w:p>
      <w:pPr>
        <w:tabs>
          <w:tab w:pos="8504" w:val="right" w:leader="dot"/>
        </w:tabs>
        <w:spacing w:before="0" w:after="0" w:lineRule="exact" w:line="320"/>
        <w:ind w:firstLine="0" w:left="420"/>
      </w:pPr>
      <w:r>
        <w:rPr>
          <w:rFonts w:ascii="Times New Roman" w:hAnsi="Times New Roman" w:eastAsia="宋体"/>
          <w:b w:val="0"/>
          <w:sz w:val="18"/>
        </w:rPr>
        <w:t>8.4 未来展望</w:t>
        <w:tab/>
        <w:t>58</w:t>
      </w:r>
    </w:p>
    <w:p>
      <w:pPr>
        <w:tabs>
          <w:tab w:pos="8504" w:val="right" w:leader="dot"/>
        </w:tabs>
        <w:spacing w:before="0" w:after="0" w:lineRule="exact" w:line="320"/>
        <w:ind w:firstLine="0" w:left="0"/>
      </w:pPr>
      <w:r>
        <w:rPr>
          <w:rFonts w:ascii="Times New Roman" w:hAnsi="Times New Roman" w:eastAsia="黑体"/>
          <w:b/>
          <w:sz w:val="20"/>
        </w:rPr>
        <w:t>参考文献</w:t>
        <w:tab/>
        <w:t>59</w:t>
      </w:r>
    </w:p>
    <w:p>
      <w:pPr>
        <w:tabs>
          <w:tab w:pos="8504" w:val="right" w:leader="dot"/>
        </w:tabs>
        <w:spacing w:before="0" w:after="0" w:lineRule="exact" w:line="320"/>
        <w:ind w:firstLine="0" w:left="0"/>
      </w:pPr>
      <w:r>
        <w:rPr>
          <w:rFonts w:ascii="Times New Roman" w:hAnsi="Times New Roman" w:eastAsia="黑体"/>
          <w:b/>
          <w:sz w:val="20"/>
        </w:rPr>
        <w:t>致谢</w:t>
        <w:tab/>
        <w:t>69</w:t>
      </w:r>
    </w:p>
    <w:p>
      <w:pPr>
        <w:tabs>
          <w:tab w:pos="8504" w:val="right" w:leader="dot"/>
        </w:tabs>
        <w:spacing w:before="0" w:after="0" w:lineRule="exact" w:line="320"/>
        <w:ind w:firstLine="0" w:left="0"/>
      </w:pPr>
      <w:r>
        <w:rPr>
          <w:rFonts w:ascii="Times New Roman" w:hAnsi="Times New Roman" w:eastAsia="黑体"/>
          <w:b/>
          <w:sz w:val="20"/>
        </w:rPr>
        <w:t>附录 A RAG 对照实验问题清单</w:t>
        <w:tab/>
        <w:t>70</w:t>
      </w:r>
    </w:p>
    <w:p>
      <w:pPr>
        <w:tabs>
          <w:tab w:pos="8504" w:val="right" w:leader="dot"/>
        </w:tabs>
        <w:spacing w:before="0" w:after="0" w:lineRule="exact" w:line="320"/>
        <w:ind w:firstLine="0" w:left="0"/>
      </w:pPr>
      <w:r>
        <w:rPr>
          <w:rFonts w:ascii="Times New Roman" w:hAnsi="Times New Roman" w:eastAsia="黑体"/>
          <w:b/>
          <w:sz w:val="20"/>
        </w:rPr>
        <w:t>附录 B 系统实现与评价补充材料</w:t>
        <w:tab/>
        <w:t>72</w:t>
      </w:r>
    </w:p>
    <w:p>
      <w:pPr>
        <w:tabs>
          <w:tab w:pos="8504" w:val="right" w:leader="dot"/>
        </w:tabs>
        <w:spacing w:before="0" w:after="0" w:lineRule="exact" w:line="320"/>
        <w:ind w:firstLine="0" w:left="420"/>
      </w:pPr>
      <w:r>
        <w:rPr>
          <w:rFonts w:ascii="Times New Roman" w:hAnsi="Times New Roman" w:eastAsia="宋体"/>
          <w:b w:val="0"/>
          <w:sz w:val="18"/>
        </w:rPr>
        <w:t>B.1 核心数据表映射</w:t>
        <w:tab/>
        <w:t>72</w:t>
      </w:r>
    </w:p>
    <w:p>
      <w:pPr>
        <w:tabs>
          <w:tab w:pos="8504" w:val="right" w:leader="dot"/>
        </w:tabs>
        <w:spacing w:before="0" w:after="0" w:lineRule="exact" w:line="320"/>
        <w:ind w:firstLine="0" w:left="420"/>
      </w:pPr>
      <w:r>
        <w:rPr>
          <w:rFonts w:ascii="Times New Roman" w:hAnsi="Times New Roman" w:eastAsia="宋体"/>
          <w:b w:val="0"/>
          <w:sz w:val="18"/>
        </w:rPr>
        <w:t>B.2 实验附件与人工盲评协议</w:t>
        <w:tab/>
        <w:t>72</w:t>
      </w:r>
    </w:p>
    <w:p>
      <w:pPr>
        <w:sectPr>
          <w:footerReference w:type="default" r:id="rId9"/>
          <w:pgSz w:w="11906" w:h="16838"/>
          <w:pgMar w:top="1587" w:right="1587" w:bottom="1587" w:left="1587" w:header="720" w:footer="720" w:gutter="0"/>
          <w:cols w:space="720"/>
          <w:docGrid w:linePitch="360"/>
        </w:sectPr>
      </w:pP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p>
      <w:pPr>
        <w:keepNext/>
        <w:spacing w:lineRule="exact" w:line="300"/>
        <w:ind w:firstLine="0"/>
        <w:jc w:val="center"/>
      </w:pPr>
      <w:r>
        <w:rPr>
          <w:rFonts w:ascii="Times New Roman" w:hAnsi="Times New Roman" w:eastAsia="宋体"/>
          <w:b/>
          <w:sz w:val="20"/>
        </w:rPr>
        <w:t>表 1-1 代表性研究路线对比</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路线</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主要研究对象</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结构化关系证据</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权限与审核约束</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检索/推理能力</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可复核评价记录</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openBIS ELN-LIMS[2]</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实验、样本和实验室数据管理</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以业务对象和元数据管理为主</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支持访问控制;文献未报告“审核状态驱动图谱并进入 RAG”的闭环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不以生成式问答为目标</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侧重业务数据追踪</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普通 RAG[7-9]</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通用文档问答</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主要使用文本片段</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取决于具体部署</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稠密/词项检索与生成</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通常保存文本来源,未必保存业务审核链</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GraphRAG/LightRAG[10-11]</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通用语料的图文检索与摘要</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图结构索引、社区或实体关系</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不针对 ELN 项目审核流程</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支持更复杂的图检索与全局信息聚合</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评价以通用问答和检索指标为主</w:t>
            </w:r>
          </w:p>
        </w:tc>
      </w:tr>
      <w:tr>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本文方法</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已审核实验笔记与项目资料</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ELN 实体关系作为一跳证据</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project_id 隔离,审核后抽取,接口复用项目权限</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关键词与关系类型提示的轻量检索,不执行多跳推理</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keepNext/>
        <w:keepLines/>
        <w:pageBreakBefore/>
        <w:spacing w:line="240" w:lineRule="auto"/>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1"/>
                    <a:stretch>
                      <a:fillRect/>
                    </a:stretch>
                  </pic:blipFill>
                  <pic:spPr>
                    <a:xfrm>
                      <a:off x="0" y="0"/>
                      <a:ext cx="5220000" cy="2833714"/>
                    </a:xfrm>
                    <a:prstGeom prst="rect"/>
                  </pic:spPr>
                </pic:pic>
              </a:graphicData>
            </a:graphic>
          </wp:inline>
        </w:drawing>
      </w:r>
    </w:p>
    <w:p>
      <w:pPr>
        <w:keepLines/>
        <w:spacing w:lineRule="exact" w:line="300"/>
        <w:ind w:firstLine="0"/>
        <w:jc w:val="center"/>
      </w:pPr>
      <w:r>
        <w:rPr>
          <w:rFonts w:ascii="Times New Roman" w:hAnsi="Times New Roman" w:eastAsia="宋体"/>
          <w:b/>
          <w:sz w:val="20"/>
        </w:rPr>
        <w:t>图 1-1 论文组织结构</w:t>
      </w:r>
    </w:p>
    <w:p>
      <w:r>
        <w:br w:type="page"/>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r>
        <w:br w:type="page"/>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11-role-permission-boundary.png"/>
                    <pic:cNvPicPr/>
                  </pic:nvPicPr>
                  <pic:blipFill>
                    <a:blip r:embed="rId12"/>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3-1 系统级与项目级角色权限边界</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p>
      <w:pPr>
        <w:keepNext/>
        <w:spacing w:lineRule="exact" w:line="300"/>
        <w:ind w:firstLine="0"/>
        <w:jc w:val="center"/>
      </w:pPr>
      <w:r>
        <w:rPr>
          <w:rFonts w:ascii="Times New Roman" w:hAnsi="Times New Roman" w:eastAsia="宋体"/>
          <w:b/>
          <w:sz w:val="20"/>
        </w:rPr>
        <w:t>表 3-1 系统主要角色与权限需求</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角色</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权限作用域</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系统用户与全局角色管理</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项目创建与全局统计</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项目内读写/审核</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项目成员与配置管理</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系统管理员</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全系统、全部项目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可用于全局运维和异常处置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可管理任意项目</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项目负责人</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负责的项目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仅限负责的项目</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审核人员</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被授权项目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读取、审核和评价</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普通成员</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被授权项目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读取、编辑和智能生成</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r>
      <w:tr>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只读成员</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被授权项目</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仅读取</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12-trusted-knowledge-loop.png"/>
                    <pic:cNvPicPr/>
                  </pic:nvPicPr>
                  <pic:blipFill>
                    <a:blip r:embed="rId13"/>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3-2 项目边界内可信知识闭环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r>
        <w:br w:type="page"/>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p>
      <w:pPr>
        <w:keepNext/>
        <w:spacing w:lineRule="exact" w:line="300"/>
        <w:ind w:firstLine="0"/>
        <w:jc w:val="center"/>
      </w:pPr>
      <w:r>
        <w:rPr>
          <w:rFonts w:ascii="Times New Roman" w:hAnsi="Times New Roman" w:eastAsia="宋体"/>
          <w:b/>
          <w:sz w:val="20"/>
        </w:rPr>
        <w:t>表 4-1 实验知识图谱实体类型</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实体类型</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系统标识</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含义</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主要来源</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科研项目或实验项目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note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项目下的单条实验记录</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user</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实验记录创建者或相关人员</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附件资料</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file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实验附件或项目知识文档</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文件表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实验类型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experiment_type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PCR、Western Blot、细胞培养等分类</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笔记字段</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试剂</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reagent</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实验中使用的试剂、材料或药品</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仪器</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instrument</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实验中使用的仪器或设备</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样本</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sample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实验样本、样品或处理组</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实验结果</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result</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实验观察、结果或结论</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13-kg-schema.png"/>
                    <pic:cNvPicPr/>
                  </pic:nvPicPr>
                  <pic:blipFill>
                    <a:blip r:embed="rId14"/>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4-1 实验知识图谱实体关系模型</w:t>
      </w:r>
    </w:p>
    <w:p>
      <w:r>
        <w:rPr>
          <w:rFonts w:ascii="Times New Roman" w:hAnsi="Times New Roman" w:eastAsia="宋体"/>
          <w:b w:val="0"/>
          <w:sz w:val="24"/>
        </w:rPr>
        <w:t>表 4-2 给出了系统当前定义的实验知识关系类型。</w:t>
      </w:r>
    </w:p>
    <w:p>
      <w:pPr>
        <w:keepNext/>
        <w:spacing w:lineRule="exact" w:line="300"/>
        <w:ind w:firstLine="0"/>
        <w:jc w:val="center"/>
      </w:pPr>
      <w:r>
        <w:rPr>
          <w:rFonts w:ascii="Times New Roman" w:hAnsi="Times New Roman" w:eastAsia="宋体"/>
          <w:b/>
          <w:sz w:val="20"/>
        </w:rPr>
        <w:t>表 4-2 实验知识图谱关系类型</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关系类型</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系统标识</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源实体</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目标实体</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含义</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包含笔记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has_note</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项目下包含某条实验笔记</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创建者</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created_by</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实验笔记由某用户创建</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关联附件</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has_attachment</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附件资料</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笔记关联某个附件或资料</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实验类型</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has_experiment_type</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实验类型</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笔记属于某类实验</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使用试剂</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uses_reagent</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试剂</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实验过程中使用某种试剂</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使用仪器</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uses_instrument</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仪器</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实验过程中使用某种仪器</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使用样本</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uses_sample</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样本</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实验过程中使用某类样本</w:t>
            </w:r>
          </w:p>
        </w:tc>
      </w:tr>
      <w:tr>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产生结果</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produces_result</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实验结果</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14-kg-construction-flow.png"/>
                    <pic:cNvPicPr/>
                  </pic:nvPicPr>
                  <pic:blipFill>
                    <a:blip r:embed="rId15"/>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4-2 审核约束下的实验知识图谱构建流程</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第三,术语归一化与去重。系统对抽取得到的术语 raw_term 依次执行 Unicode NFKC 宽度归一化、英文字符小写化、标点替换为空格、连续空白合并和首尾空白清理,得到 normalized_label。例如,Taq-DNA Polymerase 与 taq DNA polymerase 均归一化为 taq dna polymerase。随后将实体类型与归一化名称按 etype:normalized_label 的形式拼接为自然键;项目编号由数据表的 project_id 字段单独参与唯一性约束。</w:t>
      </w:r>
    </w:p>
    <w:p>
      <w:r>
        <w:rPr>
          <w:rFonts w:ascii="Times New Roman" w:hAnsi="Times New Roman" w:eastAsia="宋体"/>
          <w:b w:val="0"/>
          <w:sz w:val="24"/>
        </w:rPr>
        <w:t>在写入 kg_entities 表时,label 保存清理首尾空白后的可读展示名,normalized_label 保存上述归一化结果,并以 normalized_label 构造 natural_key。系统检查同一项目内是否已存在相同的自然键;若已存在则复用已有实体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732"/>
      </w:tblGrid>
      <w:tr>
        <w:tc>
          <w:tcPr>
            <w:tcW w:type="dxa" w:w="873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conf</m:t>
              </m:r>
              <m:r>
                <m:t xml:space="preserve">(r) = </m:t>
              </m:r>
              <m:d>
                <m:dPr>
                  <m:begChr m:val="{"/>
                  <m:endChr m:val=""/>
                </m:dPr>
                <m:e>
                  <m:m>
                    <m:mPr>
                      <m:mcs>
                        <m:mc>
                          <m:mcPr>
                            <m:count m:val="1"/>
                            <m:mcJc m:val="right"/>
                          </m:mcPr>
                        </m:mc>
                        <m:mc>
                          <m:mcPr>
                            <m:count m:val="1"/>
                            <m:mcJc m:val="left"/>
                          </m:mcPr>
                        </m:mc>
                      </m:mcs>
                    </m:mPr>
                    <m:mr>
                      <m:e>
                        <m:r>
                          <m:t>1.0</m:t>
                        </m:r>
                      </m:e>
                      <m:e>
                        <m:r>
                          <m:rPr>
                            <m:sty m:val="p"/>
                          </m:rPr>
                          <m:t>,  r 来自数据库元数据</m:t>
                        </m:r>
                      </m:e>
                    </m:mr>
                    <m:mr>
                      <m:e>
                        <m:r>
                          <m:t>0.7</m:t>
                        </m:r>
                      </m:e>
                      <m:e>
                        <m:r>
                          <m:rPr>
                            <m:sty m:val="p"/>
                          </m:rPr>
                          <m:t>,  r 来自结构化字段或正文规则抽取</m:t>
                        </m:r>
                      </m:e>
                    </m:mr>
                  </m:m>
                </m:e>
              </m:d>
            </m:oMath>
          </w:p>
        </w:tc>
        <w:tc>
          <w:tcPr>
            <w:tcW w:type="dxa" w:w="737"/>
            <w:vAlign w:val="center"/>
          </w:tcPr>
          <w:p>
            <w:pPr>
              <w:ind w:firstLine="0"/>
              <w:jc w:val="right"/>
            </w:pPr>
            <w:r>
              <w:rPr>
                <w:rFonts w:ascii="Times New Roman" w:hAnsi="Times New Roman" w:eastAsia="宋体"/>
                <w:sz w:val="24"/>
              </w:rPr>
              <w:t>(4-1)</w:t>
            </w:r>
          </w:p>
        </w:tc>
      </w:tr>
    </w:tbl>
    <w:p>
      <w:r>
        <w:rPr>
          <w:rFonts w:ascii="Times New Roman" w:hAnsi="Times New Roman" w:eastAsia="宋体"/>
          <w:b w:val="0"/>
          <w:sz w:val="24"/>
        </w:rPr>
        <w:t>式(4-1)不是概率估计或理论推导,而是用于显示来源类型和同分排序的元数据编码。当前检索相关性得分不把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r>
        <w:br w:type="page"/>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t>R</m:t>
                  </m:r>
                </m:e>
                <m:sub>
                  <m:r>
                    <m:t>i</m:t>
                  </m:r>
                </m:sub>
              </m:sSub>
              <m:r>
                <m:t xml:space="preserve"> = 0.8</m:t>
              </m:r>
              <m:sSub>
                <m:sSubPr/>
                <m:e>
                  <m:r>
                    <m:t>v</m:t>
                  </m:r>
                </m:e>
                <m:sub>
                  <m:r>
                    <m:t>i</m:t>
                  </m:r>
                </m:sub>
              </m:sSub>
              <m:r>
                <m:t xml:space="preserve"> + 0.2</m:t>
              </m:r>
              <m:sSub>
                <m:sSubPr/>
                <m:e>
                  <m:r>
                    <m:t>l</m:t>
                  </m:r>
                </m:e>
                <m:sub>
                  <m:r>
                    <m:t>i</m:t>
                  </m:r>
                </m:sub>
              </m:sSub>
            </m:oMath>
          </w:p>
        </w:tc>
        <w:tc>
          <w:tcPr>
            <w:tcW w:type="dxa" w:w="737"/>
            <w:vAlign w:val="center"/>
          </w:tcPr>
          <w:p>
            <w:pPr>
              <w:ind w:firstLine="0"/>
              <w:jc w:val="right"/>
            </w:pPr>
            <w:r>
              <w:rPr>
                <w:rFonts w:ascii="Times New Roman" w:hAnsi="Times New Roman" w:eastAsia="宋体"/>
                <w:sz w:val="24"/>
              </w:rPr>
              <w:t>(5-1)</w:t>
            </w:r>
          </w:p>
        </w:tc>
      </w:tr>
    </w:tbl>
    <w:p>
      <w:r>
        <w:rPr>
          <w:rFonts w:ascii="Times New Roman" w:hAnsi="Times New Roman" w:eastAsia="宋体"/>
          <w:b w:val="0"/>
          <w:sz w:val="24"/>
        </w:rPr>
        <w:t>系统按 R_i 降序选取前 6 个数据块作为资料证据,并按本次检索结果的顺序分配资料引用编号。项目级 RAG 流程包括:校验项目权限;检查本地数据集;执行混合检索;构造带证据编号的模型输入;调用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15-rag-comparison-flow.png"/>
                    <pic:cNvPicPr/>
                  </pic:nvPicPr>
                  <pic:blipFill>
                    <a:blip r:embed="rId16"/>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5-1 普通 RAG 与图谱增强 RAG 对照流程</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m>
                <m:mPr>
                  <m:mcs>
                    <m:mc>
                      <m:mcPr>
                        <m:count m:val="1"/>
                        <m:mcJc m:val="left"/>
                      </m:mcPr>
                    </m:mc>
                  </m:mcs>
                </m:mPr>
                <m:mr>
                  <m:e>
                    <m:r>
                      <m:t>G</m:t>
                    </m:r>
                    <m:r>
                      <m:t>(r,q) = 3</m:t>
                    </m:r>
                    <m:sSub>
                      <m:sSubPr/>
                      <m:e>
                        <m:r>
                          <m:t>I</m:t>
                        </m:r>
                      </m:e>
                      <m:sub>
                        <m:r>
                          <m:t>type</m:t>
                        </m:r>
                      </m:sub>
                    </m:sSub>
                    <m:r>
                      <m:t xml:space="preserve"> + </m:t>
                    </m:r>
                    <m:nary>
                      <m:naryPr>
                        <m:chr m:val="∑"/>
                        <m:limLoc m:val="undOvr"/>
                        <m:supHide m:val="1"/>
                      </m:naryPr>
                      <m:sub>
                        <m:r>
                          <m:t>k∈K(q)</m:t>
                        </m:r>
                      </m:sub>
                      <m:sup/>
                      <m:e>
                        <m:r>
                          <m:t>(3</m:t>
                        </m:r>
                        <m:sSub>
                          <m:sSubPr/>
                          <m:e>
                            <m:r>
                              <m:t>I</m:t>
                            </m:r>
                          </m:e>
                          <m:sub>
                            <m:r>
                              <m:t>exact</m:t>
                            </m:r>
                          </m:sub>
                        </m:sSub>
                        <m:r>
                          <m:t xml:space="preserve"> + </m:t>
                        </m:r>
                        <m:sSub>
                          <m:sSubPr/>
                          <m:e>
                            <m:r>
                              <m:t>I</m:t>
                            </m:r>
                          </m:e>
                          <m:sub>
                            <m:r>
                              <m:t>substring</m:t>
                            </m:r>
                          </m:sub>
                        </m:sSub>
                        <m:r>
                          <m:t>)</m:t>
                        </m:r>
                      </m:e>
                    </m:nary>
                  </m:e>
                </m:mr>
                <m:mr>
                  <m:e>
                    <m:r>
                      <m:t xml:space="preserve">                         + 0.2</m:t>
                    </m:r>
                    <m:sSub>
                      <m:sSubPr/>
                      <m:e>
                        <m:r>
                          <m:t>I</m:t>
                        </m:r>
                      </m:e>
                      <m:sub>
                        <m:r>
                          <m:t>note</m:t>
                        </m:r>
                      </m:sub>
                    </m:sSub>
                    <m:r>
                      <m:t xml:space="preserve"> + 0.3</m:t>
                    </m:r>
                    <m:sSub>
                      <m:sSubPr/>
                      <m:e>
                        <m:r>
                          <m:t>I</m:t>
                        </m:r>
                      </m:e>
                      <m:sub>
                        <m:r>
                          <m:t>extraction</m:t>
                        </m:r>
                      </m:sub>
                    </m:sSub>
                  </m:e>
                </m:mr>
              </m:m>
            </m:oMath>
          </w:p>
        </w:tc>
        <w:tc>
          <w:tcPr>
            <w:tcW w:type="dxa" w:w="737"/>
            <w:vAlign w:val="center"/>
          </w:tcPr>
          <w:p>
            <w:pPr>
              <w:ind w:firstLine="0"/>
              <w:jc w:val="right"/>
            </w:pPr>
            <w:r>
              <w:rPr>
                <w:rFonts w:ascii="Times New Roman" w:hAnsi="Times New Roman" w:eastAsia="宋体"/>
                <w:sz w:val="24"/>
              </w:rPr>
              <w:t>(5-2)</w:t>
            </w:r>
          </w:p>
        </w:tc>
      </w:tr>
    </w:tbl>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入选关系被组织为结构化证据记录,字段包括本次检索中的关系序号、源实体类型及名称、关系类型、目标实体类型及名称。关系序号用于区分多条图谱证据,并与问答日志中保存的数据库关系编号建立对应。</w:t>
      </w:r>
    </w:p>
    <w:p>
      <w:r>
        <w:rPr>
          <w:rFonts w:ascii="Times New Roman" w:hAnsi="Times New Roman" w:eastAsia="宋体"/>
          <w:b w:val="0"/>
          <w:sz w:val="24"/>
        </w:rPr>
        <w:t>图谱关系证据与已编号的资料片段共同输入同一 DeepSeek 模型。普通 RAG 与图谱增强 RAG 使用相同题集、文档候选数、生成模型、温度和最大输出长度,唯一的主要处理差异是后者额外加入一跳图谱关系证据。若显式选择图谱增强模式但没有关系达到阈值,系统仍以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16-traceability-chain.png"/>
                    <pic:cNvPicPr/>
                  </pic:nvPicPr>
                  <pic:blipFill>
                    <a:blip r:embed="rId17"/>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5-2 AI 问答证据与审计追溯链</w:t>
      </w:r>
    </w:p>
    <w:p>
      <w:r>
        <w:rPr>
          <w:rFonts w:ascii="Times New Roman" w:hAnsi="Times New Roman" w:eastAsia="宋体"/>
          <w:b w:val="0"/>
          <w:sz w:val="24"/>
        </w:rPr>
        <w:t>第一层,资料来源层。问答结果展示数据块编号、文件编号、文件名、片段内容、向量分数、词项分数和融合分数。回答中的资料引用编号与本次检索结果按顺序对应,用户可以据此核实回答依据。</w:t>
      </w:r>
    </w:p>
    <w:p>
      <w:r>
        <w:rPr>
          <w:rFonts w:ascii="Times New Roman" w:hAnsi="Times New Roman" w:eastAsia="宋体"/>
          <w:b w:val="0"/>
          <w:sz w:val="24"/>
        </w:rPr>
        <w:t>第二层,图谱依据层。图谱增强 RAG 模式额外展示关系编号、关系类型、源实体、目标实体、置信度和检索得分。系统为本次检索返回的关系证据分配顺序编号,回答引用可据此定位到具体关系记录。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r>
        <w:br w:type="page"/>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7-system-architecture.png"/>
                    <pic:cNvPicPr/>
                  </pic:nvPicPr>
                  <pic:blipFill>
                    <a:blip r:embed="rId18"/>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6-1 智能电子实验笔记系统总体架构</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keepNext/>
        <w:keepLines/>
        <w:pageBreakBefore/>
        <w:spacing w:line="240" w:lineRule="auto"/>
        <w:ind w:firstLine="0"/>
        <w:jc w:val="center"/>
      </w:pPr>
      <w:r>
        <w:drawing>
          <wp:inline xmlns:a="http://schemas.openxmlformats.org/drawingml/2006/main" xmlns:pic="http://schemas.openxmlformats.org/drawingml/2006/picture">
            <wp:extent cx="5220000" cy="3601799"/>
            <wp:docPr id="9" name="Picture 9"/>
            <wp:cNvGraphicFramePr>
              <a:graphicFrameLocks noChangeAspect="1"/>
            </wp:cNvGraphicFramePr>
            <a:graphic>
              <a:graphicData uri="http://schemas.openxmlformats.org/drawingml/2006/picture">
                <pic:pic>
                  <pic:nvPicPr>
                    <pic:cNvPr id="0" name="02-project-workspace.png"/>
                    <pic:cNvPicPr/>
                  </pic:nvPicPr>
                  <pic:blipFill>
                    <a:blip r:embed="rId19"/>
                    <a:stretch>
                      <a:fillRect/>
                    </a:stretch>
                  </pic:blipFill>
                  <pic:spPr>
                    <a:xfrm>
                      <a:off x="0" y="0"/>
                      <a:ext cx="5220000" cy="3601799"/>
                    </a:xfrm>
                    <a:prstGeom prst="rect"/>
                  </pic:spPr>
                </pic:pic>
              </a:graphicData>
            </a:graphic>
          </wp:inline>
        </w:drawing>
      </w:r>
    </w:p>
    <w:p>
      <w:pPr>
        <w:keepLines/>
        <w:spacing w:lineRule="exact" w:line="300"/>
        <w:ind w:firstLine="0"/>
        <w:jc w:val="center"/>
      </w:pPr>
      <w:r>
        <w:rPr>
          <w:rFonts w:ascii="Times New Roman" w:hAnsi="Times New Roman" w:eastAsia="宋体"/>
          <w:b/>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keepNext/>
        <w:keepLines/>
        <w:pageBreakBefore/>
        <w:spacing w:line="240" w:lineRule="auto"/>
        <w:ind w:firstLine="0"/>
        <w:jc w:val="center"/>
      </w:pPr>
      <w:r>
        <w:drawing>
          <wp:inline xmlns:a="http://schemas.openxmlformats.org/drawingml/2006/main" xmlns:pic="http://schemas.openxmlformats.org/drawingml/2006/picture">
            <wp:extent cx="5220000" cy="2662200"/>
            <wp:docPr id="10" name="Picture 10"/>
            <wp:cNvGraphicFramePr>
              <a:graphicFrameLocks noChangeAspect="1"/>
            </wp:cNvGraphicFramePr>
            <a:graphic>
              <a:graphicData uri="http://schemas.openxmlformats.org/drawingml/2006/picture">
                <pic:pic>
                  <pic:nvPicPr>
                    <pic:cNvPr id="0" name="03-system-admin.png"/>
                    <pic:cNvPicPr/>
                  </pic:nvPicPr>
                  <pic:blipFill>
                    <a:blip r:embed="rId20"/>
                    <a:stretch>
                      <a:fillRect/>
                    </a:stretch>
                  </pic:blipFill>
                  <pic:spPr>
                    <a:xfrm>
                      <a:off x="0" y="0"/>
                      <a:ext cx="5220000" cy="2662200"/>
                    </a:xfrm>
                    <a:prstGeom prst="rect"/>
                  </pic:spPr>
                </pic:pic>
              </a:graphicData>
            </a:graphic>
          </wp:inline>
        </w:drawing>
      </w:r>
    </w:p>
    <w:p>
      <w:pPr>
        <w:keepLines/>
        <w:spacing w:lineRule="exact" w:line="300"/>
        <w:ind w:firstLine="0"/>
        <w:jc w:val="center"/>
      </w:pPr>
      <w:r>
        <w:rPr>
          <w:rFonts w:ascii="Times New Roman" w:hAnsi="Times New Roman" w:eastAsia="宋体"/>
          <w:b/>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keepNext/>
        <w:keepLines/>
        <w:pageBreakBefore/>
        <w:spacing w:line="240" w:lineRule="auto"/>
        <w:ind w:firstLine="0"/>
        <w:jc w:val="center"/>
      </w:pPr>
      <w:r>
        <w:drawing>
          <wp:inline xmlns:a="http://schemas.openxmlformats.org/drawingml/2006/main" xmlns:pic="http://schemas.openxmlformats.org/drawingml/2006/picture">
            <wp:extent cx="5220000" cy="2169200"/>
            <wp:docPr id="11" name="Picture 11"/>
            <wp:cNvGraphicFramePr>
              <a:graphicFrameLocks noChangeAspect="1"/>
            </wp:cNvGraphicFramePr>
            <a:graphic>
              <a:graphicData uri="http://schemas.openxmlformats.org/drawingml/2006/picture">
                <pic:pic>
                  <pic:nvPicPr>
                    <pic:cNvPr id="0" name="04-experiment-notes.png"/>
                    <pic:cNvPicPr/>
                  </pic:nvPicPr>
                  <pic:blipFill>
                    <a:blip r:embed="rId21"/>
                    <a:stretch>
                      <a:fillRect/>
                    </a:stretch>
                  </pic:blipFill>
                  <pic:spPr>
                    <a:xfrm>
                      <a:off x="0" y="0"/>
                      <a:ext cx="5220000" cy="2169200"/>
                    </a:xfrm>
                    <a:prstGeom prst="rect"/>
                  </pic:spPr>
                </pic:pic>
              </a:graphicData>
            </a:graphic>
          </wp:inline>
        </w:drawing>
      </w:r>
    </w:p>
    <w:p>
      <w:pPr>
        <w:keepLines/>
        <w:spacing w:lineRule="exact" w:line="300"/>
        <w:ind w:firstLine="0"/>
        <w:jc w:val="center"/>
      </w:pPr>
      <w:r>
        <w:rPr>
          <w:rFonts w:ascii="Times New Roman" w:hAnsi="Times New Roman" w:eastAsia="宋体"/>
          <w:b/>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737"/>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keepNext/>
        <w:keepLines/>
        <w:pageBreakBefore/>
        <w:spacing w:line="240" w:lineRule="auto"/>
        <w:ind w:firstLine="0"/>
        <w:jc w:val="center"/>
      </w:pPr>
      <w:r>
        <w:drawing>
          <wp:inline xmlns:a="http://schemas.openxmlformats.org/drawingml/2006/main" xmlns:pic="http://schemas.openxmlformats.org/drawingml/2006/picture">
            <wp:extent cx="5220000" cy="4100600"/>
            <wp:docPr id="12" name="Picture 12"/>
            <wp:cNvGraphicFramePr>
              <a:graphicFrameLocks noChangeAspect="1"/>
            </wp:cNvGraphicFramePr>
            <a:graphic>
              <a:graphicData uri="http://schemas.openxmlformats.org/drawingml/2006/picture">
                <pic:pic>
                  <pic:nvPicPr>
                    <pic:cNvPr id="0" name="05-rag-files-evaluation.png"/>
                    <pic:cNvPicPr/>
                  </pic:nvPicPr>
                  <pic:blipFill>
                    <a:blip r:embed="rId22"/>
                    <a:stretch>
                      <a:fillRect/>
                    </a:stretch>
                  </pic:blipFill>
                  <pic:spPr>
                    <a:xfrm>
                      <a:off x="0" y="0"/>
                      <a:ext cx="5220000" cy="4100600"/>
                    </a:xfrm>
                    <a:prstGeom prst="rect"/>
                  </pic:spPr>
                </pic:pic>
              </a:graphicData>
            </a:graphic>
          </wp:inline>
        </w:drawing>
      </w:r>
    </w:p>
    <w:p>
      <w:pPr>
        <w:keepLines/>
        <w:spacing w:lineRule="exact" w:line="300"/>
        <w:ind w:firstLine="0"/>
        <w:jc w:val="center"/>
      </w:pPr>
      <w:r>
        <w:rPr>
          <w:rFonts w:ascii="Times New Roman" w:hAnsi="Times New Roman" w:eastAsia="宋体"/>
          <w:b/>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检索相关关系,将其组织为带顺序编号的结构化关系证据后加入模型上下文。系统对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r>
        <w:br w:type="page"/>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p>
      <w:pPr>
        <w:keepNext/>
        <w:spacing w:lineRule="exact" w:line="300"/>
        <w:ind w:firstLine="0"/>
        <w:jc w:val="center"/>
      </w:pPr>
      <w:r>
        <w:rPr>
          <w:rFonts w:ascii="Times New Roman" w:hAnsi="Times New Roman" w:eastAsia="宋体"/>
          <w:b/>
          <w:sz w:val="20"/>
        </w:rPr>
        <w:t>表 7-1 实验评价指标体系</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指标类别</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核心指标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判定方式</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数据来源</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功能与安全</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关键流程通过率、越权拦截</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自动化测试和接口验证</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测试日志、浏览器走查</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图谱抽取</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精确率、召回率、F1</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53 条实际关系与 52 条金标准逐条比对</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已审核笔记、关系审计 CSV</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问答任务</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规则化任务完成率</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回答是否覆盖每题预定义答案要点</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 条原始回答、答案规则</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问答证据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来源数、证据标记</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从问答日志直接统计</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 CSV</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响应开销</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均值、中位数、P95、标准差、Token、成对差值</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同题双模式统计</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 CSV</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参数敏感性</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阈值下的覆盖率和平均命中数</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对同一 20 题离线重放图谱检索</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 xml:space="preserve">P = </m:t>
              </m:r>
              <m:f>
                <m:fPr/>
                <m:num>
                  <m:r>
                    <m:t>TP</m:t>
                  </m:r>
                </m:num>
                <m:den>
                  <m:r>
                    <m:t>TP + FP</m:t>
                  </m:r>
                </m:den>
              </m:f>
              <m:r>
                <m:t xml:space="preserve">,    R = </m:t>
              </m:r>
              <m:f>
                <m:fPr/>
                <m:num>
                  <m:r>
                    <m:t>TP</m:t>
                  </m:r>
                </m:num>
                <m:den>
                  <m:r>
                    <m:t>TP + FN</m:t>
                  </m:r>
                </m:den>
              </m:f>
            </m:oMath>
          </w:p>
        </w:tc>
        <w:tc>
          <w:tcPr>
            <w:tcW w:type="dxa" w:w="737"/>
            <w:vAlign w:val="center"/>
          </w:tcPr>
          <w:p>
            <w:pPr>
              <w:ind w:firstLine="0"/>
              <w:jc w:val="right"/>
            </w:pPr>
            <w:r>
              <w:rPr>
                <w:rFonts w:ascii="Times New Roman" w:hAnsi="Times New Roman" w:eastAsia="宋体"/>
                <w:sz w:val="24"/>
              </w:rPr>
              <w:t>(7-1)</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t>F</m:t>
                  </m:r>
                </m:e>
                <m:sub>
                  <m:r>
                    <m:t>1</m:t>
                  </m:r>
                </m:sub>
              </m:sSub>
              <m:r>
                <m:t xml:space="preserve"> = </m:t>
              </m:r>
              <m:f>
                <m:fPr/>
                <m:num>
                  <m:r>
                    <m:t>2PR</m:t>
                  </m:r>
                </m:num>
                <m:den>
                  <m:r>
                    <m:t>P + R</m:t>
                  </m:r>
                </m:den>
              </m:f>
            </m:oMath>
          </w:p>
        </w:tc>
        <w:tc>
          <w:tcPr>
            <w:tcW w:type="dxa" w:w="737"/>
            <w:vAlign w:val="center"/>
          </w:tcPr>
          <w:p>
            <w:pPr>
              <w:ind w:firstLine="0"/>
              <w:jc w:val="right"/>
            </w:pPr>
            <w:r>
              <w:rPr>
                <w:rFonts w:ascii="Times New Roman" w:hAnsi="Times New Roman" w:eastAsia="宋体"/>
                <w:sz w:val="24"/>
              </w:rPr>
              <w:t>(7-2)</w:t>
            </w:r>
          </w:p>
        </w:tc>
      </w:tr>
    </w:tbl>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C</m:t>
              </m:r>
              <m:r>
                <m:t xml:space="preserve"> = </m:t>
              </m:r>
              <m:f>
                <m:fPr/>
                <m:num>
                  <m:r>
                    <m:t>1</m:t>
                  </m:r>
                </m:num>
                <m:den>
                  <m:r>
                    <m:t>N</m:t>
                  </m:r>
                </m:den>
              </m:f>
              <m:r>
                <m:t xml:space="preserve"> × </m:t>
              </m:r>
              <m:nary>
                <m:naryPr>
                  <m:chr m:val="∑"/>
                  <m:limLoc m:val="undOvr"/>
                </m:naryPr>
                <m:sub>
                  <m:r>
                    <m:t>i = 1</m:t>
                  </m:r>
                </m:sub>
                <m:sup>
                  <m:r>
                    <m:t>N</m:t>
                  </m:r>
                </m:sup>
                <m:e>
                  <m:sSub>
                    <m:sSubPr/>
                    <m:e>
                      <m:r>
                        <m:t>c</m:t>
                      </m:r>
                    </m:e>
                    <m:sub>
                      <m:r>
                        <m:t>i</m:t>
                      </m:r>
                    </m:sub>
                  </m:sSub>
                </m:e>
              </m:nary>
            </m:oMath>
          </w:p>
        </w:tc>
        <w:tc>
          <w:tcPr>
            <w:tcW w:type="dxa" w:w="737"/>
            <w:vAlign w:val="center"/>
          </w:tcPr>
          <w:p>
            <w:pPr>
              <w:ind w:firstLine="0"/>
              <w:jc w:val="right"/>
            </w:pPr>
            <w:r>
              <w:rPr>
                <w:rFonts w:ascii="Times New Roman" w:hAnsi="Times New Roman" w:eastAsia="宋体"/>
                <w:sz w:val="24"/>
              </w:rPr>
              <w:t>(7-3)</w:t>
            </w:r>
          </w:p>
        </w:tc>
      </w:tr>
    </w:tbl>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精确检验分析不一致配对是否对称。设来源数量和响应耗时分别为 src_i 和 ms_i,其均值按式(7-4)和式(7-5)计算:</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Src</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src</m:t>
                      </m:r>
                    </m:e>
                    <m:sub>
                      <m:r>
                        <m:t>i</m:t>
                      </m:r>
                    </m:sub>
                  </m:sSub>
                </m:e>
              </m:nary>
            </m:oMath>
          </w:p>
        </w:tc>
        <w:tc>
          <w:tcPr>
            <w:tcW w:type="dxa" w:w="737"/>
            <w:vAlign w:val="center"/>
          </w:tcPr>
          <w:p>
            <w:pPr>
              <w:ind w:firstLine="0"/>
              <w:jc w:val="right"/>
            </w:pPr>
            <w:r>
              <w:rPr>
                <w:rFonts w:ascii="Times New Roman" w:hAnsi="Times New Roman" w:eastAsia="宋体"/>
                <w:sz w:val="24"/>
              </w:rPr>
              <w:t>(7-4)</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ms</m:t>
                      </m:r>
                    </m:e>
                    <m:sub>
                      <m:r>
                        <m:t>i</m:t>
                      </m:r>
                    </m:sub>
                  </m:sSub>
                </m:e>
              </m:nary>
            </m:oMath>
          </w:p>
        </w:tc>
        <w:tc>
          <w:tcPr>
            <w:tcW w:type="dxa" w:w="737"/>
            <w:vAlign w:val="center"/>
          </w:tcPr>
          <w:p>
            <w:pPr>
              <w:ind w:firstLine="0"/>
              <w:jc w:val="right"/>
            </w:pPr>
            <w:r>
              <w:rPr>
                <w:rFonts w:ascii="Times New Roman" w:hAnsi="Times New Roman" w:eastAsia="宋体"/>
                <w:sz w:val="24"/>
              </w:rPr>
              <w:t>(7-5)</w:t>
            </w:r>
          </w:p>
        </w:tc>
      </w:tr>
    </w:tbl>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p>
      <w:pPr>
        <w:keepNext/>
        <w:spacing w:lineRule="exact" w:line="300"/>
        <w:ind w:firstLine="0"/>
        <w:jc w:val="center"/>
      </w:pPr>
      <w:r>
        <w:rPr>
          <w:rFonts w:ascii="Times New Roman" w:hAnsi="Times New Roman" w:eastAsia="宋体"/>
          <w:b/>
          <w:sz w:val="20"/>
        </w:rPr>
        <w:t>表 7-2 功能闭环与安全边界测试结果</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测试类别</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主要验证点</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结果</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知识图谱测试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已审核笔记触发抽取,草稿和未审核笔记不进入图谱,项目图谱可查询</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RAG 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项目数据集初始化、资料向量入库、普通 RAG、图谱增强 RAG、批量实验与 CSV 导出</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固定任务生成测试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生成任务使用已审核笔记和图谱关系,保存生成记录,只读成员不能创建</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安全边界测试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异常记录测试</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嵌入或 DeepSeek 上游调用失败时记录失败状态和错误信息</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p>
      <w:pPr>
        <w:keepNext/>
        <w:spacing w:lineRule="exact" w:line="300"/>
        <w:ind w:firstLine="0"/>
        <w:jc w:val="center"/>
      </w:pPr>
      <w:r>
        <w:rPr>
          <w:rFonts w:ascii="Times New Roman" w:hAnsi="Times New Roman" w:eastAsia="宋体"/>
          <w:b/>
          <w:sz w:val="20"/>
        </w:rPr>
        <w:t>表 7-3 项目知识图谱规模</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笔记数</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实体数</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关系数</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论文演示项目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15</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177</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237</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癌症标志物筛选</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93</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104</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药物靶点验证</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87</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104</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合计</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35</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357</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7-4。</w:t>
      </w:r>
    </w:p>
    <w:p>
      <w:pPr>
        <w:keepNext/>
        <w:spacing w:lineRule="exact" w:line="300"/>
        <w:ind w:firstLine="0"/>
        <w:jc w:val="center"/>
      </w:pPr>
      <w:r>
        <w:rPr>
          <w:rFonts w:ascii="Times New Roman" w:hAnsi="Times New Roman" w:eastAsia="宋体"/>
          <w:b/>
          <w:sz w:val="20"/>
        </w:rPr>
        <w:t>表 7-4 关系抽取金标准核验结果</w:t>
      </w:r>
    </w:p>
    <w:tbl>
      <w:tblPr>
        <w:tblW w:type="auto" w:w="0"/>
        <w:jc w:val="center"/>
        <w:tblLayout w:type="autofit"/>
        <w:tblLook w:firstColumn="1" w:firstRow="1" w:lastColumn="0" w:lastRow="0" w:noHBand="0" w:noVBand="1" w:val="04A0"/>
      </w:tblPr>
      <w:tblGrid>
        <w:gridCol w:w="4366"/>
        <w:gridCol w:w="4366"/>
      </w:tblGrid>
      <w:tr>
        <w:tc>
          <w:tcPr>
            <w:tcW w:type="dxa" w:w="436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指标</w:t>
            </w:r>
          </w:p>
        </w:tc>
        <w:tc>
          <w:tcPr>
            <w:tcW w:type="dxa" w:w="436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结果</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实际关系数</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53</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金标准关系数</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52</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正确关系 TP</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52</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错误关系 FP</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漏检关系 FN</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精确率</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98.11%</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召回率</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100.00%</w:t>
            </w:r>
          </w:p>
        </w:tc>
      </w:tr>
      <w:tr>
        <w:tc>
          <w:tcPr>
            <w:tcW w:type="dxa" w:w="436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F1</w:t>
            </w:r>
          </w:p>
        </w:tc>
        <w:tc>
          <w:tcPr>
            <w:tcW w:type="dxa" w:w="436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keepNext/>
        <w:keepLines/>
        <w:pageBreakBefore/>
        <w:spacing w:line="240" w:lineRule="auto"/>
        <w:ind w:firstLine="0"/>
        <w:jc w:val="center"/>
      </w:pPr>
      <w:r>
        <w:drawing>
          <wp:inline xmlns:a="http://schemas.openxmlformats.org/drawingml/2006/main" xmlns:pic="http://schemas.openxmlformats.org/drawingml/2006/picture">
            <wp:extent cx="5220000" cy="4663200"/>
            <wp:docPr id="13" name="Picture 13"/>
            <wp:cNvGraphicFramePr>
              <a:graphicFrameLocks noChangeAspect="1"/>
            </wp:cNvGraphicFramePr>
            <a:graphic>
              <a:graphicData uri="http://schemas.openxmlformats.org/drawingml/2006/picture">
                <pic:pic>
                  <pic:nvPicPr>
                    <pic:cNvPr id="0" name="06-knowledge-graph.png"/>
                    <pic:cNvPicPr/>
                  </pic:nvPicPr>
                  <pic:blipFill>
                    <a:blip r:embed="rId23"/>
                    <a:stretch>
                      <a:fillRect/>
                    </a:stretch>
                  </pic:blipFill>
                  <pic:spPr>
                    <a:xfrm>
                      <a:off x="0" y="0"/>
                      <a:ext cx="5220000" cy="46632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7-5 给出总体结果。</w:t>
      </w:r>
    </w:p>
    <w:p>
      <w:pPr>
        <w:keepNext/>
        <w:spacing w:lineRule="exact" w:line="300"/>
        <w:ind w:firstLine="0"/>
        <w:jc w:val="center"/>
      </w:pPr>
      <w:r>
        <w:rPr>
          <w:rFonts w:ascii="Times New Roman" w:hAnsi="Times New Roman" w:eastAsia="宋体"/>
          <w:b/>
          <w:sz w:val="20"/>
        </w:rPr>
        <w:t>表 7-5 普通 RAG 与图谱增强 RAG 总体结果</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指标</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普通 RAG</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图谱增强 RAG</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问答数</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运行完成率</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规则化任务完成数</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14</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规则化任务完成率</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70.0%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平均响应耗时(ms)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2116.70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2219.90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响应耗时中位数(ms)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1908.50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2120.50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响应耗时 P95(ms)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3709.90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3063.05</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响应耗时标准差(ms)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619.46</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827.80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平均资料来源数</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回答包含任一证据标记比例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85.0%</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平均总 Token</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567.45</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7-6。</w:t>
      </w:r>
    </w:p>
    <w:p>
      <w:pPr>
        <w:keepNext/>
        <w:spacing w:lineRule="exact" w:line="300"/>
        <w:ind w:firstLine="0"/>
        <w:jc w:val="center"/>
      </w:pPr>
      <w:r>
        <w:rPr>
          <w:rFonts w:ascii="Times New Roman" w:hAnsi="Times New Roman" w:eastAsia="宋体"/>
          <w:b/>
          <w:sz w:val="20"/>
        </w:rPr>
        <w:t>表 7-6 不同问题类型任务完成率</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问题类型</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普通 RAG 完成率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图谱增强 RAG 完成率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结果解释</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两种模式主要依赖相同资料,差异较小</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图谱直接提供试剂、仪器和样本关系</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图谱可定位部分来源笔记,但 top-k 截断造成遗漏</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展示总体任务完成率和平均响应时延。</w:t>
      </w:r>
    </w:p>
    <w:p>
      <w:pPr>
        <w:keepNext/>
        <w:keepLines/>
        <w:pageBreakBefore/>
        <w:spacing w:line="240" w:lineRule="auto"/>
        <w:ind w:firstLine="0"/>
        <w:jc w:val="center"/>
      </w:pPr>
      <w:r>
        <w:drawing>
          <wp:inline xmlns:a="http://schemas.openxmlformats.org/drawingml/2006/main" xmlns:pic="http://schemas.openxmlformats.org/drawingml/2006/picture">
            <wp:extent cx="5220000" cy="2116681"/>
            <wp:docPr id="14" name="Picture 14"/>
            <wp:cNvGraphicFramePr>
              <a:graphicFrameLocks noChangeAspect="1"/>
            </wp:cNvGraphicFramePr>
            <a:graphic>
              <a:graphicData uri="http://schemas.openxmlformats.org/drawingml/2006/picture">
                <pic:pic>
                  <pic:nvPicPr>
                    <pic:cNvPr id="0" name="09-rag-objective-metrics.png"/>
                    <pic:cNvPicPr/>
                  </pic:nvPicPr>
                  <pic:blipFill>
                    <a:blip r:embed="rId24"/>
                    <a:stretch>
                      <a:fillRect/>
                    </a:stretch>
                  </pic:blipFill>
                  <pic:spPr>
                    <a:xfrm>
                      <a:off x="0" y="0"/>
                      <a:ext cx="5220000" cy="2116681"/>
                    </a:xfrm>
                    <a:prstGeom prst="rect"/>
                  </pic:spPr>
                </pic:pic>
              </a:graphicData>
            </a:graphic>
          </wp:inline>
        </w:drawing>
      </w:r>
    </w:p>
    <w:p>
      <w:pPr>
        <w:keepLines/>
        <w:spacing w:lineRule="exact" w:line="300"/>
        <w:ind w:firstLine="0"/>
        <w:jc w:val="center"/>
      </w:pPr>
      <w:r>
        <w:rPr>
          <w:rFonts w:ascii="Times New Roman" w:hAnsi="Times New Roman" w:eastAsia="宋体"/>
          <w:b/>
          <w:sz w:val="20"/>
        </w:rPr>
        <w:t>图 7-2 RAG 对照实验任务完成率与响应时延</w:t>
      </w:r>
    </w:p>
    <w:p>
      <w:pPr>
        <w:pStyle w:val="Heading3"/>
        <w:ind w:firstLine="0"/>
      </w:pPr>
      <w:r>
        <w:t>7.5.3 时延异常与参数敏感性</w:t>
      </w:r>
    </w:p>
    <w:p>
      <w:r>
        <w:rPr>
          <w:rFonts w:ascii="Times New Roman" w:hAnsi="Times New Roman" w:eastAsia="宋体"/>
          <w:b w:val="0"/>
          <w:sz w:val="24"/>
        </w:rPr>
        <w:t>表 7-5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7-7。</w:t>
      </w:r>
    </w:p>
    <w:p>
      <w:pPr>
        <w:keepNext/>
        <w:spacing w:lineRule="exact" w:line="300"/>
        <w:ind w:firstLine="0"/>
        <w:jc w:val="center"/>
      </w:pPr>
      <w:r>
        <w:rPr>
          <w:rFonts w:ascii="Times New Roman" w:hAnsi="Times New Roman" w:eastAsia="宋体"/>
          <w:b/>
          <w:sz w:val="20"/>
        </w:rPr>
        <w:t>表 7-7 图谱最低得分阈值敏感性</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最低得分阈值</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图谱覆盖率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平均命中数</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零命中问题数</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0.5</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95.0%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8.60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95.0%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8.35</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85.0%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7.40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3.20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keepNext/>
        <w:keepLines/>
        <w:pageBreakBefore/>
        <w:spacing w:line="240" w:lineRule="auto"/>
        <w:ind w:firstLine="0"/>
        <w:jc w:val="center"/>
      </w:pPr>
      <w:r>
        <w:drawing>
          <wp:inline xmlns:a="http://schemas.openxmlformats.org/drawingml/2006/main" xmlns:pic="http://schemas.openxmlformats.org/drawingml/2006/picture">
            <wp:extent cx="5220000" cy="3065300"/>
            <wp:docPr id="15" name="Picture 15"/>
            <wp:cNvGraphicFramePr>
              <a:graphicFrameLocks noChangeAspect="1"/>
            </wp:cNvGraphicFramePr>
            <a:graphic>
              <a:graphicData uri="http://schemas.openxmlformats.org/drawingml/2006/picture">
                <pic:pic>
                  <pic:nvPicPr>
                    <pic:cNvPr id="0" name="10-kg-threshold-sensitivity.png"/>
                    <pic:cNvPicPr/>
                  </pic:nvPicPr>
                  <pic:blipFill>
                    <a:blip r:embed="rId25"/>
                    <a:stretch>
                      <a:fillRect/>
                    </a:stretch>
                  </pic:blipFill>
                  <pic:spPr>
                    <a:xfrm>
                      <a:off x="0" y="0"/>
                      <a:ext cx="5220000" cy="30653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7-8 所示。</w:t>
      </w:r>
    </w:p>
    <w:p>
      <w:pPr>
        <w:keepNext/>
        <w:spacing w:lineRule="exact" w:line="300"/>
        <w:ind w:firstLine="0"/>
        <w:jc w:val="center"/>
      </w:pPr>
      <w:r>
        <w:rPr>
          <w:rFonts w:ascii="Times New Roman" w:hAnsi="Times New Roman" w:eastAsia="宋体"/>
          <w:b/>
          <w:sz w:val="20"/>
        </w:rPr>
        <w:t>表 7-8 固定任务型智能辅助生成验证结果</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任务类型</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状态</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来源笔记数</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来源资料数</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图谱关系数</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总 Token</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响应耗时(ms)</w:t>
            </w:r>
          </w:p>
        </w:tc>
      </w:tr>
      <w:tr>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实验总结</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38</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2191</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9844</w:t>
            </w:r>
          </w:p>
        </w:tc>
      </w:tr>
      <w:tr>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周报</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38</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2071</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8791</w:t>
            </w:r>
          </w:p>
        </w:tc>
      </w:tr>
      <w:tr>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阶段报告</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15</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4187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14033</w:t>
            </w:r>
          </w:p>
        </w:tc>
      </w:tr>
      <w:tr>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图谱概览</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15</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1391</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keepNext/>
        <w:keepLines/>
        <w:pageBreakBefore/>
        <w:spacing w:line="240" w:lineRule="auto"/>
        <w:ind w:firstLine="0"/>
        <w:jc w:val="center"/>
      </w:pPr>
      <w:r>
        <w:drawing>
          <wp:inline xmlns:a="http://schemas.openxmlformats.org/drawingml/2006/main" xmlns:pic="http://schemas.openxmlformats.org/drawingml/2006/picture">
            <wp:extent cx="5220000" cy="1383300"/>
            <wp:docPr id="16" name="Picture 16"/>
            <wp:cNvGraphicFramePr>
              <a:graphicFrameLocks noChangeAspect="1"/>
            </wp:cNvGraphicFramePr>
            <a:graphic>
              <a:graphicData uri="http://schemas.openxmlformats.org/drawingml/2006/picture">
                <pic:pic>
                  <pic:nvPicPr>
                    <pic:cNvPr id="0" name="07-agent-generation.png"/>
                    <pic:cNvPicPr/>
                  </pic:nvPicPr>
                  <pic:blipFill>
                    <a:blip r:embed="rId26"/>
                    <a:stretch>
                      <a:fillRect/>
                    </a:stretch>
                  </pic:blipFill>
                  <pic:spPr>
                    <a:xfrm>
                      <a:off x="0" y="0"/>
                      <a:ext cx="5220000" cy="13833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keepNext/>
        <w:keepLines/>
        <w:pageBreakBefore/>
        <w:spacing w:line="240" w:lineRule="auto"/>
        <w:ind w:firstLine="0"/>
        <w:jc w:val="center"/>
      </w:pPr>
      <w:r>
        <w:drawing>
          <wp:inline xmlns:a="http://schemas.openxmlformats.org/drawingml/2006/main" xmlns:pic="http://schemas.openxmlformats.org/drawingml/2006/picture">
            <wp:extent cx="5220000" cy="890300"/>
            <wp:docPr id="17" name="Picture 17"/>
            <wp:cNvGraphicFramePr>
              <a:graphicFrameLocks noChangeAspect="1"/>
            </wp:cNvGraphicFramePr>
            <a:graphic>
              <a:graphicData uri="http://schemas.openxmlformats.org/drawingml/2006/picture">
                <pic:pic>
                  <pic:nvPicPr>
                    <pic:cNvPr id="0" name="08-project-audit-log.png"/>
                    <pic:cNvPicPr/>
                  </pic:nvPicPr>
                  <pic:blipFill>
                    <a:blip r:embed="rId27"/>
                    <a:stretch>
                      <a:fillRect/>
                    </a:stretch>
                  </pic:blipFill>
                  <pic:spPr>
                    <a:xfrm>
                      <a:off x="0" y="0"/>
                      <a:ext cx="5220000" cy="8903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r>
        <w:br w:type="page"/>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r>
        <w:br w:type="page"/>
      </w:r>
    </w:p>
    <w:p>
      <w:pPr>
        <w:pStyle w:val="Heading1"/>
        <w:ind w:firstLine="0"/>
      </w:pPr>
      <w:r>
        <w:t>参考文献</w:t>
      </w:r>
    </w:p>
    <w:p>
      <w:r>
        <w:rPr>
          <w:rFonts w:ascii="Times New Roman" w:hAnsi="Times New Roman" w:eastAsia="宋体"/>
          <w:b w:val="0"/>
          <w:sz w:val="24"/>
        </w:rPr>
        <w:t>[1] Wilkinson M D, Dumontier M, Aalbersberg I J, Appleton G, Axton M, Baak A, Blomberg N, Boiten J 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 A, Schultes E, Sengstag T, Slater T, Strawn G, Swertz M A, Thompson M, van der Lei J, van Mulligen E, Velterop J, Waagmeester A, Wittenburg P, Wolstencroft K, Zhao J, Mons B. The FAIR Guiding Principles for scientific data management and stewardship[J]. Scientific Data, 2016, 3: 160018.</w:t>
      </w:r>
    </w:p>
    <w:p>
      <w:r>
        <w:rPr>
          <w:rFonts w:ascii="Times New Roman" w:hAnsi="Times New Roman" w:eastAsia="宋体"/>
          <w:b w:val="0"/>
          <w:sz w:val="24"/>
        </w:rPr>
        <w:t>[2] Barillari C, Ottoz D S M, Fuentes-Serna J M, Ramakrishnan C, Rinn B, Rudolf F.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D’amato C, Melo G D, Gutierrez C, Kirrane S, Gayo J E L, Navigli R, Neumaier S, Ngomo A C N, Polleres A, Rashid S M, Rula A, Schmelzeisen L, Sequeda J, Staab S, Zimmermann A.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Petroni F, Karpukhin V, Goyal N, Küttler H, Lewis M, Yih W T, Rocktäschel T, Riedel S, Kiela D.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Jia K, Pan J, Bi Y, Dai Y, Sun J, Wang M, Wang H.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Bradley J, Chao A, Mody A, Truitt S, Metropolitansky D, Ness R O, Larson J.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Du N, Shafran I, Narasimhan K, Cao Y. ReAct: Synergizing Reasoning and Acting in Language Models[EB/OL]. arXiv:2210.03629, 2022.</w:t>
      </w:r>
    </w:p>
    <w:p>
      <w:r>
        <w:rPr>
          <w:rFonts w:ascii="Times New Roman" w:hAnsi="Times New Roman" w:eastAsia="宋体"/>
          <w:b w:val="0"/>
          <w:sz w:val="24"/>
        </w:rPr>
        <w:t>[14] Cancedda N, Dessi R, Dwivedi-Yu J, Hambro E, Lomeli M, Raileanu R, Schick T, Scialom T, Zettlemoyer L. Toolformer: Language Models Can Teach Themselves to Use Tools[C]//Advances in Neural Information Processing Systems. 2023.</w:t>
      </w:r>
    </w:p>
    <w:p>
      <w:r>
        <w:rPr>
          <w:rFonts w:ascii="Times New Roman" w:hAnsi="Times New Roman" w:eastAsia="宋体"/>
          <w:b w:val="0"/>
          <w:sz w:val="24"/>
        </w:rPr>
        <w:t>[15] Wang L, Ma C, Feng X, Zhang Z, Yang H, Zhang J, Chen Z, Tang J, Chen X, Lin Y, Zhao W X, Wei Z, Wen J. A Survey on Large Language Model based Autonomous Agents[J]. Frontiers of Computer Science, 2024, 18: 186345.</w:t>
      </w:r>
    </w:p>
    <w:p>
      <w:r>
        <w:rPr>
          <w:rFonts w:ascii="Times New Roman" w:hAnsi="Times New Roman" w:eastAsia="宋体"/>
          <w:b w:val="0"/>
          <w:sz w:val="24"/>
        </w:rPr>
        <w:t>[16] Bran A M, Cox S, Schilter O, Baldassari C, White A D, Schwaller P. Augmenting large language models with chemistry tools[J]. Nature Machine Intelligence, 2024, 6: 525-535.</w:t>
      </w:r>
    </w:p>
    <w:p>
      <w:r>
        <w:rPr>
          <w:rFonts w:ascii="Times New Roman" w:hAnsi="Times New Roman" w:eastAsia="宋体"/>
          <w:b w:val="0"/>
          <w:sz w:val="24"/>
        </w:rPr>
        <w:t>[17] Vaswani A, Shazeer N, Parmar N, Uszkoreit J, Jones L, Gomez A N, Kaiser L, Polosukhin I. Attention Is All You Need[C]//Advances in Neural Information Processing Systems. 2017, 30. arXiv:1706.03762.</w:t>
      </w:r>
    </w:p>
    <w:p>
      <w:r>
        <w:rPr>
          <w:rFonts w:ascii="Times New Roman" w:hAnsi="Times New Roman" w:eastAsia="宋体"/>
          <w:b w:val="0"/>
          <w:sz w:val="24"/>
        </w:rPr>
        <w:t>[18] 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Amodei D. Language Models are Few-Shot Learners[C]//Advances in Neural Information Processing Systems. 2020, 33: 1877-1901. arXiv:2005.14165.</w:t>
      </w:r>
    </w:p>
    <w:p>
      <w:r>
        <w:rPr>
          <w:rFonts w:ascii="Times New Roman" w:hAnsi="Times New Roman" w:eastAsia="宋体"/>
          <w:b w:val="0"/>
          <w:sz w:val="24"/>
        </w:rPr>
        <w:t>[19] Zhao W X, Zhou K, Li J, Tang T, Wang X, Hou Y, Min Y, Zhang B, Zhang J, Dong Z, Du Y, Yang C, Chen Y, Chen Z, Jiang J, Ren R, Li Y, Tang X, Liu Z, Liu P, Nie J Y, Wen J R.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Bosma M, Ichter B, Xia F, Chi E, Le Q, Zhou D. Chain-of-Thought Prompting Elicits Reasoning in Large Language Models[C]//Advances in Neural Information Processing Systems. 2022, 35: 24824-24837. arXiv:2201.11903.</w:t>
      </w:r>
    </w:p>
    <w:p>
      <w:r>
        <w:rPr>
          <w:rFonts w:ascii="Times New Roman" w:hAnsi="Times New Roman" w:eastAsia="宋体"/>
          <w:b w:val="0"/>
          <w:sz w:val="24"/>
        </w:rPr>
        <w:t>[22] Yan S Q, Gu J C, Zhu Y, Ling Z H. Corrective Retrieval Augmented Generation[EB/OL]. arXiv:2401.15884, 2024.</w:t>
      </w:r>
    </w:p>
    <w:p>
      <w:r>
        <w:rPr>
          <w:rFonts w:ascii="Times New Roman" w:hAnsi="Times New Roman" w:eastAsia="宋体"/>
          <w:b w:val="0"/>
          <w:sz w:val="24"/>
        </w:rPr>
        <w:t>[23] Pan S, Luo L, Wang Y, Chen C, Wang J, Wu X. Unifying Large Language Models and Knowledge Graphs: A Roadmap[J]. IEEE Transactions on Knowledge and Data Engineering, 2024, 36(10): 4902-4922.</w:t>
      </w:r>
    </w:p>
    <w:p>
      <w:r>
        <w:rPr>
          <w:rFonts w:ascii="Times New Roman" w:hAnsi="Times New Roman" w:eastAsia="宋体"/>
          <w:b w:val="0"/>
          <w:sz w:val="24"/>
        </w:rPr>
        <w:t>[24] Park J S, O'Brien J, Cai C J, Morris M R, Liang P, Bernstein M S.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Wang Z, Geng Y, Fu F, Yang L, Zhang W, Jiang J, Cui B. Retrieval-Augmented Generation for AI-Generated Content: A Survey[EB/OL]. arXiv:2402.19473, 2024.</w:t>
      </w:r>
    </w:p>
    <w:p>
      <w:r>
        <w:rPr>
          <w:rFonts w:ascii="Times New Roman" w:hAnsi="Times New Roman" w:eastAsia="宋体"/>
          <w:b w:val="0"/>
          <w:sz w:val="24"/>
        </w:rPr>
        <w:t>[27] Fan W, Ding Y, Ning L, Wang S, Li H, Yin D, Chua T S, Li Q. A Survey on RAG Meeting LLMs: Towards Retrieval-Augmented Large Language Models[EB/OL]. arXiv:2405.06211, 2024.</w:t>
      </w:r>
    </w:p>
    <w:p>
      <w:r>
        <w:rPr>
          <w:rFonts w:ascii="Times New Roman" w:hAnsi="Times New Roman" w:eastAsia="宋体"/>
          <w:b w:val="0"/>
          <w:sz w:val="24"/>
        </w:rPr>
        <w:t>[28] Sharma C. Retrieval-Augmented Generation: A Comprehensive Survey of Architectures, Enhancements, and Robustness Frontiers[EB/OL]. arXiv:2506.00054, 2025.</w:t>
      </w:r>
    </w:p>
    <w:p>
      <w:r>
        <w:rPr>
          <w:rFonts w:ascii="Times New Roman" w:hAnsi="Times New Roman" w:eastAsia="宋体"/>
          <w:b w:val="0"/>
          <w:sz w:val="24"/>
        </w:rPr>
        <w:t>[29] Mei L, Mo S, Yang Z, Chen C. A Survey of Multimodal Retrieval-Augmented Generation[EB/OL]. arXiv:2504.08748, 2025.</w:t>
      </w:r>
    </w:p>
    <w:p>
      <w:r>
        <w:rPr>
          <w:rFonts w:ascii="Times New Roman" w:hAnsi="Times New Roman" w:eastAsia="宋体"/>
          <w:b w:val="0"/>
          <w:sz w:val="24"/>
        </w:rPr>
        <w:t>[30] Zhou Y, Zhang W, Shao J, Liu Y, Li X, Jin J, Qian H, Liu Z, Li C, Zhang J C, Dou Z, Yu P S, Mao J. Trustworthiness in Retrieval-Augmented Generation Systems: A Survey[EB/OL]. arXiv:2409.10102, 2024.</w:t>
      </w:r>
    </w:p>
    <w:p>
      <w:r>
        <w:rPr>
          <w:rFonts w:ascii="Times New Roman" w:hAnsi="Times New Roman" w:eastAsia="宋体"/>
          <w:b w:val="0"/>
          <w:sz w:val="24"/>
        </w:rPr>
        <w:t>[31] Cheng M, Luo Y, Ouyang J, Liu Q, Liu H, Li L, Yu S, Zhang B, Cao J, Ma J, Wang D, Chen E. A Survey on Knowledge-Oriented Retrieval-Augmented Generation[EB/OL]. arXiv:2503.10677, 2025.</w:t>
      </w:r>
    </w:p>
    <w:p>
      <w:r>
        <w:rPr>
          <w:rFonts w:ascii="Times New Roman" w:hAnsi="Times New Roman" w:eastAsia="宋体"/>
          <w:b w:val="0"/>
          <w:sz w:val="24"/>
        </w:rPr>
        <w:t>[32] Yu H, Gan A, Zhang K, Tong S, Liu Q, Liu Z. Evaluation of Retrieval-Augmented Generation: A Survey[C]//CCF Conference on Big Data. Singapore: Springer, 2024: 102-120.</w:t>
      </w:r>
    </w:p>
    <w:p>
      <w:r>
        <w:rPr>
          <w:rFonts w:ascii="Times New Roman" w:hAnsi="Times New Roman" w:eastAsia="宋体"/>
          <w:b w:val="0"/>
          <w:sz w:val="24"/>
        </w:rPr>
        <w:t>[33] Zhu Y, Wang X, Chen J, Qiao S, Ou Y, Yao Y, Deng S, Chen H, Zhang N.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Chen H. Generative Knowledge Graph Construction: A Review[EB/OL]. arXiv:2210.12714, 2022/2023.</w:t>
      </w:r>
    </w:p>
    <w:p>
      <w:r>
        <w:rPr>
          <w:rFonts w:ascii="Times New Roman" w:hAnsi="Times New Roman" w:eastAsia="宋体"/>
          <w:b w:val="0"/>
          <w:sz w:val="24"/>
        </w:rPr>
        <w:t>[36] Lairgi Y, Moncla L, Cazabet R, Benabdeslem K, Cléau P.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Podda A S, Pompianu L, Tiddia S G. Iterative Zero-Shot LLM Prompting for Knowledge Graph Construction[EB/OL]. arXiv:2307.01128, 2023.</w:t>
      </w:r>
    </w:p>
    <w:p>
      <w:r>
        <w:rPr>
          <w:rFonts w:ascii="Times New Roman" w:hAnsi="Times New Roman" w:eastAsia="宋体"/>
          <w:b w:val="0"/>
          <w:sz w:val="24"/>
        </w:rPr>
        <w:t>[38] Bai X, He S, Li Y, Xie Y, Zhang X, Du W, Li J R.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Chenaghlu M, Socher R, Amatriain X, Gao J. Large Language Models: A Survey[EB/OL]. arXiv:2402.06196, 2024.</w:t>
      </w:r>
    </w:p>
    <w:p>
      <w:r>
        <w:rPr>
          <w:rFonts w:ascii="Times New Roman" w:hAnsi="Times New Roman" w:eastAsia="宋体"/>
          <w:b w:val="0"/>
          <w:sz w:val="24"/>
        </w:rPr>
        <w:t>[40] Chang Y, Wang X, Wang J, Wu Y, Yang L, Zhu K, Chen H, Yi X, Wang C, Wang Y, Ye W, Zhang Y, Chang Y, Yu P S, Yang Q, Xie X. A Survey on Evaluation of Large Language Models[J]. ACM Computing Surveys, 2024.</w:t>
      </w:r>
    </w:p>
    <w:p>
      <w:r>
        <w:rPr>
          <w:rFonts w:ascii="Times New Roman" w:hAnsi="Times New Roman" w:eastAsia="宋体"/>
          <w:b w:val="0"/>
          <w:sz w:val="24"/>
        </w:rPr>
        <w:t>[41] Zhang S, Dong L, Li X, Zhang S, Sun X, Wang S, Li J, Hu R, Zhang T, Wu F, Wang G. Instruction Tuning for Large Language Models: A Survey[EB/OL]. arXiv:2308.10792, 2023.</w:t>
      </w:r>
    </w:p>
    <w:p>
      <w:r>
        <w:rPr>
          <w:rFonts w:ascii="Times New Roman" w:hAnsi="Times New Roman" w:eastAsia="宋体"/>
          <w:b w:val="0"/>
          <w:sz w:val="24"/>
        </w:rPr>
        <w:t>[42] Yang J, Jin H, Tang R, Han X, Feng Q, Jiang H, Zhong S, Yin B, Hu X. Harnessing the Power of LLMs in Practice: A Survey on ChatGPT and Beyond[J]. ACM Computing Surveys, 2024.</w:t>
      </w:r>
    </w:p>
    <w:p>
      <w:r>
        <w:rPr>
          <w:rFonts w:ascii="Times New Roman" w:hAnsi="Times New Roman" w:eastAsia="宋体"/>
          <w:b w:val="0"/>
          <w:sz w:val="24"/>
        </w:rPr>
        <w:t>[43] Fan A, Gokkaya B, Harman M, Lyubarskiy M, Sengupta S, Yoo S, Zhang J M. Large Language Models for Software Engineering: Survey and Open Problems[EB/OL]. arXiv:2310.03533, 2023.</w:t>
      </w:r>
    </w:p>
    <w:p>
      <w:r>
        <w:rPr>
          <w:rFonts w:ascii="Times New Roman" w:hAnsi="Times New Roman" w:eastAsia="宋体"/>
          <w:b w:val="0"/>
          <w:sz w:val="24"/>
        </w:rPr>
        <w:t>[44] Vandendorpe J, Adam B, Wilbrandt J, Lindstädt B, Förstner K U.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Bo X, Shi H, Hong C, Zhang Y, Tang S. Graph Retrieval-Augmented Generation: A Survey[EB/OL]. arXiv:2408.08921, 2024/2025.</w:t>
      </w:r>
    </w:p>
    <w:p>
      <w:r>
        <w:rPr>
          <w:rFonts w:ascii="Times New Roman" w:hAnsi="Times New Roman" w:eastAsia="宋体"/>
          <w:b w:val="0"/>
          <w:sz w:val="24"/>
        </w:rPr>
        <w:t>[49] Zhang Q, Chen S, Bei Y, Yuan Z, Zhou H, Hong Z, Chen H, Xiao Y, Zhou C, Dong J, Chang Y, Huang X. A Survey of Graph Retrieval-Augmented Generation for Customized Large Language Models[EB/OL]. arXiv:2501.13958, 2025.</w:t>
      </w:r>
    </w:p>
    <w:p>
      <w:r>
        <w:rPr>
          <w:rFonts w:ascii="Times New Roman" w:hAnsi="Times New Roman" w:eastAsia="宋体"/>
          <w:b w:val="0"/>
          <w:sz w:val="24"/>
        </w:rPr>
        <w:t>[50] Yang C, Wu X, Lin X, Xu C, Jiang X, Sun Y, Li J, Xiong H, Guo J. GraphSearch: An Agentic Deep Searching Workflow for Graph Retrieval-Augmented Generation[EB/OL]. arXiv:2509.22009, 2025-09-25.</w:t>
      </w:r>
    </w:p>
    <w:p>
      <w:r>
        <w:rPr>
          <w:rFonts w:ascii="Times New Roman" w:hAnsi="Times New Roman" w:eastAsia="宋体"/>
          <w:b w:val="0"/>
          <w:sz w:val="24"/>
        </w:rPr>
        <w:t>[51] Xi Z, Chen W, Guo X, He W, Ding Y, Hong B, Zhang M, Wang J, Jin S, Zhou E, Zheng R, Fan X, Wang X, Xiong L, Zhou Y, Wang W, Jiang C, Zou Y, Liu X, Yin Z, Dou S, Weng R, Cheng W, Zhang Q, Qin W, Zheng Y, Qiu X, Huang X, Gui T. The Rise and Potential of Large Language Model Based Agents: A Survey[EB/OL]. arXiv:2309.07864, 2023/2025.</w:t>
      </w:r>
    </w:p>
    <w:p>
      <w:r>
        <w:rPr>
          <w:rFonts w:ascii="Times New Roman" w:hAnsi="Times New Roman" w:eastAsia="宋体"/>
          <w:b w:val="0"/>
          <w:sz w:val="24"/>
        </w:rPr>
        <w:t>[52] Guo T, Chen X, Wang Y, Chang R, Pei S, Chawla N V, Wiest O, Zhang X. Large Language Model Based Multi-Agents: A Survey of Progress and Challenges[EB/OL]. arXiv:2402.01680, 2024.</w:t>
      </w:r>
    </w:p>
    <w:p>
      <w:r>
        <w:rPr>
          <w:rFonts w:ascii="Times New Roman" w:hAnsi="Times New Roman" w:eastAsia="宋体"/>
          <w:b w:val="0"/>
          <w:sz w:val="24"/>
        </w:rPr>
        <w:t>[53] Zhang Z, Bo X, Ma C, Li R, Chen X, Dai Q, Zhu J, Dong Z, Wen J R. A Survey on the Memory Mechanism of Large Language Model Based Agents[EB/OL]. arXiv:2404.13501, 2024.</w:t>
      </w:r>
    </w:p>
    <w:p>
      <w:r>
        <w:rPr>
          <w:rFonts w:ascii="Times New Roman" w:hAnsi="Times New Roman" w:eastAsia="宋体"/>
          <w:b w:val="0"/>
          <w:sz w:val="24"/>
        </w:rPr>
        <w:t>[54] Luo J, Zhang W, Yuan Y, Zhao Y, Yang J, Gu Y, Wu B, Chen B, Qiao Z, Long Q, Tu R, Luo X, Ju W, Xiao Z, Wang Y, Xiao M, Liu C, Yuan J, Zhang S, Jin Y, Zhang F, Wu X, Zhao H, Tao D, Yu P S, Zhang M.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Rybina A, Burel J M, Heriche J K, Audergon P, Boiten J W, Coppens F, Crockett S, Exter K, Fahrner S, Fratelli M, Goble C, Gormanns P, Grantner T, Grüning B, Gurwitz K T, Hancock J M, Harmse H, Holub P, Juty N, Karnbach G, Karoune E, Keppler A, Klemeier J, Lancelotti C, Legras J L, Lister A L, Longo D L, Ludwig R, Madon B, Massimi M, Matser V, Matteoni R, Mayrhofer M T, Ohmann C, Panagiotopoulou M, Parkinson H, Perseil I, Pfander C, Pieruschka R, Raess M, Rauber A, Richard A S, Romano P, Rosato A, Sánchez‐Pla A, Sansone S A, Sarkans U, Serrano‐Solano B, Tang J, Tanoli Z, Tedds J, Wagener H, Weise M, Westerhoff H V, Wittner R, Ewbank J, Blomberg N, Gribbon P. "Be Sustainable": EOSC-Life Recommendations for Implementation of FAIR Principles in Life Science Data Handling[J]. The EMBO Journal, 2023.</w:t>
      </w:r>
    </w:p>
    <w:p>
      <w:r>
        <w:rPr>
          <w:rFonts w:ascii="Times New Roman" w:hAnsi="Times New Roman" w:eastAsia="宋体"/>
          <w:b w:val="0"/>
          <w:sz w:val="24"/>
        </w:rPr>
        <w:t>[57] Groth P, Cousijn H, Clark T, Goble C. FAIR Data Reuse – the Path through Data Citation[J]. Data Intelligence, 2020, 2(1-2): 78-86.</w:t>
      </w:r>
    </w:p>
    <w:p>
      <w:r>
        <w:rPr>
          <w:rFonts w:ascii="Times New Roman" w:hAnsi="Times New Roman" w:eastAsia="宋体"/>
          <w:b w:val="0"/>
          <w:sz w:val="24"/>
        </w:rPr>
        <w:t>[58] Vogt L, Strömert P, Matentzoglu N, Karam N, Konrad M, Prinz M, Baum R. FAIR 2.0: Extending the FAIR Guiding Principles to Address Semantic Interoperability[EB/OL]. arXiv:2405.03345, 2024.</w:t>
      </w:r>
    </w:p>
    <w:p>
      <w:r>
        <w:rPr>
          <w:rFonts w:ascii="Times New Roman" w:hAnsi="Times New Roman" w:eastAsia="宋体"/>
          <w:b w:val="0"/>
          <w:sz w:val="24"/>
        </w:rPr>
        <w:t>[59] Ma C, Chen Y, Wu T, Khan A, Wang H. Large Language Models Meet Knowledge Graphs for Question Answering: Synthesis and Opportunities[C]//Proceedings of EMNLP 2025. 2025: 24578-24597.</w:t>
      </w:r>
    </w:p>
    <w:p>
      <w:r>
        <w:rPr>
          <w:rFonts w:ascii="Times New Roman" w:hAnsi="Times New Roman" w:eastAsia="宋体"/>
          <w:b w:val="0"/>
          <w:sz w:val="24"/>
        </w:rPr>
        <w:t>[60] Xu D, Li X, Zhang Z, Lin Z, Zhu Z, Zheng Z, Wu X, Zhao X, Xu T, Chen E.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Qu Y. Enhancing Complex Question Answering over Knowledge Graphs through Evidence Pattern Retrieval[C]//The Web Conference 2024.</w:t>
      </w:r>
    </w:p>
    <w:p>
      <w:r>
        <w:rPr>
          <w:rFonts w:ascii="Times New Roman" w:hAnsi="Times New Roman" w:eastAsia="宋体"/>
          <w:b w:val="0"/>
          <w:sz w:val="24"/>
        </w:rPr>
        <w:t>[63] Aneja K, Srivastava M, Das S, Aneja N. Interpretable Question Answering with Knowledge Graphs[EB/OL]. arXiv:2510.19181, 2025.</w:t>
      </w:r>
    </w:p>
    <w:p>
      <w:r>
        <w:rPr>
          <w:rFonts w:ascii="Times New Roman" w:hAnsi="Times New Roman" w:eastAsia="宋体"/>
          <w:b w:val="0"/>
          <w:sz w:val="24"/>
        </w:rPr>
        <w:t>[64] Es S, James J, Espinosa Anke L, Schockaert S. RAGAS: Automated Evaluation of Retrieval Augmented Generation[C]//EACL 2024 Demo.</w:t>
      </w:r>
    </w:p>
    <w:p>
      <w:r>
        <w:rPr>
          <w:rFonts w:ascii="Times New Roman" w:hAnsi="Times New Roman" w:eastAsia="宋体"/>
          <w:b w:val="0"/>
          <w:sz w:val="24"/>
        </w:rPr>
        <w:t>[65] Gan A, Yu H, Zhang K, Liu Q, Yan W, Huang Z, Tong S, Hu G.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Goedicke M, Pfleging B, Ju W. Towards Sustainable Research Data Management in Human-Computer Interaction[EB/OL]. arXiv:2307.10467, 2023.</w:t>
      </w:r>
    </w:p>
    <w:p>
      <w:r>
        <w:rPr>
          <w:rFonts w:ascii="Times New Roman" w:hAnsi="Times New Roman" w:eastAsia="宋体"/>
          <w:b w:val="0"/>
          <w:sz w:val="24"/>
        </w:rPr>
        <w:t>[69] Currie F, Basham M, Shemilt L, Lynch N.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Sabharwal A.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Hall D, Liang P, Potts C, Zaharia M.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Sun Z, Liu Q, Dwivedi-Yu J, Yang Y, Callan J, Neubig G. Active Retrieval Augmented Generation[C]//EMNLP 2023.</w:t>
      </w:r>
    </w:p>
    <w:p>
      <w:r>
        <w:rPr>
          <w:rFonts w:ascii="Times New Roman" w:hAnsi="Times New Roman" w:eastAsia="宋体"/>
          <w:b w:val="0"/>
          <w:sz w:val="24"/>
        </w:rPr>
        <w:t>[77] Ram O, Levine Y, Dalmedigos I, Muhlgay D, Shashua A, Leyton-Brown K, Shoham Y. In-Context Retrieval-Augmented Language Models[J]. Transactions of the ACL, 2023.</w:t>
      </w:r>
    </w:p>
    <w:p>
      <w:r>
        <w:rPr>
          <w:rFonts w:ascii="Times New Roman" w:hAnsi="Times New Roman" w:eastAsia="宋体"/>
          <w:b w:val="0"/>
          <w:sz w:val="24"/>
        </w:rPr>
        <w:t>[78] Borgeaud S, Mensch A, Hoffmann J, Cai T, Rutherford E, Millican K, Driessche G V D, Lespiau J B, Damoc B, Clark A, Casas D D L, Guy A, Menick J, Ring R, Hennigan T, Huang S, Maggiore L, Jones C, Cassirer A, Brock A, Paganini M, Irving G, Vinyals O, Osindero S, Simonyan K, Rae J W, Elsen E, Sifre L. Improving Language Models by Retrieving from Trillions of Tokens[C]//Proceedings of ICML 2022. PMLR, 2022, 162: 2206-2240. arXiv:2112.04426.</w:t>
      </w:r>
    </w:p>
    <w:p>
      <w:r>
        <w:rPr>
          <w:rFonts w:ascii="Times New Roman" w:hAnsi="Times New Roman" w:eastAsia="宋体"/>
          <w:b w:val="0"/>
          <w:sz w:val="24"/>
        </w:rPr>
        <w:t>[79] Karpukhin V, Oguz B, Min S, Lewis P, Wu L, Edunov S, Chen D, Yih W T. Dense Passage Retrieval for Open-Domain Question Answering[C]//EMNLP 2020.</w:t>
      </w:r>
    </w:p>
    <w:p>
      <w:r>
        <w:rPr>
          <w:rFonts w:ascii="Times New Roman" w:hAnsi="Times New Roman" w:eastAsia="宋体"/>
          <w:b w:val="0"/>
          <w:sz w:val="24"/>
        </w:rPr>
        <w:t>[80] Guu K, Lee K, Tung Z, Pasupat P, Chang M W.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刘瑶, 秦志光.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靳小龙, 贾岩涛, 王元卓. 面向知识图谱的知识推理研究进展[J]. 软件学报, 2018, 29(10): 2966-2994.</w:t>
      </w:r>
    </w:p>
    <w:p>
      <w:r>
        <w:rPr>
          <w:rFonts w:ascii="Times New Roman" w:hAnsi="Times New Roman" w:eastAsia="宋体"/>
          <w:b w:val="0"/>
          <w:sz w:val="24"/>
        </w:rPr>
        <w:t>[95] 张吉祥, 张祥森, 武长旭, 朱晓峰, 许鑫.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曹雷, 张扬, 王博宇, 孙华章.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唐天一, 文继荣. 大语言模型[M]. 北京: 高等教育出版社, 2024.</w:t>
      </w:r>
    </w:p>
    <w:p>
      <w:r>
        <w:rPr>
          <w:rFonts w:ascii="Times New Roman" w:hAnsi="Times New Roman" w:eastAsia="宋体"/>
          <w:b w:val="0"/>
          <w:sz w:val="24"/>
        </w:rPr>
        <w:t>[102] 陈慧敏, 刘知远, 孙茂松.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刘绍华, 王禹, 朱尚威, 王焘, 毛天露. 大语言模型检索增强生成优化技术研究综述[J]. 计算机学报, 2026, 49(2): 383-423.</w:t>
      </w:r>
    </w:p>
    <w:p>
      <w:r>
        <w:rPr>
          <w:rFonts w:ascii="Times New Roman" w:hAnsi="Times New Roman" w:eastAsia="宋体"/>
          <w:b w:val="0"/>
          <w:sz w:val="24"/>
        </w:rPr>
        <w:t>[106] 姜毅, 王艺璇, 方浜毅, 张瑜, 陈启军. 大语言模型安全与隐私风险综述[J]. 计算机研究与发展, 2025, 62(8): 1979-2018.</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p>
      <w:r>
        <w:br w:type="page"/>
      </w:r>
    </w:p>
    <w:p>
      <w:pPr>
        <w:pStyle w:val="Heading1"/>
        <w:ind w:firstLine="0"/>
      </w:pPr>
      <w:r>
        <w:t>致谢</w:t>
      </w:r>
    </w:p>
    <w:p>
      <w:r>
        <w:rPr>
          <w:rFonts w:ascii="Times New Roman" w:hAnsi="Times New Roman" w:eastAsia="宋体"/>
          <w:b w:val="0"/>
          <w:sz w:val="24"/>
        </w:rPr>
        <w:t>本论文的研究与撰写是在指导教师的指导下完成的。感谢指导教师在研究选题、系统设计、实验方案和论文修改过程中给予的指导与帮助；感谢参与系统测试、资料核验和结果讨论的老师与同学；感谢家人在学习和研究期间给予的理解与支持。谨向所有关心和帮助本研究工作的人表示诚挚谢意。</w:t>
      </w:r>
    </w:p>
    <w:p>
      <w:r>
        <w:br w:type="page"/>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p>
      <w:pPr>
        <w:keepNext/>
        <w:spacing w:lineRule="exact" w:line="300"/>
        <w:ind w:firstLine="0"/>
        <w:jc w:val="center"/>
      </w:pPr>
      <w:r>
        <w:rPr>
          <w:rFonts w:ascii="Times New Roman" w:hAnsi="Times New Roman" w:eastAsia="宋体"/>
          <w:b/>
          <w:sz w:val="20"/>
        </w:rPr>
        <w:t>表 A-1 RAG 对照实验问题清单</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编号</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问题类型</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实验问题</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Q01</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条件优化实验的退火温度优化依据是什么?</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Q02</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体系配置和循环条件主要来自哪份资料?</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Q03</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CCK-8 检测步骤和读数要求主要来自哪份资料?</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Q04</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细胞活力检测实验中读数和统计应关注什么?</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Q05</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项目资料库中哪些资料已经同步到知识库?</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Q06</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条件优化实验使用了哪些试剂?</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Q07</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条件优化实验使用了哪些样本?</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Q08</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细胞活力检测实验使用了哪些试剂和仪器?</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Q09</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Western Blot 蛋白表达验证使用了哪些试剂?</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Western Blot 蛋白表达验证使用了哪些仪器?</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Q11</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退火温度 58°C 条带最清晰这一结果来自哪条实验笔记?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Q12</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处理组细胞活力下降约 18% 这一结论来自哪条实验笔记?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Q13</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处理组目标蛋白表达降低这一结果来自哪条实验笔记?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Q14</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三条实验笔记分别由谁创建?</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Q15</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当前项目包含哪些已审核实验笔记?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Q16</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2026 年 6 月 3 日至 6 月 5 日项目完成了哪些实验?</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Q17</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这三项实验分别产生了哪些主要结果?</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Q18</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项目中涉及的主要试剂可以按实验类型如何归纳?</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Q19</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项目中涉及的主要仪器可以按实验类型如何归纳?</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Q20</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根据当前实验记录,项目下一步可以重点复核哪些结果?</w:t>
            </w:r>
          </w:p>
        </w:tc>
      </w:tr>
    </w:tbl>
    <w:p>
      <w:pPr>
        <w:spacing w:after="0"/>
      </w:pPr>
    </w:p>
    <w:p>
      <w:r>
        <w:br w:type="page"/>
      </w: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p>
      <w:pPr>
        <w:keepNext/>
        <w:spacing w:lineRule="exact" w:line="300"/>
        <w:ind w:firstLine="0"/>
        <w:jc w:val="center"/>
      </w:pPr>
      <w:r>
        <w:rPr>
          <w:rFonts w:ascii="Times New Roman" w:hAnsi="Times New Roman" w:eastAsia="宋体"/>
          <w:b/>
          <w:sz w:val="20"/>
        </w:rPr>
        <w:t>表 B-1 核心数据表映射</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数据域</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数据表</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主要作用</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用户与组织</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users、groups、group_members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保存用户、课题组和成员关系</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项目权限</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projects、project_members、project_reviewers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保存项目负责人、成员角色和审核范围</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实验记录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experiment_notes、note_versions、note_approvals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保存笔记状态、版本和审核动作</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附件资料</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files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保存实验附件、知识文档和审核/入库状态</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RAG 知识库</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project_rag_datasets、rag_file_syncs、rag_document_chunks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保存项目数据集、资料同步、分块和向量</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知识图谱</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kg_entities、kg_relations、kg_extraction_runs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保存实体、关系、来源和抽取运行</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问答实验</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ai_query_logs、ai_query_evaluations、ai_experiment_runs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保存回答、证据、配置快照、评价和批次</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固定任务生成</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agent_generation_runs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保存任务输出、来源 ID、Token 和时延</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审计追溯</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audit_logs</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sectPr w:rsidR="00FC693F" w:rsidRPr="0006063C" w:rsidSect="00034616">
      <w:footerReference w:type="default" r:id="rId10"/>
      <w:pgSz w:w="11906" w:h="16838"/>
      <w:pgMar w:top="1587" w:right="1587" w:bottom="1587" w:left="1587"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after="0"/>
      <w:ind w:firstLineChars="20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00"/>
      <w:ind w:firstLine="0"/>
      <w:jc w:val="center"/>
      <w:outlineLvl w:val="0"/>
    </w:pPr>
    <w:rPr>
      <w:rFonts w:asciiTheme="majorHAnsi" w:eastAsiaTheme="majorEastAsia" w:hAnsiTheme="majorHAnsi" w:cstheme="majorBidi" w:ascii="Times New Roman" w:hAnsi="Times New Roman"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00"/>
      <w:ind w:firstLine="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00"/>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400" w:lineRule="exact" w:before="240"/>
      <w:ind w:firstLine="0"/>
      <w:contextualSpacing/>
      <w:jc w:val="center"/>
    </w:pPr>
    <w:rPr>
      <w:rFonts w:asciiTheme="majorHAnsi" w:eastAsiaTheme="majorEastAsia" w:hAnsiTheme="majorHAnsi" w:cstheme="majorBidi" w:ascii="Times New Roman" w:hAnsi="Times New Roman"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