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24</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24</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25</w:t>
      </w:r>
    </w:p>
    <w:p>
      <w:pPr>
        <w:tabs>
          <w:tab w:pos="8220" w:val="right" w:leader="dot"/>
        </w:tabs>
        <w:spacing w:before="0" w:after="0" w:line="240" w:lineRule="auto"/>
        <w:ind w:firstLine="0" w:left="420"/>
      </w:pPr>
      <w:r>
        <w:rPr>
          <w:rFonts w:ascii="Times New Roman" w:hAnsi="Times New Roman" w:eastAsia="宋体"/>
          <w:b w:val="0"/>
          <w:sz w:val="18"/>
        </w:rPr>
        <w:t>3.6 关键问题建模</w:t>
        <w:tab/>
        <w:t>25</w:t>
      </w:r>
    </w:p>
    <w:p>
      <w:pPr>
        <w:tabs>
          <w:tab w:pos="8220" w:val="right" w:leader="dot"/>
        </w:tabs>
        <w:spacing w:before="0" w:after="0" w:line="240" w:lineRule="auto"/>
        <w:ind w:firstLine="0" w:left="420"/>
      </w:pPr>
      <w:r>
        <w:rPr>
          <w:rFonts w:ascii="Times New Roman" w:hAnsi="Times New Roman" w:eastAsia="宋体"/>
          <w:b w:val="0"/>
          <w:sz w:val="18"/>
        </w:rPr>
        <w:t>3.7 本章小结</w:t>
        <w:tab/>
        <w:t>27</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28</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28</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28</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29</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31</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33</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34</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34</w:t>
      </w:r>
    </w:p>
    <w:p>
      <w:pPr>
        <w:tabs>
          <w:tab w:pos="8220" w:val="right" w:leader="dot"/>
        </w:tabs>
        <w:spacing w:before="0" w:after="0" w:line="240" w:lineRule="auto"/>
        <w:ind w:firstLine="0" w:left="420"/>
      </w:pPr>
      <w:r>
        <w:rPr>
          <w:rFonts w:ascii="Times New Roman" w:hAnsi="Times New Roman" w:eastAsia="宋体"/>
          <w:b w:val="0"/>
          <w:sz w:val="18"/>
        </w:rPr>
        <w:t>4.8 本章小结</w:t>
        <w:tab/>
        <w:t>35</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35</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35</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36</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38</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38</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40</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41</w:t>
      </w:r>
    </w:p>
    <w:p>
      <w:pPr>
        <w:tabs>
          <w:tab w:pos="8220" w:val="right" w:leader="dot"/>
        </w:tabs>
        <w:spacing w:before="0" w:after="0" w:line="240" w:lineRule="auto"/>
        <w:ind w:firstLine="0" w:left="420"/>
      </w:pPr>
      <w:r>
        <w:rPr>
          <w:rFonts w:ascii="Times New Roman" w:hAnsi="Times New Roman" w:eastAsia="宋体"/>
          <w:b w:val="0"/>
          <w:sz w:val="18"/>
        </w:rPr>
        <w:t>5.7 本章小结</w:t>
        <w:tab/>
        <w:t>42</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42</w:t>
      </w:r>
    </w:p>
    <w:p>
      <w:pPr>
        <w:tabs>
          <w:tab w:pos="8220" w:val="right" w:leader="dot"/>
        </w:tabs>
        <w:spacing w:before="0" w:after="0" w:line="240" w:lineRule="auto"/>
        <w:ind w:firstLine="0" w:left="420"/>
      </w:pPr>
      <w:r>
        <w:rPr>
          <w:rFonts w:ascii="Times New Roman" w:hAnsi="Times New Roman" w:eastAsia="宋体"/>
          <w:b w:val="0"/>
          <w:sz w:val="18"/>
        </w:rPr>
        <w:t>6.1 系统架构设计</w:t>
        <w:tab/>
        <w:t>42</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43</w:t>
      </w:r>
    </w:p>
    <w:p>
      <w:pPr>
        <w:tabs>
          <w:tab w:pos="8220" w:val="right" w:leader="dot"/>
        </w:tabs>
        <w:spacing w:before="0" w:after="0" w:line="240" w:lineRule="auto"/>
        <w:ind w:firstLine="0" w:left="420"/>
      </w:pPr>
      <w:r>
        <w:rPr>
          <w:rFonts w:ascii="Times New Roman" w:hAnsi="Times New Roman" w:eastAsia="宋体"/>
          <w:b w:val="0"/>
          <w:sz w:val="18"/>
        </w:rPr>
        <w:t>6.3 数据库设计</w:t>
        <w:tab/>
        <w:t>45</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45</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46</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47</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48</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48</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49</w:t>
      </w:r>
    </w:p>
    <w:p>
      <w:pPr>
        <w:tabs>
          <w:tab w:pos="8220" w:val="right" w:leader="dot"/>
        </w:tabs>
        <w:spacing w:before="0" w:after="0" w:line="240" w:lineRule="auto"/>
        <w:ind w:firstLine="0" w:left="420"/>
      </w:pPr>
      <w:r>
        <w:rPr>
          <w:rFonts w:ascii="Times New Roman" w:hAnsi="Times New Roman" w:eastAsia="宋体"/>
          <w:b w:val="0"/>
          <w:sz w:val="18"/>
        </w:rPr>
        <w:t>6.10 本章小结</w:t>
        <w:tab/>
        <w:t>50</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50</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50</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52</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53</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54</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55</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59</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60</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61</w:t>
      </w:r>
    </w:p>
    <w:p>
      <w:pPr>
        <w:tabs>
          <w:tab w:pos="8220" w:val="right" w:leader="dot"/>
        </w:tabs>
        <w:spacing w:before="0" w:after="0" w:line="240" w:lineRule="auto"/>
        <w:ind w:firstLine="0" w:left="420"/>
      </w:pPr>
      <w:r>
        <w:rPr>
          <w:rFonts w:ascii="Times New Roman" w:hAnsi="Times New Roman" w:eastAsia="宋体"/>
          <w:b w:val="0"/>
          <w:sz w:val="18"/>
        </w:rPr>
        <w:t>7.9 本章小结</w:t>
        <w:tab/>
        <w:t>62</w:t>
      </w:r>
    </w:p>
    <w:p>
      <w:pPr>
        <w:tabs>
          <w:tab w:pos="8220" w:val="right" w:leader="dot"/>
        </w:tabs>
        <w:spacing w:before="0" w:after="0" w:line="240" w:lineRule="auto"/>
        <w:ind w:firstLine="0" w:left="0"/>
      </w:pPr>
      <w:r>
        <w:rPr>
          <w:rFonts w:ascii="Times New Roman" w:hAnsi="Times New Roman" w:eastAsia="黑体"/>
          <w:b/>
          <w:sz w:val="20"/>
        </w:rPr>
        <w:t>第八章 总结与展望</w:t>
        <w:tab/>
        <w:t>63</w:t>
      </w:r>
    </w:p>
    <w:p>
      <w:pPr>
        <w:tabs>
          <w:tab w:pos="8220" w:val="right" w:leader="dot"/>
        </w:tabs>
        <w:spacing w:before="0" w:after="0" w:line="240" w:lineRule="auto"/>
        <w:ind w:firstLine="0" w:left="420"/>
      </w:pPr>
      <w:r>
        <w:rPr>
          <w:rFonts w:ascii="Times New Roman" w:hAnsi="Times New Roman" w:eastAsia="宋体"/>
          <w:b w:val="0"/>
          <w:sz w:val="18"/>
        </w:rPr>
        <w:t>8.1 工作总结</w:t>
        <w:tab/>
        <w:t>63</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63</w:t>
      </w:r>
    </w:p>
    <w:p>
      <w:pPr>
        <w:tabs>
          <w:tab w:pos="8220" w:val="right" w:leader="dot"/>
        </w:tabs>
        <w:spacing w:before="0" w:after="0" w:line="240" w:lineRule="auto"/>
        <w:ind w:firstLine="0" w:left="420"/>
      </w:pPr>
      <w:r>
        <w:rPr>
          <w:rFonts w:ascii="Times New Roman" w:hAnsi="Times New Roman" w:eastAsia="宋体"/>
          <w:b w:val="0"/>
          <w:sz w:val="18"/>
        </w:rPr>
        <w:t>8.3 不足分析</w:t>
        <w:tab/>
        <w:t>64</w:t>
      </w:r>
    </w:p>
    <w:p>
      <w:pPr>
        <w:tabs>
          <w:tab w:pos="8220" w:val="right" w:leader="dot"/>
        </w:tabs>
        <w:spacing w:before="0" w:after="0" w:line="240" w:lineRule="auto"/>
        <w:ind w:firstLine="0" w:left="420"/>
      </w:pPr>
      <w:r>
        <w:rPr>
          <w:rFonts w:ascii="Times New Roman" w:hAnsi="Times New Roman" w:eastAsia="宋体"/>
          <w:b w:val="0"/>
          <w:sz w:val="18"/>
        </w:rPr>
        <w:t>8.4 未来展望</w:t>
        <w:tab/>
        <w:t>64</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64</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66</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66</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67</w:t>
      </w:r>
    </w:p>
    <w:p>
      <w:pPr>
        <w:tabs>
          <w:tab w:pos="8220" w:val="right" w:leader="dot"/>
        </w:tabs>
        <w:spacing w:before="0" w:after="0" w:line="240" w:lineRule="auto"/>
        <w:ind w:firstLine="0" w:left="0"/>
      </w:pPr>
      <w:r>
        <w:rPr>
          <w:rFonts w:ascii="Times New Roman" w:hAnsi="Times New Roman" w:eastAsia="黑体"/>
          <w:b/>
          <w:sz w:val="20"/>
        </w:rPr>
        <w:t>参考文献</w:t>
        <w:tab/>
        <w:t>68</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系统级与项目级角色权限边界如图 3-1 所示。该图强调系统身份治理与项目业务权限分别生效,项目负责人和项目成员的能力均被限制在已授权项目内。</w:t>
      </w:r>
    </w:p>
    <w:p>
      <w:pPr>
        <w:ind w:firstLine="0"/>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11-role-permission-boundary.png"/>
                    <pic:cNvPicPr/>
                  </pic:nvPicPr>
                  <pic:blipFill>
                    <a:blip r:embed="rId11"/>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3-1 系统级与项目级角色权限边界</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项目边界内可信知识闭环如图 3-2 所示。闭环中的身份校验、项目隔离和审计留痕不是独立附加功能,而是贯穿可信输入、结构化转化、知识问答和结果回存的共同约束。</w:t>
      </w:r>
    </w:p>
    <w:p>
      <w:pPr>
        <w:ind w:firstLine="0"/>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12-trusted-knowledge-loop.png"/>
                    <pic:cNvPicPr/>
                  </pic:nvPicPr>
                  <pic:blipFill>
                    <a:blip r:embed="rId12"/>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3-2 项目边界内可信知识闭环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实验知识图谱实体关系模型如图 4-1 所示。实验笔记实体是业务关系的主要连接点,项目实体提供隔离边界,其他实验对象实体通过带来源信息的有向关系与笔记关联。</w:t>
      </w:r>
    </w:p>
    <w:p>
      <w:pPr>
        <w:ind w:firstLine="0"/>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13-kg-schema.png"/>
                    <pic:cNvPicPr/>
                  </pic:nvPicPr>
                  <pic:blipFill>
                    <a:blip r:embed="rId13"/>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4-1 实验知识图谱实体关系模型</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审核约束下的实验知识图谱构建流程如图 4-2 所示。审核判断位于抽取流程之前,审核未通过时记录退回修改,只有审核通过的笔记才进入实体生成、实验对象抽取、归一化去重和关系写入环节。</w:t>
      </w:r>
    </w:p>
    <w:p>
      <w:pPr>
        <w:ind w:firstLine="0"/>
        <w:jc w:val="center"/>
      </w:pPr>
      <w:r>
        <w:drawing>
          <wp:inline xmlns:a="http://schemas.openxmlformats.org/drawingml/2006/main" xmlns:pic="http://schemas.openxmlformats.org/drawingml/2006/picture">
            <wp:extent cx="5220000" cy="2936250"/>
            <wp:docPr id="5" name="Picture 5"/>
            <wp:cNvGraphicFramePr>
              <a:graphicFrameLocks noChangeAspect="1"/>
            </wp:cNvGraphicFramePr>
            <a:graphic>
              <a:graphicData uri="http://schemas.openxmlformats.org/drawingml/2006/picture">
                <pic:pic>
                  <pic:nvPicPr>
                    <pic:cNvPr id="0" name="14-kg-construction-flow.png"/>
                    <pic:cNvPicPr/>
                  </pic:nvPicPr>
                  <pic:blipFill>
                    <a:blip r:embed="rId14"/>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4-2 审核约束下的实验知识图谱构建流程</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r>
                <m:rPr>
                  <m:sty m:val="p"/>
                </m:rPr>
                <m:t>norm</m:t>
              </m:r>
              <m:r>
                <m:t xml:space="preserve">(term) = </m:t>
              </m:r>
              <m:r>
                <m:rPr>
                  <m:sty m:val="p"/>
                </m:rPr>
                <m:t>trim</m:t>
              </m:r>
              <m:r>
                <m:t>(</m:t>
              </m:r>
              <m:r>
                <m:rPr>
                  <m:sty m:val="p"/>
                </m:rPr>
                <m:t>lower</m:t>
              </m:r>
              <m:r>
                <m:t>(</m:t>
              </m:r>
              <m:r>
                <m:rPr>
                  <m:sty m:val="p"/>
                </m:rPr>
                <m:t>strip</m:t>
              </m:r>
              <m:sSub>
                <m:sSubPr/>
                <m:e>
                  <m:r>
                    <m:t/>
                  </m:r>
                </m:e>
                <m:sub>
                  <m:r>
                    <m:t>punctuation</m:t>
                  </m:r>
                </m:sub>
              </m:sSub>
              <m:r>
                <m:t>(term)))</m:t>
              </m:r>
            </m:oMath>
          </w:p>
        </w:tc>
        <w:tc>
          <w:tcPr>
            <w:tcW w:type="dxa" w:w="1020"/>
            <w:vAlign w:val="center"/>
          </w:tcPr>
          <w:p>
            <w:pPr>
              <w:ind w:firstLine="0"/>
              <w:jc w:val="right"/>
            </w:pPr>
            <w:r>
              <w:rPr>
                <w:rFonts w:ascii="Times New Roman" w:hAnsi="Times New Roman" w:eastAsia="宋体"/>
                <w:sz w:val="24"/>
              </w:rPr>
              <w:t>(4-1)</w:t>
            </w:r>
          </w:p>
        </w:tc>
      </w:tr>
    </w:tbl>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sSub>
                <m:sSubPr/>
                <m:e>
                  <m:r>
                    <m:rPr>
                      <m:sty m:val="p"/>
                    </m:rPr>
                    <m:t>natural</m:t>
                  </m:r>
                </m:e>
                <m:sub>
                  <m:r>
                    <m:t>key</m:t>
                  </m:r>
                </m:sub>
              </m:sSub>
              <m:r>
                <m:t xml:space="preserve"> = </m:t>
              </m:r>
              <m:r>
                <m:rPr>
                  <m:sty m:val="p"/>
                </m:rPr>
                <m:t>pid</m:t>
              </m:r>
              <m:r>
                <m:t xml:space="preserve"> + ":" + </m:t>
              </m:r>
              <m:r>
                <m:rPr>
                  <m:sty m:val="p"/>
                </m:rPr>
                <m:t>etype</m:t>
              </m:r>
              <m:r>
                <m:t xml:space="preserve"> + ":" + </m:t>
              </m:r>
              <m:r>
                <m:rPr>
                  <m:sty m:val="p"/>
                </m:rPr>
                <m:t>norm</m:t>
              </m:r>
              <m:r>
                <m:t>(term)</m:t>
              </m:r>
            </m:oMath>
          </w:p>
        </w:tc>
        <w:tc>
          <w:tcPr>
            <w:tcW w:type="dxa" w:w="1020"/>
            <w:vAlign w:val="center"/>
          </w:tcPr>
          <w:p>
            <w:pPr>
              <w:ind w:firstLine="0"/>
              <w:jc w:val="right"/>
            </w:pPr>
            <w:r>
              <w:rPr>
                <w:rFonts w:ascii="Times New Roman" w:hAnsi="Times New Roman" w:eastAsia="宋体"/>
                <w:sz w:val="24"/>
              </w:rPr>
              <w:t>(4-2)</w:t>
            </w:r>
          </w:p>
        </w:tc>
      </w:tr>
    </w:tbl>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r>
                <m:rPr>
                  <m:sty m:val="p"/>
                </m:rPr>
                <m:t>conf</m:t>
              </m:r>
              <m:r>
                <m:t xml:space="preserve">(r) = </m:t>
              </m:r>
              <m:d>
                <m:dPr>
                  <m:begChr m:val="{"/>
                  <m:endChr m:val=""/>
                </m:dPr>
                <m:e>
                  <m:m>
                    <m:mPr>
                      <m:mcs>
                        <m:mc>
                          <m:mcPr>
                            <m:count m:val="1"/>
                            <m:mcJc m:val="right"/>
                          </m:mcPr>
                        </m:mc>
                        <m:mc>
                          <m:mcPr>
                            <m:count m:val="1"/>
                            <m:mcJc m:val="left"/>
                          </m:mcPr>
                        </m:mc>
                      </m:mcs>
                    </m:mPr>
                    <m:mr>
                      <m:e>
                        <m:r>
                          <m:t>1.0</m:t>
                        </m:r>
                      </m:e>
                      <m:e>
                        <m:r>
                          <m:rPr>
                            <m:sty m:val="p"/>
                          </m:rPr>
                          <m:t>,  r 来自数据库元数据</m:t>
                        </m:r>
                      </m:e>
                    </m:mr>
                    <m:mr>
                      <m:e>
                        <m:r>
                          <m:t>0.7</m:t>
                        </m:r>
                      </m:e>
                      <m:e>
                        <m:r>
                          <m:rPr>
                            <m:sty m:val="p"/>
                          </m:rPr>
                          <m:t>,  r 来自结构化字段或正文规则抽取</m:t>
                        </m:r>
                      </m:e>
                    </m:mr>
                  </m:m>
                </m:e>
              </m:d>
            </m:oMath>
          </w:p>
        </w:tc>
        <w:tc>
          <w:tcPr>
            <w:tcW w:type="dxa" w:w="1020"/>
            <w:vAlign w:val="center"/>
          </w:tcPr>
          <w:p>
            <w:pPr>
              <w:ind w:firstLine="0"/>
              <w:jc w:val="right"/>
            </w:pPr>
            <w:r>
              <w:rPr>
                <w:rFonts w:ascii="Times New Roman" w:hAnsi="Times New Roman" w:eastAsia="宋体"/>
                <w:sz w:val="24"/>
              </w:rPr>
              <w:t>(4-3)</w:t>
            </w:r>
          </w:p>
        </w:tc>
      </w:tr>
    </w:tbl>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sSub>
                <m:sSubPr/>
                <m:e>
                  <m:r>
                    <m:t>R</m:t>
                  </m:r>
                </m:e>
                <m:sub>
                  <m:r>
                    <m:t>i</m:t>
                  </m:r>
                </m:sub>
              </m:sSub>
              <m:r>
                <m:t xml:space="preserve"> = 0.8</m:t>
              </m:r>
              <m:sSub>
                <m:sSubPr/>
                <m:e>
                  <m:r>
                    <m:t>v</m:t>
                  </m:r>
                </m:e>
                <m:sub>
                  <m:r>
                    <m:t>i</m:t>
                  </m:r>
                </m:sub>
              </m:sSub>
              <m:r>
                <m:t xml:space="preserve"> + 0.2</m:t>
              </m:r>
              <m:sSub>
                <m:sSubPr/>
                <m:e>
                  <m:r>
                    <m:t>l</m:t>
                  </m:r>
                </m:e>
                <m:sub>
                  <m:r>
                    <m:t>i</m:t>
                  </m:r>
                </m:sub>
              </m:sSub>
            </m:oMath>
          </w:p>
        </w:tc>
        <w:tc>
          <w:tcPr>
            <w:tcW w:type="dxa" w:w="1020"/>
            <w:vAlign w:val="center"/>
          </w:tcPr>
          <w:p>
            <w:pPr>
              <w:ind w:firstLine="0"/>
              <w:jc w:val="right"/>
            </w:pPr>
            <w:r>
              <w:rPr>
                <w:rFonts w:ascii="Times New Roman" w:hAnsi="Times New Roman" w:eastAsia="宋体"/>
                <w:sz w:val="24"/>
              </w:rPr>
              <w:t>(5-1)</w:t>
            </w:r>
          </w:p>
        </w:tc>
      </w:tr>
    </w:tbl>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普通 RAG 与图谱增强 RAG 的对照流程如图 5-1 所示。两种模式共享相同的权限校验、资料候选集、资料检索参数和生成模型,主要实验变量是是否额外检索并注入一跳图谱关系。</w:t>
      </w:r>
    </w:p>
    <w:p>
      <w:pPr>
        <w:ind w:firstLine="0"/>
        <w:jc w:val="center"/>
      </w:pPr>
      <w:r>
        <w:drawing>
          <wp:inline xmlns:a="http://schemas.openxmlformats.org/drawingml/2006/main" xmlns:pic="http://schemas.openxmlformats.org/drawingml/2006/picture">
            <wp:extent cx="5220000" cy="2936250"/>
            <wp:docPr id="6" name="Picture 6"/>
            <wp:cNvGraphicFramePr>
              <a:graphicFrameLocks noChangeAspect="1"/>
            </wp:cNvGraphicFramePr>
            <a:graphic>
              <a:graphicData uri="http://schemas.openxmlformats.org/drawingml/2006/picture">
                <pic:pic>
                  <pic:nvPicPr>
                    <pic:cNvPr id="0" name="15-rag-comparison-flow.png"/>
                    <pic:cNvPicPr/>
                  </pic:nvPicPr>
                  <pic:blipFill>
                    <a:blip r:embed="rId15"/>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5-1 普通 RAG 与图谱增强 RAG 对照流程</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r>
                <m:t>G</m:t>
              </m:r>
              <m:r>
                <m:t>(r,q) = 3</m:t>
              </m:r>
              <m:sSub>
                <m:sSubPr/>
                <m:e>
                  <m:r>
                    <m:t>I</m:t>
                  </m:r>
                </m:e>
                <m:sub>
                  <m:r>
                    <m:t>type</m:t>
                  </m:r>
                </m:sub>
              </m:sSub>
              <m:r>
                <m:t xml:space="preserve"> + </m:t>
              </m:r>
              <m:nary>
                <m:naryPr>
                  <m:chr m:val="∑"/>
                  <m:limLoc m:val="undOvr"/>
                </m:naryPr>
                <m:sub>
                  <m:r>
                    <m:t>k∈K(q)</m:t>
                  </m:r>
                </m:sub>
                <m:sup>
                  <m:r>
                    <m:t/>
                  </m:r>
                </m:sup>
                <m:e>
                  <m:r>
                    <m:t>(3</m:t>
                  </m:r>
                  <m:sSub>
                    <m:sSubPr/>
                    <m:e>
                      <m:r>
                        <m:t>I</m:t>
                      </m:r>
                    </m:e>
                    <m:sub>
                      <m:r>
                        <m:t>exact</m:t>
                      </m:r>
                    </m:sub>
                  </m:sSub>
                  <m:r>
                    <m:t xml:space="preserve"> + </m:t>
                  </m:r>
                  <m:sSub>
                    <m:sSubPr/>
                    <m:e>
                      <m:r>
                        <m:t>I</m:t>
                      </m:r>
                    </m:e>
                    <m:sub>
                      <m:r>
                        <m:t>substring</m:t>
                      </m:r>
                    </m:sub>
                  </m:sSub>
                  <m:r>
                    <m:t>)</m:t>
                  </m:r>
                </m:e>
              </m:nary>
              <m:r>
                <m:t xml:space="preserve"> + 0.2</m:t>
              </m:r>
              <m:sSub>
                <m:sSubPr/>
                <m:e>
                  <m:r>
                    <m:t>I</m:t>
                  </m:r>
                </m:e>
                <m:sub>
                  <m:r>
                    <m:t>note</m:t>
                  </m:r>
                </m:sub>
              </m:sSub>
              <m:r>
                <m:t xml:space="preserve"> + 0.3</m:t>
              </m:r>
              <m:sSub>
                <m:sSubPr/>
                <m:e>
                  <m:r>
                    <m:t>I</m:t>
                  </m:r>
                </m:e>
                <m:sub>
                  <m:r>
                    <m:t>extraction</m:t>
                  </m:r>
                </m:sub>
              </m:sSub>
            </m:oMath>
          </w:p>
        </w:tc>
        <w:tc>
          <w:tcPr>
            <w:tcW w:type="dxa" w:w="1020"/>
            <w:vAlign w:val="center"/>
          </w:tcPr>
          <w:p>
            <w:pPr>
              <w:ind w:firstLine="0"/>
              <w:jc w:val="right"/>
            </w:pPr>
            <w:r>
              <w:rPr>
                <w:rFonts w:ascii="Times New Roman" w:hAnsi="Times New Roman" w:eastAsia="宋体"/>
                <w:sz w:val="24"/>
              </w:rPr>
              <w:t>(5-2)</w:t>
            </w:r>
          </w:p>
        </w:tc>
      </w:tr>
    </w:tbl>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AI 问答证据与审计追溯链如图 5-2 所示。资料来源、图谱依据和人工评价共同汇聚到问答记录,并通过实验运行编号、配置快照、语料哈希和数据库记录编号支持结果复现。</w:t>
      </w:r>
    </w:p>
    <w:p>
      <w:pPr>
        <w:ind w:firstLine="0"/>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16-traceability-chain.png"/>
                    <pic:cNvPicPr/>
                  </pic:nvPicPr>
                  <pic:blipFill>
                    <a:blip r:embed="rId16"/>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5-2 AI 问答证据与审计追溯链</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系统总体架构如图 6-1 所示。架构图将用户交互、接口权限、领域服务以及数据与模型依赖分层展示,并把项目数据隔离、审核后入库或入图、来源与操作留痕作为横向约束。</w:t>
      </w:r>
    </w:p>
    <w:p>
      <w:pPr>
        <w:ind w:firstLine="0"/>
        <w:jc w:val="center"/>
      </w:pPr>
      <w:r>
        <w:drawing>
          <wp:inline xmlns:a="http://schemas.openxmlformats.org/drawingml/2006/main" xmlns:pic="http://schemas.openxmlformats.org/drawingml/2006/picture">
            <wp:extent cx="5220000" cy="2936250"/>
            <wp:docPr id="8" name="Picture 8"/>
            <wp:cNvGraphicFramePr>
              <a:graphicFrameLocks noChangeAspect="1"/>
            </wp:cNvGraphicFramePr>
            <a:graphic>
              <a:graphicData uri="http://schemas.openxmlformats.org/drawingml/2006/picture">
                <pic:pic>
                  <pic:nvPicPr>
                    <pic:cNvPr id="0" name="17-system-architecture.png"/>
                    <pic:cNvPicPr/>
                  </pic:nvPicPr>
                  <pic:blipFill>
                    <a:blip r:embed="rId17"/>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6-1 智能电子实验笔记系统总体架构</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600812"/>
            <wp:docPr id="9" name="Picture 9"/>
            <wp:cNvGraphicFramePr>
              <a:graphicFrameLocks noChangeAspect="1"/>
            </wp:cNvGraphicFramePr>
            <a:graphic>
              <a:graphicData uri="http://schemas.openxmlformats.org/drawingml/2006/picture">
                <pic:pic>
                  <pic:nvPicPr>
                    <pic:cNvPr id="0" name="02-project-workspace.png"/>
                    <pic:cNvPicPr/>
                  </pic:nvPicPr>
                  <pic:blipFill>
                    <a:blip r:embed="rId18"/>
                    <a:stretch>
                      <a:fillRect/>
                    </a:stretch>
                  </pic:blipFill>
                  <pic:spPr>
                    <a:xfrm>
                      <a:off x="0" y="0"/>
                      <a:ext cx="5220000" cy="3600812"/>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2661823"/>
            <wp:docPr id="10" name="Picture 10"/>
            <wp:cNvGraphicFramePr>
              <a:graphicFrameLocks noChangeAspect="1"/>
            </wp:cNvGraphicFramePr>
            <a:graphic>
              <a:graphicData uri="http://schemas.openxmlformats.org/drawingml/2006/picture">
                <pic:pic>
                  <pic:nvPicPr>
                    <pic:cNvPr id="0" name="03-system-admin.png"/>
                    <pic:cNvPicPr/>
                  </pic:nvPicPr>
                  <pic:blipFill>
                    <a:blip r:embed="rId19"/>
                    <a:stretch>
                      <a:fillRect/>
                    </a:stretch>
                  </pic:blipFill>
                  <pic:spPr>
                    <a:xfrm>
                      <a:off x="0" y="0"/>
                      <a:ext cx="5220000" cy="2661823"/>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2169901"/>
            <wp:docPr id="11" name="Picture 11"/>
            <wp:cNvGraphicFramePr>
              <a:graphicFrameLocks noChangeAspect="1"/>
            </wp:cNvGraphicFramePr>
            <a:graphic>
              <a:graphicData uri="http://schemas.openxmlformats.org/drawingml/2006/picture">
                <pic:pic>
                  <pic:nvPicPr>
                    <pic:cNvPr id="0" name="04-experiment-notes.png"/>
                    <pic:cNvPicPr/>
                  </pic:nvPicPr>
                  <pic:blipFill>
                    <a:blip r:embed="rId20"/>
                    <a:stretch>
                      <a:fillRect/>
                    </a:stretch>
                  </pic:blipFill>
                  <pic:spPr>
                    <a:xfrm>
                      <a:off x="0" y="0"/>
                      <a:ext cx="5220000" cy="2169901"/>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1020"/>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4099747"/>
            <wp:docPr id="12" name="Picture 12"/>
            <wp:cNvGraphicFramePr>
              <a:graphicFrameLocks noChangeAspect="1"/>
            </wp:cNvGraphicFramePr>
            <a:graphic>
              <a:graphicData uri="http://schemas.openxmlformats.org/drawingml/2006/picture">
                <pic:pic>
                  <pic:nvPicPr>
                    <pic:cNvPr id="0" name="05-rag-files-evaluation.png"/>
                    <pic:cNvPicPr/>
                  </pic:nvPicPr>
                  <pic:blipFill>
                    <a:blip r:embed="rId21"/>
                    <a:stretch>
                      <a:fillRect/>
                    </a:stretch>
                  </pic:blipFill>
                  <pic:spPr>
                    <a:xfrm>
                      <a:off x="0" y="0"/>
                      <a:ext cx="5220000" cy="4099747"/>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r>
                <m:t xml:space="preserve">P = </m:t>
              </m:r>
              <m:f>
                <m:fPr/>
                <m:num>
                  <m:r>
                    <m:t>TP</m:t>
                  </m:r>
                </m:num>
                <m:den>
                  <m:r>
                    <m:t>TP + FP</m:t>
                  </m:r>
                </m:den>
              </m:f>
              <m:r>
                <m:t xml:space="preserve">,    R = </m:t>
              </m:r>
              <m:f>
                <m:fPr/>
                <m:num>
                  <m:r>
                    <m:t>TP</m:t>
                  </m:r>
                </m:num>
                <m:den>
                  <m:r>
                    <m:t>TP + FN</m:t>
                  </m:r>
                </m:den>
              </m:f>
            </m:oMath>
          </w:p>
        </w:tc>
        <w:tc>
          <w:tcPr>
            <w:tcW w:type="dxa" w:w="1020"/>
            <w:vAlign w:val="center"/>
          </w:tcPr>
          <w:p>
            <w:pPr>
              <w:ind w:firstLine="0"/>
              <w:jc w:val="right"/>
            </w:pPr>
            <w:r>
              <w:rPr>
                <w:rFonts w:ascii="Times New Roman" w:hAnsi="Times New Roman" w:eastAsia="宋体"/>
                <w:sz w:val="24"/>
              </w:rPr>
              <w:t>(7-1)</w:t>
            </w:r>
          </w:p>
        </w:tc>
      </w:tr>
    </w:tbl>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sSub>
                <m:sSubPr/>
                <m:e>
                  <m:r>
                    <m:t>F</m:t>
                  </m:r>
                </m:e>
                <m:sub>
                  <m:r>
                    <m:t>1</m:t>
                  </m:r>
                </m:sub>
              </m:sSub>
              <m:r>
                <m:t xml:space="preserve"> = </m:t>
              </m:r>
              <m:f>
                <m:fPr/>
                <m:num>
                  <m:r>
                    <m:t>2PR</m:t>
                  </m:r>
                </m:num>
                <m:den>
                  <m:r>
                    <m:t>P + R</m:t>
                  </m:r>
                </m:den>
              </m:f>
            </m:oMath>
          </w:p>
        </w:tc>
        <w:tc>
          <w:tcPr>
            <w:tcW w:type="dxa" w:w="1020"/>
            <w:vAlign w:val="center"/>
          </w:tcPr>
          <w:p>
            <w:pPr>
              <w:ind w:firstLine="0"/>
              <w:jc w:val="right"/>
            </w:pPr>
            <w:r>
              <w:rPr>
                <w:rFonts w:ascii="Times New Roman" w:hAnsi="Times New Roman" w:eastAsia="宋体"/>
                <w:sz w:val="24"/>
              </w:rPr>
              <w:t>(7-2)</w:t>
            </w:r>
          </w:p>
        </w:tc>
      </w:tr>
    </w:tbl>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r>
                <m:t>C</m:t>
              </m:r>
              <m:r>
                <m:t xml:space="preserve"> = </m:t>
              </m:r>
              <m:f>
                <m:fPr/>
                <m:num>
                  <m:r>
                    <m:t>1</m:t>
                  </m:r>
                </m:num>
                <m:den>
                  <m:r>
                    <m:t>N</m:t>
                  </m:r>
                </m:den>
              </m:f>
              <m:r>
                <m:t xml:space="preserve"> × </m:t>
              </m:r>
              <m:nary>
                <m:naryPr>
                  <m:chr m:val="∑"/>
                  <m:limLoc m:val="undOvr"/>
                </m:naryPr>
                <m:sub>
                  <m:r>
                    <m:t>i = 1</m:t>
                  </m:r>
                </m:sub>
                <m:sup>
                  <m:r>
                    <m:t>N</m:t>
                  </m:r>
                </m:sup>
                <m:e>
                  <m:sSub>
                    <m:sSubPr/>
                    <m:e>
                      <m:r>
                        <m:t>c</m:t>
                      </m:r>
                    </m:e>
                    <m:sub>
                      <m:r>
                        <m:t>i</m:t>
                      </m:r>
                    </m:sub>
                  </m:sSub>
                </m:e>
              </m:nary>
            </m:oMath>
          </w:p>
        </w:tc>
        <w:tc>
          <w:tcPr>
            <w:tcW w:type="dxa" w:w="1020"/>
            <w:vAlign w:val="center"/>
          </w:tcPr>
          <w:p>
            <w:pPr>
              <w:ind w:firstLine="0"/>
              <w:jc w:val="right"/>
            </w:pPr>
            <w:r>
              <w:rPr>
                <w:rFonts w:ascii="Times New Roman" w:hAnsi="Times New Roman" w:eastAsia="宋体"/>
                <w:sz w:val="24"/>
              </w:rPr>
              <w:t>(7-3)</w:t>
            </w:r>
          </w:p>
        </w:tc>
      </w:tr>
    </w:tbl>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sSub>
                <m:sSubPr/>
                <m:e>
                  <m:r>
                    <m:rPr>
                      <m:sty m:val="p"/>
                    </m:rPr>
                    <m:t>Src</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src</m:t>
                      </m:r>
                    </m:e>
                    <m:sub>
                      <m:r>
                        <m:t>i</m:t>
                      </m:r>
                    </m:sub>
                  </m:sSub>
                </m:e>
              </m:nary>
            </m:oMath>
          </w:p>
        </w:tc>
        <w:tc>
          <w:tcPr>
            <w:tcW w:type="dxa" w:w="1020"/>
            <w:vAlign w:val="center"/>
          </w:tcPr>
          <w:p>
            <w:pPr>
              <w:ind w:firstLine="0"/>
              <w:jc w:val="right"/>
            </w:pPr>
            <w:r>
              <w:rPr>
                <w:rFonts w:ascii="Times New Roman" w:hAnsi="Times New Roman" w:eastAsia="宋体"/>
                <w:sz w:val="24"/>
              </w:rPr>
              <w:t>(7-4)</w:t>
            </w:r>
          </w:p>
        </w:tc>
      </w:tr>
    </w:tbl>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sSub>
                <m:sSubPr/>
                <m:e>
                  <m:r>
                    <m:rPr>
                      <m:sty m:val="p"/>
                    </m:rPr>
                    <m:t>Hit</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hit</m:t>
                      </m:r>
                    </m:e>
                    <m:sub>
                      <m:r>
                        <m:t>i</m:t>
                      </m:r>
                    </m:sub>
                  </m:sSub>
                </m:e>
              </m:nary>
            </m:oMath>
          </w:p>
        </w:tc>
        <w:tc>
          <w:tcPr>
            <w:tcW w:type="dxa" w:w="1020"/>
            <w:vAlign w:val="center"/>
          </w:tcPr>
          <w:p>
            <w:pPr>
              <w:ind w:firstLine="0"/>
              <w:jc w:val="right"/>
            </w:pPr>
            <w:r>
              <w:rPr>
                <w:rFonts w:ascii="Times New Roman" w:hAnsi="Times New Roman" w:eastAsia="宋体"/>
                <w:sz w:val="24"/>
              </w:rPr>
              <w:t>(7-5)</w:t>
            </w:r>
          </w:p>
        </w:tc>
      </w:tr>
    </w:tbl>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sSub>
                <m:sSubPr/>
                <m:e>
                  <m:r>
                    <m:rPr>
                      <m:sty m:val="p"/>
                    </m:rPr>
                    <m:t>T</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ms</m:t>
                      </m:r>
                    </m:e>
                    <m:sub>
                      <m:r>
                        <m:t>i</m:t>
                      </m:r>
                    </m:sub>
                  </m:sSub>
                </m:e>
              </m:nary>
            </m:oMath>
          </w:p>
        </w:tc>
        <w:tc>
          <w:tcPr>
            <w:tcW w:type="dxa" w:w="1020"/>
            <w:vAlign w:val="center"/>
          </w:tcPr>
          <w:p>
            <w:pPr>
              <w:ind w:firstLine="0"/>
              <w:jc w:val="right"/>
            </w:pPr>
            <w:r>
              <w:rPr>
                <w:rFonts w:ascii="Times New Roman" w:hAnsi="Times New Roman" w:eastAsia="宋体"/>
                <w:sz w:val="24"/>
              </w:rPr>
              <w:t>(7-6)</w:t>
            </w:r>
          </w:p>
        </w:tc>
      </w:tr>
    </w:tbl>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4664079"/>
            <wp:docPr id="13" name="Picture 13"/>
            <wp:cNvGraphicFramePr>
              <a:graphicFrameLocks noChangeAspect="1"/>
            </wp:cNvGraphicFramePr>
            <a:graphic>
              <a:graphicData uri="http://schemas.openxmlformats.org/drawingml/2006/picture">
                <pic:pic>
                  <pic:nvPicPr>
                    <pic:cNvPr id="0" name="06-knowledge-graph.png"/>
                    <pic:cNvPicPr/>
                  </pic:nvPicPr>
                  <pic:blipFill>
                    <a:blip r:embed="rId22"/>
                    <a:stretch>
                      <a:fillRect/>
                    </a:stretch>
                  </pic:blipFill>
                  <pic:spPr>
                    <a:xfrm>
                      <a:off x="0" y="0"/>
                      <a:ext cx="5220000" cy="4664079"/>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14" name="Picture 14"/>
            <wp:cNvGraphicFramePr>
              <a:graphicFrameLocks noChangeAspect="1"/>
            </wp:cNvGraphicFramePr>
            <a:graphic>
              <a:graphicData uri="http://schemas.openxmlformats.org/drawingml/2006/picture">
                <pic:pic>
                  <pic:nvPicPr>
                    <pic:cNvPr id="0" name="09-rag-objective-metrics.png"/>
                    <pic:cNvPicPr/>
                  </pic:nvPicPr>
                  <pic:blipFill>
                    <a:blip r:embed="rId23"/>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15" name="Picture 15"/>
            <wp:cNvGraphicFramePr>
              <a:graphicFrameLocks noChangeAspect="1"/>
            </wp:cNvGraphicFramePr>
            <a:graphic>
              <a:graphicData uri="http://schemas.openxmlformats.org/drawingml/2006/picture">
                <pic:pic>
                  <pic:nvPicPr>
                    <pic:cNvPr id="0" name="10-kg-threshold-sensitivity.png"/>
                    <pic:cNvPicPr/>
                  </pic:nvPicPr>
                  <pic:blipFill>
                    <a:blip r:embed="rId24"/>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1382089"/>
            <wp:docPr id="16" name="Picture 16"/>
            <wp:cNvGraphicFramePr>
              <a:graphicFrameLocks noChangeAspect="1"/>
            </wp:cNvGraphicFramePr>
            <a:graphic>
              <a:graphicData uri="http://schemas.openxmlformats.org/drawingml/2006/picture">
                <pic:pic>
                  <pic:nvPicPr>
                    <pic:cNvPr id="0" name="07-agent-generation.png"/>
                    <pic:cNvPicPr/>
                  </pic:nvPicPr>
                  <pic:blipFill>
                    <a:blip r:embed="rId25"/>
                    <a:stretch>
                      <a:fillRect/>
                    </a:stretch>
                  </pic:blipFill>
                  <pic:spPr>
                    <a:xfrm>
                      <a:off x="0" y="0"/>
                      <a:ext cx="5220000" cy="1382089"/>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889612"/>
            <wp:docPr id="17" name="Picture 17"/>
            <wp:cNvGraphicFramePr>
              <a:graphicFrameLocks noChangeAspect="1"/>
            </wp:cNvGraphicFramePr>
            <a:graphic>
              <a:graphicData uri="http://schemas.openxmlformats.org/drawingml/2006/picture">
                <pic:pic>
                  <pic:nvPicPr>
                    <pic:cNvPr id="0" name="08-project-audit-log.png"/>
                    <pic:cNvPicPr/>
                  </pic:nvPicPr>
                  <pic:blipFill>
                    <a:blip r:embed="rId26"/>
                    <a:stretch>
                      <a:fillRect/>
                    </a:stretch>
                  </pic:blipFill>
                  <pic:spPr>
                    <a:xfrm>
                      <a:off x="0" y="0"/>
                      <a:ext cx="5220000" cy="889612"/>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