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F568" w14:textId="72FBD00C" w:rsidR="00824ECA" w:rsidRDefault="00824ECA" w:rsidP="00824ECA">
      <w:pPr>
        <w:pStyle w:val="PargrafodaLista"/>
        <w:numPr>
          <w:ilvl w:val="0"/>
          <w:numId w:val="3"/>
        </w:numPr>
      </w:pPr>
      <w:r>
        <w:t>A relação entre a LGPD (Lei Geral de Proteção de Dados) e os Data Centers no Brasil é de extrema importância, uma vez que os Data Centers desempenham um papel fundamental no armazenamento e processamento de dados pessoais. A LGPD, que entrou em vigor em setembro de 2020, estabelece regras claras sobre a coleta, armazenamento, tratamento e compartilhamento de dados pessoais, visando proteger a privacidade e a segurança das informações dos cidadãos.</w:t>
      </w:r>
    </w:p>
    <w:p w14:paraId="5D2C8AEB" w14:textId="77777777" w:rsidR="00824ECA" w:rsidRDefault="00824ECA" w:rsidP="00824ECA"/>
    <w:p w14:paraId="10DA4831" w14:textId="77777777" w:rsidR="00824ECA" w:rsidRDefault="00824ECA" w:rsidP="00824ECA">
      <w:pPr>
        <w:ind w:left="708"/>
      </w:pPr>
      <w:r>
        <w:t>Os Data Centers são infraestruturas essenciais para as empresas que lidam com grandes volumes de dados, pois oferecem um ambiente seguro e controlado para o armazenamento dessas informações. Com a LGPD em vigor, as empresas que utilizam Data Centers no Brasil precisam garantir que estão em conformidade com a legislação, adotando medidas de segurança adequadas para proteger os dados pessoais dos usuários.</w:t>
      </w:r>
    </w:p>
    <w:p w14:paraId="21104C14" w14:textId="77777777" w:rsidR="00824ECA" w:rsidRDefault="00824ECA" w:rsidP="00824ECA"/>
    <w:p w14:paraId="094371A9" w14:textId="77777777" w:rsidR="00824ECA" w:rsidRDefault="00824ECA" w:rsidP="00824ECA">
      <w:pPr>
        <w:ind w:left="708"/>
      </w:pPr>
      <w:r>
        <w:t>É fundamental que os Data Centers implementem políticas de segurança robustas, como criptografia, controle de acesso e monitoramento constante, para garantir a proteção dos dados conforme exigido pela LGPD. Além disso, é importante que as empresas que terceirizam serviços de Data Center realizem uma avaliação cuidadosa dos fornecedores para garantir que estão em conformidade com a legislação vigente.</w:t>
      </w:r>
    </w:p>
    <w:p w14:paraId="7B6C246D" w14:textId="77777777" w:rsidR="00824ECA" w:rsidRDefault="00824ECA" w:rsidP="00824ECA"/>
    <w:p w14:paraId="7EBE6719" w14:textId="77777777" w:rsidR="00824ECA" w:rsidRDefault="00824ECA" w:rsidP="00824ECA">
      <w:r>
        <w:t>Referências:</w:t>
      </w:r>
    </w:p>
    <w:p w14:paraId="698633DF" w14:textId="77777777" w:rsidR="00824ECA" w:rsidRDefault="00824ECA" w:rsidP="00824ECA">
      <w:r>
        <w:t>1. "Data Centers e a LGPD: qual é a relação?" Disponível em: [https://www.trezo.com.br/blog/data-centers-e-a-lgpd-qual-e-a-relacao/](https://www.trezo.com.br/blog/data-centers-e-a-lgpd-qual-e-a-relacao/)</w:t>
      </w:r>
    </w:p>
    <w:p w14:paraId="5C80F3B6" w14:textId="77777777" w:rsidR="00824ECA" w:rsidRDefault="00824ECA" w:rsidP="00824ECA">
      <w:r>
        <w:t>2. "Data Centers e a LGPD: entenda a relação" Disponível em: [https://www.host1.com.br/blog/data-centers-e-lgpd-entenda-a-relacao/](https://www.host1.com.br/blog/data-centers-e-lgpd-entenda-a-relacao/)</w:t>
      </w:r>
    </w:p>
    <w:p w14:paraId="083266D2" w14:textId="53C47164" w:rsidR="00525AB6" w:rsidRDefault="00824ECA" w:rsidP="00824ECA">
      <w:pPr>
        <w:jc w:val="right"/>
      </w:pPr>
      <w:r>
        <w:t>3. "LGPD e Data Centers: qual é o impacto da nova lei nos data centers?" Disponível em: [https://blog.iptrust.com.br/lgpd-e-data-centers/](</w:t>
      </w:r>
      <w:hyperlink r:id="rId5" w:history="1">
        <w:r w:rsidRPr="00EF7E27">
          <w:rPr>
            <w:rStyle w:val="Hyperlink"/>
          </w:rPr>
          <w:t>https://blog.iptrust.com.br/lgpd-e-data-centers/</w:t>
        </w:r>
      </w:hyperlink>
      <w:r>
        <w:t>)</w:t>
      </w:r>
    </w:p>
    <w:p w14:paraId="34BCD657" w14:textId="77777777" w:rsidR="00824ECA" w:rsidRDefault="00824ECA" w:rsidP="00824ECA"/>
    <w:p w14:paraId="48315BCF" w14:textId="77777777" w:rsidR="00824ECA" w:rsidRDefault="00824ECA" w:rsidP="00824ECA"/>
    <w:p w14:paraId="01AE7FCF" w14:textId="77777777" w:rsidR="00824ECA" w:rsidRDefault="00824ECA" w:rsidP="00824ECA"/>
    <w:p w14:paraId="573A7CE8" w14:textId="70DC8975" w:rsidR="00824ECA" w:rsidRDefault="00824ECA" w:rsidP="00824ECA">
      <w:pPr>
        <w:pStyle w:val="PargrafodaLista"/>
        <w:numPr>
          <w:ilvl w:val="0"/>
          <w:numId w:val="3"/>
        </w:numPr>
      </w:pPr>
      <w:r>
        <w:t xml:space="preserve">Formatos de arquivos de dados podem ser proprietários ou abertos, e cada um possui implicações distintas, especialmente no contexto de dados públicos. </w:t>
      </w:r>
    </w:p>
    <w:p w14:paraId="79D6BF8C" w14:textId="77777777" w:rsidR="00824ECA" w:rsidRDefault="00824ECA" w:rsidP="00824ECA"/>
    <w:p w14:paraId="3E7F53F2" w14:textId="23DDCA4B" w:rsidR="00824ECA" w:rsidRDefault="00824ECA" w:rsidP="00824ECA">
      <w:pPr>
        <w:ind w:left="708"/>
      </w:pPr>
      <w:r>
        <w:t>Os formatos proprietários, como o Excel (.</w:t>
      </w:r>
      <w:proofErr w:type="spellStart"/>
      <w:r>
        <w:t>xls</w:t>
      </w:r>
      <w:proofErr w:type="spellEnd"/>
      <w:r>
        <w:t>/.</w:t>
      </w:r>
      <w:proofErr w:type="spellStart"/>
      <w:r>
        <w:t>xlsx</w:t>
      </w:r>
      <w:proofErr w:type="spellEnd"/>
      <w:r>
        <w:t xml:space="preserve">) e o </w:t>
      </w:r>
      <w:r>
        <w:t>Microsoft word (.</w:t>
      </w:r>
      <w:proofErr w:type="spellStart"/>
      <w:r>
        <w:t>docx</w:t>
      </w:r>
      <w:proofErr w:type="spellEnd"/>
      <w:r>
        <w:t>)</w:t>
      </w:r>
      <w:r>
        <w:t>, são desenvolvidos e controlados por uma entidade específica, o que pode limitar a interoperabilidade e dificultar o acesso aos dados para aqueles que não possuem as ferramentas necessárias. Por outro lado, os formatos abertos, como CSV (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 e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), são amplamente suportados e podem ser facilmente acessados e manipulados por uma variedade de softwares e plataformas.</w:t>
      </w:r>
    </w:p>
    <w:p w14:paraId="35C44EF2" w14:textId="77777777" w:rsidR="00824ECA" w:rsidRDefault="00824ECA" w:rsidP="00824ECA"/>
    <w:p w14:paraId="5CB8DD8F" w14:textId="47156032" w:rsidR="00824ECA" w:rsidRDefault="00824ECA" w:rsidP="00824ECA">
      <w:pPr>
        <w:ind w:left="708"/>
      </w:pPr>
      <w:r>
        <w:t xml:space="preserve">No contexto de dados públicos, o uso de formatos abertos é altamente recomendado, pois facilita a transparência, a colaboração e o acesso equitativo às informações. Formatos proprietários podem criar barreiras desnecessárias para a utilização dos dados por parte da sociedade civil, pesquisadores e desenvolvedores. Portanto, ao disponibilizar dados públicos, é fundamental </w:t>
      </w:r>
      <w:r>
        <w:lastRenderedPageBreak/>
        <w:t>considerar o uso de formatos abertos para promover a acessibilidade e a utilidade dessas informações para o maior número possível de usuários.</w:t>
      </w:r>
    </w:p>
    <w:p w14:paraId="7BECF1FB" w14:textId="77777777" w:rsidR="009C1917" w:rsidRDefault="009C1917" w:rsidP="00824ECA">
      <w:pPr>
        <w:ind w:left="708"/>
      </w:pPr>
    </w:p>
    <w:p w14:paraId="619A6CF9" w14:textId="4399E60C" w:rsidR="009C1917" w:rsidRDefault="009C1917" w:rsidP="009C1917">
      <w:r>
        <w:t>Referências:</w:t>
      </w:r>
    </w:p>
    <w:p w14:paraId="2B9E68B3" w14:textId="471FE9C6" w:rsidR="009C1917" w:rsidRDefault="009C1917" w:rsidP="009C1917">
      <w:pPr>
        <w:pStyle w:val="PargrafodaLista"/>
        <w:numPr>
          <w:ilvl w:val="0"/>
          <w:numId w:val="4"/>
        </w:numPr>
      </w:pPr>
      <w:r w:rsidRPr="009C1917">
        <w:t xml:space="preserve">Fiocruz. </w:t>
      </w:r>
      <w:proofErr w:type="spellStart"/>
      <w:r w:rsidRPr="009C1917">
        <w:t>OpenFormats</w:t>
      </w:r>
      <w:proofErr w:type="spellEnd"/>
      <w:r w:rsidRPr="009C1917">
        <w:t xml:space="preserve">: Formatos de Documentos Abertos [online]. Rio de Janeiro: Fundação Oswaldo Cruz, 2022. Disponível em: </w:t>
      </w:r>
      <w:hyperlink r:id="rId6" w:tgtFrame="_new" w:history="1">
        <w:r w:rsidRPr="009C1917">
          <w:t>https://campusvirtual.fiocruz.br/portal/guiarea/OpenFormats.html</w:t>
        </w:r>
      </w:hyperlink>
      <w:r w:rsidRPr="009C1917">
        <w:t xml:space="preserve">. </w:t>
      </w:r>
    </w:p>
    <w:p w14:paraId="6B26BDBF" w14:textId="44C0353D" w:rsidR="009C1917" w:rsidRDefault="009C1917" w:rsidP="009C1917">
      <w:pPr>
        <w:pStyle w:val="PargrafodaLista"/>
        <w:numPr>
          <w:ilvl w:val="0"/>
          <w:numId w:val="4"/>
        </w:numPr>
      </w:pPr>
      <w:r w:rsidRPr="009C1917">
        <w:t xml:space="preserve">REPTS. Publicação de Dados Abertos: Formatos de Arquivos Adequados e Inadequados. [online]. Disponível em: </w:t>
      </w:r>
      <w:hyperlink r:id="rId7" w:tgtFrame="_new" w:history="1">
        <w:r w:rsidRPr="009C1917">
          <w:t>https://retps.org.br/publicacao-de-dados-abertos-formatos-de-arquivos-adequados-e-inadequados/</w:t>
        </w:r>
      </w:hyperlink>
      <w:r>
        <w:t>.</w:t>
      </w:r>
    </w:p>
    <w:sectPr w:rsidR="009C1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314"/>
    <w:multiLevelType w:val="multilevel"/>
    <w:tmpl w:val="3A00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0E072B"/>
    <w:multiLevelType w:val="multilevel"/>
    <w:tmpl w:val="B1360CD4"/>
    <w:lvl w:ilvl="0">
      <w:start w:val="1"/>
      <w:numFmt w:val="upperRoman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268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2" w15:restartNumberingAfterBreak="0">
    <w:nsid w:val="3B6F4260"/>
    <w:multiLevelType w:val="hybridMultilevel"/>
    <w:tmpl w:val="09267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70095"/>
    <w:multiLevelType w:val="hybridMultilevel"/>
    <w:tmpl w:val="B0AC3530"/>
    <w:lvl w:ilvl="0" w:tplc="E4E47C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15383">
    <w:abstractNumId w:val="1"/>
  </w:num>
  <w:num w:numId="2" w16cid:durableId="314265013">
    <w:abstractNumId w:val="0"/>
  </w:num>
  <w:num w:numId="3" w16cid:durableId="611783546">
    <w:abstractNumId w:val="3"/>
  </w:num>
  <w:num w:numId="4" w16cid:durableId="64575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A"/>
    <w:rsid w:val="000E009B"/>
    <w:rsid w:val="001A71C4"/>
    <w:rsid w:val="001F5549"/>
    <w:rsid w:val="00254556"/>
    <w:rsid w:val="002D6A06"/>
    <w:rsid w:val="003D2A43"/>
    <w:rsid w:val="00525AB6"/>
    <w:rsid w:val="0055163D"/>
    <w:rsid w:val="00597D8A"/>
    <w:rsid w:val="00657362"/>
    <w:rsid w:val="00763DE1"/>
    <w:rsid w:val="00824ECA"/>
    <w:rsid w:val="009C1917"/>
    <w:rsid w:val="00F93AEB"/>
    <w:rsid w:val="00FA2EA5"/>
    <w:rsid w:val="00F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608B7C"/>
  <w15:chartTrackingRefBased/>
  <w15:docId w15:val="{CCFB2317-E765-4BEC-A395-9F35D89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43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F5549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63D"/>
    <w:pPr>
      <w:keepNext/>
      <w:keepLines/>
      <w:numPr>
        <w:ilvl w:val="1"/>
        <w:numId w:val="2"/>
      </w:numPr>
      <w:spacing w:before="40"/>
      <w:ind w:left="108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4E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4E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4E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4EC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4EC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4EC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4EC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rabalho"/>
    <w:next w:val="Normal"/>
    <w:uiPriority w:val="1"/>
    <w:qFormat/>
    <w:rsid w:val="00763DE1"/>
    <w:pPr>
      <w:spacing w:after="0" w:line="240" w:lineRule="auto"/>
    </w:pPr>
    <w:rPr>
      <w:rFonts w:ascii="Verdana" w:hAnsi="Verdana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5163D"/>
    <w:rPr>
      <w:rFonts w:ascii="Times New Roman" w:eastAsiaTheme="majorEastAsia" w:hAnsi="Times New Roman" w:cstheme="majorBidi"/>
      <w:sz w:val="24"/>
      <w:szCs w:val="26"/>
    </w:rPr>
  </w:style>
  <w:style w:type="character" w:styleId="RefernciaIntensa">
    <w:name w:val="Intense Reference"/>
    <w:basedOn w:val="Fontepargpadro"/>
    <w:uiPriority w:val="32"/>
    <w:qFormat/>
    <w:rsid w:val="00FB19B0"/>
    <w:rPr>
      <w:rFonts w:ascii="Rubik" w:hAnsi="Rubik"/>
      <w:b w:val="0"/>
      <w:bCs/>
      <w:smallCaps/>
      <w:color w:val="595959" w:themeColor="text1" w:themeTint="A6"/>
      <w:spacing w:val="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5549"/>
    <w:rPr>
      <w:rFonts w:ascii="Times New Roman" w:eastAsiaTheme="majorEastAsia" w:hAnsi="Times New Roman" w:cstheme="majorBidi"/>
      <w:sz w:val="32"/>
      <w:szCs w:val="32"/>
    </w:rPr>
  </w:style>
  <w:style w:type="paragraph" w:customStyle="1" w:styleId="EstiloX">
    <w:name w:val="Estilo X"/>
    <w:basedOn w:val="SemEspaamento"/>
    <w:link w:val="EstiloXChar"/>
    <w:qFormat/>
    <w:rsid w:val="003D2A43"/>
    <w:rPr>
      <w:rFonts w:ascii="Rubik" w:hAnsi="Rubik"/>
      <w:color w:val="595959" w:themeColor="text1" w:themeTint="A6"/>
      <w:szCs w:val="23"/>
      <w:shd w:val="clear" w:color="auto" w:fill="FFFFFF"/>
    </w:rPr>
  </w:style>
  <w:style w:type="character" w:customStyle="1" w:styleId="EstiloXChar">
    <w:name w:val="Estilo X Char"/>
    <w:basedOn w:val="Fontepargpadro"/>
    <w:link w:val="EstiloX"/>
    <w:rsid w:val="003D2A43"/>
    <w:rPr>
      <w:rFonts w:ascii="Rubik" w:hAnsi="Rubik"/>
      <w:color w:val="595959" w:themeColor="text1" w:themeTint="A6"/>
      <w:sz w:val="24"/>
      <w:szCs w:val="23"/>
    </w:rPr>
  </w:style>
  <w:style w:type="paragraph" w:customStyle="1" w:styleId="TIPO">
    <w:name w:val="TIPO"/>
    <w:basedOn w:val="Normal"/>
    <w:link w:val="TIPOChar"/>
    <w:qFormat/>
    <w:rsid w:val="003D2A43"/>
    <w:pPr>
      <w:shd w:val="clear" w:color="auto" w:fill="FAFAFA"/>
      <w:spacing w:after="150"/>
    </w:pPr>
    <w:rPr>
      <w:rFonts w:ascii="Barlow" w:hAnsi="Barlow"/>
      <w:color w:val="4D4D4D"/>
    </w:rPr>
  </w:style>
  <w:style w:type="character" w:customStyle="1" w:styleId="TIPOChar">
    <w:name w:val="TIPO Char"/>
    <w:basedOn w:val="Fontepargpadro"/>
    <w:link w:val="TIPO"/>
    <w:rsid w:val="003D2A43"/>
    <w:rPr>
      <w:rFonts w:ascii="Barlow" w:hAnsi="Barlow" w:cs="Times New Roman"/>
      <w:color w:val="4D4D4D"/>
      <w:sz w:val="24"/>
      <w:szCs w:val="24"/>
      <w:shd w:val="clear" w:color="auto" w:fill="FAFAFA"/>
      <w:lang w:eastAsia="pt-BR"/>
    </w:rPr>
  </w:style>
  <w:style w:type="paragraph" w:customStyle="1" w:styleId="Helvetica">
    <w:name w:val="Helvetica"/>
    <w:basedOn w:val="Normal"/>
    <w:link w:val="HelveticaChar"/>
    <w:qFormat/>
    <w:rsid w:val="001A71C4"/>
    <w:pPr>
      <w:jc w:val="left"/>
    </w:pPr>
    <w:rPr>
      <w:rFonts w:ascii="Helvetica" w:hAnsi="Helvetica"/>
      <w:color w:val="555555"/>
      <w:sz w:val="22"/>
      <w:szCs w:val="21"/>
      <w:shd w:val="clear" w:color="auto" w:fill="F5F5F5"/>
    </w:rPr>
  </w:style>
  <w:style w:type="character" w:customStyle="1" w:styleId="HelveticaChar">
    <w:name w:val="Helvetica Char"/>
    <w:basedOn w:val="Fontepargpadro"/>
    <w:link w:val="Helvetica"/>
    <w:rsid w:val="001A71C4"/>
    <w:rPr>
      <w:rFonts w:ascii="Helvetica" w:hAnsi="Helvetica" w:cs="Times New Roman"/>
      <w:color w:val="555555"/>
      <w:szCs w:val="21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4ECA"/>
    <w:rPr>
      <w:rFonts w:eastAsiaTheme="majorEastAsia" w:cstheme="majorBidi"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4ECA"/>
    <w:rPr>
      <w:rFonts w:eastAsiaTheme="majorEastAsia" w:cstheme="majorBidi"/>
      <w:i/>
      <w:iCs/>
      <w:color w:val="0F4761" w:themeColor="accent1" w:themeShade="BF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4ECA"/>
    <w:rPr>
      <w:rFonts w:eastAsiaTheme="majorEastAsia" w:cstheme="majorBidi"/>
      <w:color w:val="0F4761" w:themeColor="accent1" w:themeShade="BF"/>
      <w:kern w:val="0"/>
      <w:sz w:val="24"/>
      <w:szCs w:val="24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4ECA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4ECA"/>
    <w:rPr>
      <w:rFonts w:eastAsiaTheme="majorEastAsia" w:cstheme="majorBidi"/>
      <w:color w:val="595959" w:themeColor="text1" w:themeTint="A6"/>
      <w:kern w:val="0"/>
      <w:sz w:val="24"/>
      <w:szCs w:val="24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4ECA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4ECA"/>
    <w:rPr>
      <w:rFonts w:eastAsiaTheme="majorEastAsia" w:cstheme="majorBidi"/>
      <w:color w:val="272727" w:themeColor="text1" w:themeTint="D8"/>
      <w:kern w:val="0"/>
      <w:sz w:val="24"/>
      <w:szCs w:val="24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824E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4EC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4EC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4EC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824E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4ECA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24E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4E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4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4ECA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824EC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4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tps.org.br/publicacao-de-dados-abertos-formatos-de-arquivos-adequados-e-inadequad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virtual.fiocruz.br/portal/guiarea/OpenFormats.html" TargetMode="External"/><Relationship Id="rId5" Type="http://schemas.openxmlformats.org/officeDocument/2006/relationships/hyperlink" Target="https://blog.iptrust.com.br/lgpd-e-data-cent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440</Words>
  <Characters>3015</Characters>
  <Application>Microsoft Office Word</Application>
  <DocSecurity>0</DocSecurity>
  <Lines>60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queiroz</dc:creator>
  <cp:keywords/>
  <dc:description/>
  <cp:lastModifiedBy>Carolina queiroz</cp:lastModifiedBy>
  <cp:revision>1</cp:revision>
  <dcterms:created xsi:type="dcterms:W3CDTF">2024-02-26T22:48:00Z</dcterms:created>
  <dcterms:modified xsi:type="dcterms:W3CDTF">2024-02-26T23:07:00Z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2e1c4afc-ec28-4912-966b-9bd3accef9d3</vt:lpwstr>
  </property>
</Properties>
</file>