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Elliptical Regression on FPGA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equation, </w:t>
      </w:r>
      <m:oMath>
        <m:sSup>
          <m:sSupPr>
            <m:ctrlPr>
              <w:rPr/>
            </m:ctrlPr>
          </m:sSupPr>
          <m:e>
            <m:r>
              <w:rPr/>
              <m:t xml:space="preserve">x</m:t>
            </m:r>
          </m:e>
          <m:sup>
            <m:r>
              <w:rPr/>
              <m:t xml:space="preserve">2</m:t>
            </m:r>
          </m:sup>
        </m:sSup>
        <m:r>
          <w:rPr/>
          <m:t xml:space="preserve">+B</m:t>
        </m:r>
        <m:sSup>
          <m:sSupPr>
            <m:ctrlPr>
              <w:rPr/>
            </m:ctrlPr>
          </m:sSupPr>
          <m:e>
            <m:r>
              <w:rPr/>
              <m:t xml:space="preserve">y</m:t>
            </m:r>
          </m:e>
          <m:sup>
            <m:r>
              <w:rPr/>
              <m:t xml:space="preserve">2</m:t>
            </m:r>
          </m:sup>
        </m:sSup>
        <m:r>
          <w:rPr/>
          <m:t xml:space="preserve">+Cxy+Dx+Ey+F=0</m:t>
        </m:r>
      </m:oMath>
      <w:r w:rsidDel="00000000" w:rsidR="00000000" w:rsidRPr="00000000">
        <w:rPr>
          <w:rtl w:val="0"/>
        </w:rPr>
        <w:t xml:space="preserve">, is the standard equation for an ellipse. By solving for B, C, D, E, and F for a given set of data points, an ellipse can be fit to those data points. The method of least squares attempts to create this ellipse by reducing the average squared distance along the y-axis from the points to the ellipse to a mathematical minimum.</w:t>
      </w:r>
    </w:p>
    <w:p w:rsidR="00000000" w:rsidDel="00000000" w:rsidP="00000000" w:rsidRDefault="00000000" w:rsidRPr="00000000" w14:paraId="00000004">
      <w:pPr>
        <w:rPr/>
      </w:pPr>
      <w:r w:rsidDel="00000000" w:rsidR="00000000" w:rsidRPr="00000000">
        <w:rPr>
          <w:rtl w:val="0"/>
        </w:rPr>
        <w:t xml:space="preserve">The traditional approach for finding the least squares solution is done using matrix multiplication and matrix transverse operations. For a set of data points, (x</w:t>
      </w:r>
      <w:r w:rsidDel="00000000" w:rsidR="00000000" w:rsidRPr="00000000">
        <w:rPr>
          <w:vertAlign w:val="subscript"/>
          <w:rtl w:val="0"/>
        </w:rPr>
        <w:t xml:space="preserve">0</w:t>
      </w:r>
      <w:r w:rsidDel="00000000" w:rsidR="00000000" w:rsidRPr="00000000">
        <w:rPr>
          <w:rtl w:val="0"/>
        </w:rPr>
        <w:t xml:space="preserve">, x</w:t>
      </w:r>
      <w:r w:rsidDel="00000000" w:rsidR="00000000" w:rsidRPr="00000000">
        <w:rPr>
          <w:vertAlign w:val="subscript"/>
          <w:rtl w:val="0"/>
        </w:rPr>
        <w:t xml:space="preserve">1</w:t>
      </w:r>
      <w:r w:rsidDel="00000000" w:rsidR="00000000" w:rsidRPr="00000000">
        <w:rPr>
          <w:rtl w:val="0"/>
        </w:rPr>
        <w:t xml:space="preserve">, … , x</w:t>
      </w:r>
      <w:r w:rsidDel="00000000" w:rsidR="00000000" w:rsidRPr="00000000">
        <w:rPr>
          <w:vertAlign w:val="subscript"/>
          <w:rtl w:val="0"/>
        </w:rPr>
        <w:t xml:space="preserve">i</w:t>
      </w:r>
      <w:r w:rsidDel="00000000" w:rsidR="00000000" w:rsidRPr="00000000">
        <w:rPr>
          <w:rtl w:val="0"/>
        </w:rPr>
        <w:t xml:space="preserve">), (y</w:t>
      </w:r>
      <w:r w:rsidDel="00000000" w:rsidR="00000000" w:rsidRPr="00000000">
        <w:rPr>
          <w:vertAlign w:val="subscript"/>
          <w:rtl w:val="0"/>
        </w:rPr>
        <w:t xml:space="preserve">0</w:t>
      </w:r>
      <w:r w:rsidDel="00000000" w:rsidR="00000000" w:rsidRPr="00000000">
        <w:rPr>
          <w:rtl w:val="0"/>
        </w:rPr>
        <w:t xml:space="preserve">, y</w:t>
      </w:r>
      <w:r w:rsidDel="00000000" w:rsidR="00000000" w:rsidRPr="00000000">
        <w:rPr>
          <w:vertAlign w:val="subscript"/>
          <w:rtl w:val="0"/>
        </w:rPr>
        <w:t xml:space="preserve">1</w:t>
      </w:r>
      <w:r w:rsidDel="00000000" w:rsidR="00000000" w:rsidRPr="00000000">
        <w:rPr>
          <w:rtl w:val="0"/>
        </w:rPr>
        <w:t xml:space="preserve">, … , y</w:t>
      </w:r>
      <w:r w:rsidDel="00000000" w:rsidR="00000000" w:rsidRPr="00000000">
        <w:rPr>
          <w:vertAlign w:val="subscript"/>
          <w:rtl w:val="0"/>
        </w:rPr>
        <w:t xml:space="preserve">i</w:t>
      </w:r>
      <w:r w:rsidDel="00000000" w:rsidR="00000000" w:rsidRPr="00000000">
        <w:rPr>
          <w:rtl w:val="0"/>
        </w:rPr>
        <w:t xml:space="preserve">), a few matrices are created.</w:t>
      </w:r>
    </w:p>
    <w:p w:rsidR="00000000" w:rsidDel="00000000" w:rsidP="00000000" w:rsidRDefault="00000000" w:rsidRPr="00000000" w14:paraId="00000005">
      <w:pPr>
        <w:rPr/>
      </w:pPr>
      <w:r w:rsidDel="00000000" w:rsidR="00000000" w:rsidRPr="00000000">
        <w:rPr>
          <w:rtl w:val="0"/>
        </w:rPr>
        <w:t xml:space="preserve">A=</w:t>
      </w:r>
    </w:p>
    <w:tbl>
      <w:tblPr>
        <w:tblStyle w:val="Table1"/>
        <w:tblpPr w:leftFromText="180" w:rightFromText="180" w:topFromText="180" w:bottomFromText="180" w:vertAnchor="text" w:horzAnchor="text" w:tblpX="-33.333333333332384" w:tblpY="0"/>
        <w:tblW w:w="244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615"/>
        <w:gridCol w:w="435"/>
        <w:gridCol w:w="420"/>
        <w:gridCol w:w="469.99999999999886"/>
        <w:tblGridChange w:id="0">
          <w:tblGrid>
            <w:gridCol w:w="510"/>
            <w:gridCol w:w="615"/>
            <w:gridCol w:w="435"/>
            <w:gridCol w:w="420"/>
            <w:gridCol w:w="469.99999999999886"/>
          </w:tblGrid>
        </w:tblGridChange>
      </w:tblGrid>
      <w:tr>
        <w:trPr>
          <w:cantSplit w:val="0"/>
          <w:tblHeader w:val="0"/>
        </w:trPr>
        <w:tc>
          <w:tcPr/>
          <w:p w:rsidR="00000000" w:rsidDel="00000000" w:rsidP="00000000" w:rsidRDefault="00000000" w:rsidRPr="00000000" w14:paraId="00000006">
            <w:pPr>
              <w:rPr>
                <w:vertAlign w:val="superscript"/>
              </w:rPr>
            </w:pPr>
            <w:r w:rsidDel="00000000" w:rsidR="00000000" w:rsidRPr="00000000">
              <w:rPr>
                <w:rtl w:val="0"/>
              </w:rPr>
              <w:t xml:space="preserve">y</w:t>
            </w:r>
            <w:r w:rsidDel="00000000" w:rsidR="00000000" w:rsidRPr="00000000">
              <w:rPr>
                <w:vertAlign w:val="subscript"/>
                <w:rtl w:val="0"/>
              </w:rPr>
              <w:t xml:space="preserve">0</w:t>
            </w:r>
            <w:r w:rsidDel="00000000" w:rsidR="00000000" w:rsidRPr="00000000">
              <w:rPr>
                <w:vertAlign w:val="superscript"/>
                <w:rtl w:val="0"/>
              </w:rPr>
              <w:t xml:space="preserve">2</w:t>
            </w:r>
          </w:p>
        </w:tc>
        <w:tc>
          <w:tcPr/>
          <w:p w:rsidR="00000000" w:rsidDel="00000000" w:rsidP="00000000" w:rsidRDefault="00000000" w:rsidRPr="00000000" w14:paraId="00000007">
            <w:pPr>
              <w:rPr/>
            </w:pPr>
            <w:r w:rsidDel="00000000" w:rsidR="00000000" w:rsidRPr="00000000">
              <w:rPr>
                <w:rtl w:val="0"/>
              </w:rPr>
              <w:t xml:space="preserve">x</w:t>
            </w:r>
            <w:r w:rsidDel="00000000" w:rsidR="00000000" w:rsidRPr="00000000">
              <w:rPr>
                <w:vertAlign w:val="subscript"/>
                <w:rtl w:val="0"/>
              </w:rPr>
              <w:t xml:space="preserve">0</w:t>
            </w:r>
            <w:r w:rsidDel="00000000" w:rsidR="00000000" w:rsidRPr="00000000">
              <w:rPr>
                <w:rtl w:val="0"/>
              </w:rPr>
              <w:t xml:space="preserve">y</w:t>
            </w:r>
            <w:r w:rsidDel="00000000" w:rsidR="00000000" w:rsidRPr="00000000">
              <w:rPr>
                <w:vertAlign w:val="subscript"/>
                <w:rtl w:val="0"/>
              </w:rPr>
              <w:t xml:space="preserve">0</w:t>
            </w:r>
            <w:r w:rsidDel="00000000" w:rsidR="00000000" w:rsidRPr="00000000">
              <w:rPr>
                <w:rtl w:val="0"/>
              </w:rPr>
            </w:r>
          </w:p>
        </w:tc>
        <w:tc>
          <w:tcPr/>
          <w:p w:rsidR="00000000" w:rsidDel="00000000" w:rsidP="00000000" w:rsidRDefault="00000000" w:rsidRPr="00000000" w14:paraId="00000008">
            <w:pPr>
              <w:rPr/>
            </w:pPr>
            <w:r w:rsidDel="00000000" w:rsidR="00000000" w:rsidRPr="00000000">
              <w:rPr>
                <w:rtl w:val="0"/>
              </w:rPr>
              <w:t xml:space="preserve">x</w:t>
            </w:r>
            <w:r w:rsidDel="00000000" w:rsidR="00000000" w:rsidRPr="00000000">
              <w:rPr>
                <w:vertAlign w:val="subscript"/>
                <w:rtl w:val="0"/>
              </w:rPr>
              <w:t xml:space="preserve">0</w:t>
            </w:r>
            <w:r w:rsidDel="00000000" w:rsidR="00000000" w:rsidRPr="00000000">
              <w:rPr>
                <w:rtl w:val="0"/>
              </w:rPr>
            </w:r>
          </w:p>
        </w:tc>
        <w:tc>
          <w:tcPr/>
          <w:p w:rsidR="00000000" w:rsidDel="00000000" w:rsidP="00000000" w:rsidRDefault="00000000" w:rsidRPr="00000000" w14:paraId="00000009">
            <w:pPr>
              <w:rPr/>
            </w:pPr>
            <w:r w:rsidDel="00000000" w:rsidR="00000000" w:rsidRPr="00000000">
              <w:rPr>
                <w:rtl w:val="0"/>
              </w:rPr>
              <w:t xml:space="preserve">y</w:t>
            </w:r>
            <w:r w:rsidDel="00000000" w:rsidR="00000000" w:rsidRPr="00000000">
              <w:rPr>
                <w:vertAlign w:val="subscript"/>
                <w:rtl w:val="0"/>
              </w:rPr>
              <w:t xml:space="preserve">0</w:t>
            </w:r>
            <w:r w:rsidDel="00000000" w:rsidR="00000000" w:rsidRPr="00000000">
              <w:rPr>
                <w:rtl w:val="0"/>
              </w:rPr>
            </w:r>
          </w:p>
        </w:tc>
        <w:tc>
          <w:tcPr/>
          <w:p w:rsidR="00000000" w:rsidDel="00000000" w:rsidP="00000000" w:rsidRDefault="00000000" w:rsidRPr="00000000" w14:paraId="0000000A">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0B">
            <w:pPr>
              <w:rPr>
                <w:vertAlign w:val="superscript"/>
              </w:rPr>
            </w:pPr>
            <w:r w:rsidDel="00000000" w:rsidR="00000000" w:rsidRPr="00000000">
              <w:rPr>
                <w:rtl w:val="0"/>
              </w:rPr>
              <w:t xml:space="preserve">y</w:t>
            </w:r>
            <w:r w:rsidDel="00000000" w:rsidR="00000000" w:rsidRPr="00000000">
              <w:rPr>
                <w:vertAlign w:val="subscript"/>
                <w:rtl w:val="0"/>
              </w:rPr>
              <w:t xml:space="preserve">1</w:t>
            </w:r>
            <w:r w:rsidDel="00000000" w:rsidR="00000000" w:rsidRPr="00000000">
              <w:rPr>
                <w:vertAlign w:val="superscript"/>
                <w:rtl w:val="0"/>
              </w:rPr>
              <w:t xml:space="preserve">2</w:t>
            </w:r>
          </w:p>
        </w:tc>
        <w:tc>
          <w:tcPr/>
          <w:p w:rsidR="00000000" w:rsidDel="00000000" w:rsidP="00000000" w:rsidRDefault="00000000" w:rsidRPr="00000000" w14:paraId="0000000C">
            <w:pPr>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y</w:t>
            </w:r>
            <w:r w:rsidDel="00000000" w:rsidR="00000000" w:rsidRPr="00000000">
              <w:rPr>
                <w:vertAlign w:val="subscript"/>
                <w:rtl w:val="0"/>
              </w:rPr>
              <w:t xml:space="preserve">1</w:t>
            </w:r>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y</w:t>
            </w:r>
            <w:r w:rsidDel="00000000" w:rsidR="00000000" w:rsidRPr="00000000">
              <w:rPr>
                <w:vertAlign w:val="subscript"/>
                <w:rtl w:val="0"/>
              </w:rPr>
              <w:t xml:space="preserve">1</w:t>
            </w:r>
            <w:r w:rsidDel="00000000" w:rsidR="00000000" w:rsidRPr="00000000">
              <w:rPr>
                <w:rtl w:val="0"/>
              </w:rPr>
            </w:r>
          </w:p>
        </w:tc>
        <w:tc>
          <w:tcPr/>
          <w:p w:rsidR="00000000" w:rsidDel="00000000" w:rsidP="00000000" w:rsidRDefault="00000000" w:rsidRPr="00000000" w14:paraId="0000000F">
            <w:pPr>
              <w:widowControl w:val="0"/>
              <w:spacing w:line="24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10">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11">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12">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13">
            <w:pPr>
              <w:widowControl w:val="0"/>
              <w:spacing w:line="240" w:lineRule="auto"/>
              <w:rPr/>
            </w:pPr>
            <w:r w:rsidDel="00000000" w:rsidR="00000000" w:rsidRPr="00000000">
              <w:rPr>
                <w:rtl w:val="0"/>
              </w:rPr>
              <w:t xml:space="preserve">…</w:t>
            </w:r>
          </w:p>
        </w:tc>
        <w:tc>
          <w:tcPr/>
          <w:p w:rsidR="00000000" w:rsidDel="00000000" w:rsidP="00000000" w:rsidRDefault="00000000" w:rsidRPr="00000000" w14:paraId="00000014">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15">
            <w:pPr>
              <w:rPr>
                <w:vertAlign w:val="superscript"/>
              </w:rPr>
            </w:pP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vertAlign w:val="superscript"/>
                <w:rtl w:val="0"/>
              </w:rPr>
              <w:t xml:space="preserve">2</w:t>
            </w:r>
          </w:p>
        </w:tc>
        <w:tc>
          <w:tcPr/>
          <w:p w:rsidR="00000000" w:rsidDel="00000000" w:rsidP="00000000" w:rsidRDefault="00000000" w:rsidRPr="00000000" w14:paraId="00000016">
            <w:pPr>
              <w:rPr/>
            </w:pP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r>
          </w:p>
        </w:tc>
        <w:tc>
          <w:tcPr/>
          <w:p w:rsidR="00000000" w:rsidDel="00000000" w:rsidP="00000000" w:rsidRDefault="00000000" w:rsidRPr="00000000" w14:paraId="00000019">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w:t>
      </w:r>
      <w:r w:rsidDel="00000000" w:rsidR="00000000" w:rsidRPr="00000000">
        <w:rPr>
          <w:vertAlign w:val="superscript"/>
          <w:rtl w:val="0"/>
        </w:rPr>
        <w:t xml:space="preserve">T</w:t>
      </w:r>
      <w:r w:rsidDel="00000000" w:rsidR="00000000" w:rsidRPr="00000000">
        <w:rPr>
          <w:rtl w:val="0"/>
        </w:rPr>
        <w:t xml:space="preserve">=</w:t>
      </w:r>
    </w:p>
    <w:tbl>
      <w:tblPr>
        <w:tblStyle w:val="Table2"/>
        <w:tblW w:w="2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585"/>
        <w:gridCol w:w="405"/>
        <w:gridCol w:w="495"/>
        <w:tblGridChange w:id="0">
          <w:tblGrid>
            <w:gridCol w:w="630"/>
            <w:gridCol w:w="585"/>
            <w:gridCol w:w="405"/>
            <w:gridCol w:w="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y</w:t>
            </w:r>
            <w:r w:rsidDel="00000000" w:rsidR="00000000" w:rsidRPr="00000000">
              <w:rPr>
                <w:vertAlign w:val="subscript"/>
                <w:rtl w:val="0"/>
              </w:rPr>
              <w:t xml:space="preserve">0</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y</w:t>
            </w:r>
            <w:r w:rsidDel="00000000" w:rsidR="00000000" w:rsidRPr="00000000">
              <w:rPr>
                <w:vertAlign w:val="subscript"/>
                <w:rtl w:val="0"/>
              </w:rPr>
              <w:t xml:space="preserve">1</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vertAlign w:val="superscript"/>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x</w:t>
            </w:r>
            <w:r w:rsidDel="00000000" w:rsidR="00000000" w:rsidRPr="00000000">
              <w:rPr>
                <w:vertAlign w:val="subscript"/>
                <w:rtl w:val="0"/>
              </w:rPr>
              <w:t xml:space="preserve">0</w:t>
            </w:r>
            <w:r w:rsidDel="00000000" w:rsidR="00000000" w:rsidRPr="00000000">
              <w:rPr>
                <w:rtl w:val="0"/>
              </w:rPr>
              <w:t xml:space="preserve">y</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y</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x</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y</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y</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y</w:t>
            </w:r>
            <w:r w:rsidDel="00000000" w:rsidR="00000000" w:rsidRPr="00000000">
              <w:rPr>
                <w:vertAlign w:val="subscript"/>
                <w:rtl w:val="0"/>
              </w:rPr>
              <w:t xml:space="preserve">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w:t>
      </w:r>
    </w:p>
    <w:tbl>
      <w:tblPr>
        <w:tblStyle w:val="Table3"/>
        <w:tblW w:w="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tblGridChange w:id="0">
          <w:tblGrid>
            <w:gridCol w:w="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vertAlign w:val="superscript"/>
              </w:rPr>
            </w:pPr>
            <w:r w:rsidDel="00000000" w:rsidR="00000000" w:rsidRPr="00000000">
              <w:rPr>
                <w:rtl w:val="0"/>
              </w:rPr>
              <w:t xml:space="preserve">-</w:t>
            </w:r>
            <w:r w:rsidDel="00000000" w:rsidR="00000000" w:rsidRPr="00000000">
              <w:rPr>
                <w:rtl w:val="0"/>
              </w:rPr>
              <w:t xml:space="preserve">x</w:t>
            </w:r>
            <w:r w:rsidDel="00000000" w:rsidR="00000000" w:rsidRPr="00000000">
              <w:rPr>
                <w:vertAlign w:val="subscript"/>
                <w:rtl w:val="0"/>
              </w:rPr>
              <w:t xml:space="preserve">0</w:t>
            </w:r>
            <w:r w:rsidDel="00000000" w:rsidR="00000000" w:rsidRPr="00000000">
              <w:rPr>
                <w:vertAlign w:val="superscrip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vertAlign w:val="superscript"/>
              </w:rPr>
            </w:pP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vertAlign w:val="superscrip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vertAlign w:val="superscript"/>
              </w:rPr>
            </w:pP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vertAlign w:val="superscript"/>
                <w:rtl w:val="0"/>
              </w:rPr>
              <w:t xml:space="preserve">2</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From these matrices, two matrices are created using matrix multiplication.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w:t>
      </w:r>
      <w:r w:rsidDel="00000000" w:rsidR="00000000" w:rsidRPr="00000000">
        <w:rPr>
          <w:vertAlign w:val="superscript"/>
          <w:rtl w:val="0"/>
        </w:rPr>
        <w:t xml:space="preserve">T</w:t>
      </w:r>
      <w:r w:rsidDel="00000000" w:rsidR="00000000" w:rsidRPr="00000000">
        <w:rPr>
          <w:rtl w:val="0"/>
        </w:rPr>
        <w:t xml:space="preserve">A=</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Σy</w:t>
            </w:r>
            <w:r w:rsidDel="00000000" w:rsidR="00000000" w:rsidRPr="00000000">
              <w:rPr>
                <w:vertAlign w:val="super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Σxy</w:t>
            </w:r>
            <w:r w:rsidDel="00000000" w:rsidR="00000000" w:rsidRPr="00000000">
              <w:rPr>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Σxy</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Σy</w:t>
            </w:r>
            <w:r w:rsidDel="00000000" w:rsidR="00000000" w:rsidRPr="00000000">
              <w:rPr>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Σy</w:t>
            </w:r>
            <w:r w:rsidDel="00000000" w:rsidR="00000000" w:rsidRPr="00000000">
              <w:rPr>
                <w:vertAlign w:val="superscript"/>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Σxy</w:t>
            </w:r>
            <w:r w:rsidDel="00000000" w:rsidR="00000000" w:rsidRPr="00000000">
              <w:rPr>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2</w:t>
            </w:r>
            <w:r w:rsidDel="00000000" w:rsidR="00000000" w:rsidRPr="00000000">
              <w:rPr>
                <w:rtl w:val="0"/>
              </w:rPr>
              <w:t xml:space="preserve">y</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2</w:t>
            </w: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Σxy</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Σxy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Σxy</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2</w:t>
            </w: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Σxy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Σx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Σy</w:t>
            </w:r>
            <w:r w:rsidDel="00000000" w:rsidR="00000000" w:rsidRPr="00000000">
              <w:rPr>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Σxy</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Σxy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Σy</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Σy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Σy</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Σxy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Σx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Σy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w:t>
      </w:r>
      <w:r w:rsidDel="00000000" w:rsidR="00000000" w:rsidRPr="00000000">
        <w:rPr>
          <w:vertAlign w:val="superscript"/>
          <w:rtl w:val="0"/>
        </w:rPr>
        <w:t xml:space="preserve">T</w:t>
      </w:r>
      <w:r w:rsidDel="00000000" w:rsidR="00000000" w:rsidRPr="00000000">
        <w:rPr>
          <w:rtl w:val="0"/>
        </w:rPr>
        <w:t xml:space="preserve">b=</w:t>
      </w:r>
    </w:p>
    <w:tbl>
      <w:tblPr>
        <w:tblStyle w:val="Table5"/>
        <w:tblW w:w="1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tblGridChange w:id="0">
          <w:tblGrid>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Σ-(x</w:t>
            </w:r>
            <w:r w:rsidDel="00000000" w:rsidR="00000000" w:rsidRPr="00000000">
              <w:rPr>
                <w:vertAlign w:val="superscript"/>
                <w:rtl w:val="0"/>
              </w:rPr>
              <w:t xml:space="preserve">2</w:t>
            </w:r>
            <w:r w:rsidDel="00000000" w:rsidR="00000000" w:rsidRPr="00000000">
              <w:rPr>
                <w:rtl w:val="0"/>
              </w:rPr>
              <w:t xml:space="preserve">y</w:t>
            </w:r>
            <w:r w:rsidDel="00000000" w:rsidR="00000000" w:rsidRPr="00000000">
              <w:rPr>
                <w:vertAlign w:val="superscript"/>
                <w:rtl w:val="0"/>
              </w:rPr>
              <w:t xml:space="preserve">2</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3</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3</w:t>
            </w: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2</w:t>
            </w: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2</w:t>
            </w:r>
            <w:r w:rsidDel="00000000" w:rsidR="00000000" w:rsidRPr="00000000">
              <w:rPr>
                <w:rtl w:val="0"/>
              </w:rPr>
              <w:t xml:space="preserve">)</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matrix=</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Σy</w:t>
            </w:r>
            <w:r w:rsidDel="00000000" w:rsidR="00000000" w:rsidRPr="00000000">
              <w:rPr>
                <w:vertAlign w:val="superscript"/>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Σxy</w:t>
            </w:r>
            <w:r w:rsidDel="00000000" w:rsidR="00000000" w:rsidRPr="00000000">
              <w:rPr>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Σxy</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Σy</w:t>
            </w:r>
            <w:r w:rsidDel="00000000" w:rsidR="00000000" w:rsidRPr="00000000">
              <w:rPr>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Σy</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2</w:t>
            </w:r>
            <w:r w:rsidDel="00000000" w:rsidR="00000000" w:rsidRPr="00000000">
              <w:rPr>
                <w:rtl w:val="0"/>
              </w:rPr>
              <w:t xml:space="preserve">y</w:t>
            </w:r>
            <w:r w:rsidDel="00000000" w:rsidR="00000000" w:rsidRPr="00000000">
              <w:rPr>
                <w:vertAlign w:val="superscript"/>
                <w:rtl w:val="0"/>
              </w:rPr>
              <w:t xml:space="preserve">2</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Σxy</w:t>
            </w:r>
            <w:r w:rsidDel="00000000" w:rsidR="00000000" w:rsidRPr="00000000">
              <w:rPr>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2</w:t>
            </w:r>
            <w:r w:rsidDel="00000000" w:rsidR="00000000" w:rsidRPr="00000000">
              <w:rPr>
                <w:rtl w:val="0"/>
              </w:rPr>
              <w:t xml:space="preserve">y</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2</w:t>
            </w: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Σxy</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Σxy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3</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Σxy</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2</w:t>
            </w: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Σxy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Σx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3</w:t>
            </w: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Σy</w:t>
            </w:r>
            <w:r w:rsidDel="00000000" w:rsidR="00000000" w:rsidRPr="00000000">
              <w:rPr>
                <w:vertAlign w:val="superscript"/>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Σxy</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Σxy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Σy</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Σy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2</w:t>
            </w: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Σy</w:t>
            </w:r>
            <w:r w:rsidDel="00000000" w:rsidR="00000000" w:rsidRPr="00000000">
              <w:rPr>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Σxy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Σx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Σy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Σ-(x</w:t>
            </w:r>
            <w:r w:rsidDel="00000000" w:rsidR="00000000" w:rsidRPr="00000000">
              <w:rPr>
                <w:vertAlign w:val="superscript"/>
                <w:rtl w:val="0"/>
              </w:rPr>
              <w:t xml:space="preserve">2</w:t>
            </w:r>
            <w:r w:rsidDel="00000000" w:rsidR="00000000" w:rsidRPr="00000000">
              <w:rPr>
                <w:rtl w:val="0"/>
              </w:rPr>
              <w:t xml:space="preserve">)</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rref(matrix)=</w:t>
      </w:r>
    </w:p>
    <w:tbl>
      <w:tblPr>
        <w:tblStyle w:val="Table7"/>
        <w:tblW w:w="2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570"/>
        <w:gridCol w:w="435"/>
        <w:gridCol w:w="405"/>
        <w:gridCol w:w="420"/>
        <w:gridCol w:w="375"/>
        <w:tblGridChange w:id="0">
          <w:tblGrid>
            <w:gridCol w:w="600"/>
            <w:gridCol w:w="570"/>
            <w:gridCol w:w="435"/>
            <w:gridCol w:w="405"/>
            <w:gridCol w:w="420"/>
            <w:gridCol w:w="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These matrices together create a matrix that, row reduced, will yield the coefficients to the ellipse equation. The total number of values that need to be calculated for each data point is 13: y</w:t>
      </w:r>
      <w:r w:rsidDel="00000000" w:rsidR="00000000" w:rsidRPr="00000000">
        <w:rPr>
          <w:vertAlign w:val="superscript"/>
          <w:rtl w:val="0"/>
        </w:rPr>
        <w:t xml:space="preserve">4</w:t>
      </w:r>
      <w:r w:rsidDel="00000000" w:rsidR="00000000" w:rsidRPr="00000000">
        <w:rPr>
          <w:rtl w:val="0"/>
        </w:rPr>
        <w:t xml:space="preserve">, x</w:t>
      </w:r>
      <w:r w:rsidDel="00000000" w:rsidR="00000000" w:rsidRPr="00000000">
        <w:rPr>
          <w:vertAlign w:val="superscript"/>
          <w:rtl w:val="0"/>
        </w:rPr>
        <w:t xml:space="preserve">3</w:t>
      </w:r>
      <w:r w:rsidDel="00000000" w:rsidR="00000000" w:rsidRPr="00000000">
        <w:rPr>
          <w:rtl w:val="0"/>
        </w:rPr>
        <w:t xml:space="preserve">y, x</w:t>
      </w:r>
      <w:r w:rsidDel="00000000" w:rsidR="00000000" w:rsidRPr="00000000">
        <w:rPr>
          <w:vertAlign w:val="superscript"/>
          <w:rtl w:val="0"/>
        </w:rPr>
        <w:t xml:space="preserve">2</w:t>
      </w:r>
      <w:r w:rsidDel="00000000" w:rsidR="00000000" w:rsidRPr="00000000">
        <w:rPr>
          <w:rtl w:val="0"/>
        </w:rPr>
        <w:t xml:space="preserve">y</w:t>
      </w:r>
      <w:r w:rsidDel="00000000" w:rsidR="00000000" w:rsidRPr="00000000">
        <w:rPr>
          <w:vertAlign w:val="superscript"/>
          <w:rtl w:val="0"/>
        </w:rPr>
        <w:t xml:space="preserve">2</w:t>
      </w:r>
      <w:r w:rsidDel="00000000" w:rsidR="00000000" w:rsidRPr="00000000">
        <w:rPr>
          <w:rtl w:val="0"/>
        </w:rPr>
        <w:t xml:space="preserve">, xy</w:t>
      </w:r>
      <w:r w:rsidDel="00000000" w:rsidR="00000000" w:rsidRPr="00000000">
        <w:rPr>
          <w:vertAlign w:val="superscript"/>
          <w:rtl w:val="0"/>
        </w:rPr>
        <w:t xml:space="preserve">3</w:t>
      </w:r>
      <w:r w:rsidDel="00000000" w:rsidR="00000000" w:rsidRPr="00000000">
        <w:rPr>
          <w:rtl w:val="0"/>
        </w:rPr>
        <w:t xml:space="preserve">, x</w:t>
      </w:r>
      <w:r w:rsidDel="00000000" w:rsidR="00000000" w:rsidRPr="00000000">
        <w:rPr>
          <w:vertAlign w:val="superscript"/>
          <w:rtl w:val="0"/>
        </w:rPr>
        <w:t xml:space="preserve">3</w:t>
      </w:r>
      <w:r w:rsidDel="00000000" w:rsidR="00000000" w:rsidRPr="00000000">
        <w:rPr>
          <w:rtl w:val="0"/>
        </w:rPr>
        <w:t xml:space="preserve">, x</w:t>
      </w:r>
      <w:r w:rsidDel="00000000" w:rsidR="00000000" w:rsidRPr="00000000">
        <w:rPr>
          <w:vertAlign w:val="superscript"/>
          <w:rtl w:val="0"/>
        </w:rPr>
        <w:t xml:space="preserve">2</w:t>
      </w:r>
      <w:r w:rsidDel="00000000" w:rsidR="00000000" w:rsidRPr="00000000">
        <w:rPr>
          <w:rtl w:val="0"/>
        </w:rPr>
        <w:t xml:space="preserve">y, xy</w:t>
      </w:r>
      <w:r w:rsidDel="00000000" w:rsidR="00000000" w:rsidRPr="00000000">
        <w:rPr>
          <w:vertAlign w:val="superscript"/>
          <w:rtl w:val="0"/>
        </w:rPr>
        <w:t xml:space="preserve">2</w:t>
      </w:r>
      <w:r w:rsidDel="00000000" w:rsidR="00000000" w:rsidRPr="00000000">
        <w:rPr>
          <w:rtl w:val="0"/>
        </w:rPr>
        <w:t xml:space="preserve">, y</w:t>
      </w:r>
      <w:r w:rsidDel="00000000" w:rsidR="00000000" w:rsidRPr="00000000">
        <w:rPr>
          <w:vertAlign w:val="superscript"/>
          <w:rtl w:val="0"/>
        </w:rPr>
        <w:t xml:space="preserve">3</w:t>
      </w:r>
      <w:r w:rsidDel="00000000" w:rsidR="00000000" w:rsidRPr="00000000">
        <w:rPr>
          <w:rtl w:val="0"/>
        </w:rPr>
        <w:t xml:space="preserve">, x</w:t>
      </w:r>
      <w:r w:rsidDel="00000000" w:rsidR="00000000" w:rsidRPr="00000000">
        <w:rPr>
          <w:vertAlign w:val="superscript"/>
          <w:rtl w:val="0"/>
        </w:rPr>
        <w:t xml:space="preserve">2</w:t>
      </w:r>
      <w:r w:rsidDel="00000000" w:rsidR="00000000" w:rsidRPr="00000000">
        <w:rPr>
          <w:rtl w:val="0"/>
        </w:rPr>
        <w:t xml:space="preserve">, xy, y</w:t>
      </w:r>
      <w:r w:rsidDel="00000000" w:rsidR="00000000" w:rsidRPr="00000000">
        <w:rPr>
          <w:vertAlign w:val="superscript"/>
          <w:rtl w:val="0"/>
        </w:rPr>
        <w:t xml:space="preserve">2</w:t>
      </w:r>
      <w:r w:rsidDel="00000000" w:rsidR="00000000" w:rsidRPr="00000000">
        <w:rPr>
          <w:rtl w:val="0"/>
        </w:rPr>
        <w:t xml:space="preserve">, x, and y. These values can then each be summed for all of the data points and used to populate the same matrix that, when row reduced, will yield the solution of least squares.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Finding the required summations to calculate the coefficients can be accelerated in hardware. Multipliers can be used to calculate the 13 values for each data point, and adders can be used to sum the values together. A program to write the values to the FPGA, read the values from the FPGA, and perform the matrix row reduction will still be required.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 my system I use a dataInput of 8 bits, a dataOutput of 32 bits, a addressInput of 4 bits, and an inOrOutAddress and clk of 1 bit. The dataInput is in the form: bit(0)-sign bit, bit(1:7)-value bits; dataOutput: bit(0)-sign bit, bit(1:31)-value bits. The inOrOutAddress tells the system whether the addressInput describes an address where an input value should be stored or an address for the retrieval of an output value. A 0 indicates that the system should store the value at dataInput to the address indicated in addressInput on the next rising clk cycle and a 1 indicates that the system should write the value at the address indicated in addressInput to dataOutput on the next rising clk cycle. The addressInput, with the inOrOutAddress bit, is the input that directs the system to store or read values from the FPGA. When the inOrOutAddress is 0, even addresses represent the x-values for the data points while the following odd addresses will represent the y-values. When the inOrOutAddress bit is 1, the addresses point to: 0000-y</w:t>
      </w:r>
      <w:r w:rsidDel="00000000" w:rsidR="00000000" w:rsidRPr="00000000">
        <w:rPr>
          <w:vertAlign w:val="superscript"/>
          <w:rtl w:val="0"/>
        </w:rPr>
        <w:t xml:space="preserve">4</w:t>
      </w:r>
      <w:r w:rsidDel="00000000" w:rsidR="00000000" w:rsidRPr="00000000">
        <w:rPr>
          <w:rtl w:val="0"/>
        </w:rPr>
        <w:t xml:space="preserve"> ,0001-xy</w:t>
      </w:r>
      <w:r w:rsidDel="00000000" w:rsidR="00000000" w:rsidRPr="00000000">
        <w:rPr>
          <w:vertAlign w:val="superscript"/>
          <w:rtl w:val="0"/>
        </w:rPr>
        <w:t xml:space="preserve">3</w:t>
      </w:r>
      <w:r w:rsidDel="00000000" w:rsidR="00000000" w:rsidRPr="00000000">
        <w:rPr>
          <w:rtl w:val="0"/>
        </w:rPr>
        <w:t xml:space="preserve">, 0010-x</w:t>
      </w:r>
      <w:r w:rsidDel="00000000" w:rsidR="00000000" w:rsidRPr="00000000">
        <w:rPr>
          <w:vertAlign w:val="superscript"/>
          <w:rtl w:val="0"/>
        </w:rPr>
        <w:t xml:space="preserve">3</w:t>
      </w:r>
      <w:r w:rsidDel="00000000" w:rsidR="00000000" w:rsidRPr="00000000">
        <w:rPr>
          <w:rtl w:val="0"/>
        </w:rPr>
        <w:t xml:space="preserve">y 0011-x</w:t>
      </w:r>
      <w:r w:rsidDel="00000000" w:rsidR="00000000" w:rsidRPr="00000000">
        <w:rPr>
          <w:vertAlign w:val="superscript"/>
          <w:rtl w:val="0"/>
        </w:rPr>
        <w:t xml:space="preserve">2</w:t>
      </w:r>
      <w:r w:rsidDel="00000000" w:rsidR="00000000" w:rsidRPr="00000000">
        <w:rPr>
          <w:rtl w:val="0"/>
        </w:rPr>
        <w:t xml:space="preserve">y</w:t>
      </w:r>
      <w:r w:rsidDel="00000000" w:rsidR="00000000" w:rsidRPr="00000000">
        <w:rPr>
          <w:vertAlign w:val="superscript"/>
          <w:rtl w:val="0"/>
        </w:rPr>
        <w:t xml:space="preserve">2</w:t>
      </w:r>
      <w:r w:rsidDel="00000000" w:rsidR="00000000" w:rsidRPr="00000000">
        <w:rPr>
          <w:rtl w:val="0"/>
        </w:rPr>
        <w:t xml:space="preserve">, 0100-y</w:t>
      </w:r>
      <w:r w:rsidDel="00000000" w:rsidR="00000000" w:rsidRPr="00000000">
        <w:rPr>
          <w:vertAlign w:val="superscript"/>
          <w:rtl w:val="0"/>
        </w:rPr>
        <w:t xml:space="preserve">3</w:t>
      </w:r>
      <w:r w:rsidDel="00000000" w:rsidR="00000000" w:rsidRPr="00000000">
        <w:rPr>
          <w:rtl w:val="0"/>
        </w:rPr>
        <w:t xml:space="preserve">, 0101-x</w:t>
      </w:r>
      <w:r w:rsidDel="00000000" w:rsidR="00000000" w:rsidRPr="00000000">
        <w:rPr>
          <w:vertAlign w:val="superscript"/>
          <w:rtl w:val="0"/>
        </w:rPr>
        <w:t xml:space="preserve">3</w:t>
      </w:r>
      <w:r w:rsidDel="00000000" w:rsidR="00000000" w:rsidRPr="00000000">
        <w:rPr>
          <w:rtl w:val="0"/>
        </w:rPr>
        <w:t xml:space="preserve">, 0110-xy</w:t>
      </w:r>
      <w:r w:rsidDel="00000000" w:rsidR="00000000" w:rsidRPr="00000000">
        <w:rPr>
          <w:vertAlign w:val="superscript"/>
          <w:rtl w:val="0"/>
        </w:rPr>
        <w:t xml:space="preserve">2</w:t>
      </w:r>
      <w:r w:rsidDel="00000000" w:rsidR="00000000" w:rsidRPr="00000000">
        <w:rPr>
          <w:rtl w:val="0"/>
        </w:rPr>
        <w:t xml:space="preserve">, 0111-x</w:t>
      </w:r>
      <w:r w:rsidDel="00000000" w:rsidR="00000000" w:rsidRPr="00000000">
        <w:rPr>
          <w:vertAlign w:val="superscript"/>
          <w:rtl w:val="0"/>
        </w:rPr>
        <w:t xml:space="preserve">2</w:t>
      </w:r>
      <w:r w:rsidDel="00000000" w:rsidR="00000000" w:rsidRPr="00000000">
        <w:rPr>
          <w:rtl w:val="0"/>
        </w:rPr>
        <w:t xml:space="preserve">y, 1000-y</w:t>
      </w:r>
      <w:r w:rsidDel="00000000" w:rsidR="00000000" w:rsidRPr="00000000">
        <w:rPr>
          <w:vertAlign w:val="superscript"/>
          <w:rtl w:val="0"/>
        </w:rPr>
        <w:t xml:space="preserve">2</w:t>
      </w:r>
      <w:r w:rsidDel="00000000" w:rsidR="00000000" w:rsidRPr="00000000">
        <w:rPr>
          <w:rtl w:val="0"/>
        </w:rPr>
        <w:t xml:space="preserve">, 1001-x</w:t>
      </w:r>
      <w:r w:rsidDel="00000000" w:rsidR="00000000" w:rsidRPr="00000000">
        <w:rPr>
          <w:vertAlign w:val="superscript"/>
          <w:rtl w:val="0"/>
        </w:rPr>
        <w:t xml:space="preserve">2</w:t>
      </w:r>
      <w:r w:rsidDel="00000000" w:rsidR="00000000" w:rsidRPr="00000000">
        <w:rPr>
          <w:rtl w:val="0"/>
        </w:rPr>
        <w:t xml:space="preserve">, 1010-xy, 1011-y, and 1100-x. Finally, because the multiplexer and the registers are synchronous, a clk bit input is used. To write a value to a register, the value and register address must be written to the dataInput and addressInput respectively, and the inOrOutAddress needs to be set to 0. Then, when the clk input goes high, the value will be written to the register. To read a value from the system the address that corresponds to the desired value must be written to the addressInput and inOrOut Address must be set to 1. When the clk input then goes high, the value at the requested address will be written to the dataOutput.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