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theme/themeOverride1.xml" ContentType="application/vnd.openxmlformats-officedocument.themeOverrid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AE2BD2">
      <w:pPr>
        <w:spacing w:after="0" w:line="360" w:lineRule="auto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ascii="Times New Roman" w:hAnsi="Times New Roman" w:eastAsia="MS Mincho" w:cs="Times New Roman"/>
          <w:sz w:val="24"/>
          <w:szCs w:val="24"/>
        </w:rPr>
        <w:t>Правительство Российской Федерации</w:t>
      </w:r>
    </w:p>
    <w:p w14:paraId="49D3DC26">
      <w:pPr>
        <w:spacing w:after="0" w:line="360" w:lineRule="auto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ascii="Times New Roman" w:hAnsi="Times New Roman" w:eastAsia="MS Mincho" w:cs="Times New Roman"/>
          <w:sz w:val="24"/>
          <w:szCs w:val="24"/>
        </w:rPr>
        <w:t xml:space="preserve">ФЕДЕРАЛЬНОЕ ГОСУДАРСТВЕННОЕ АВТОНОМНОЕ </w:t>
      </w:r>
    </w:p>
    <w:p w14:paraId="5FB174DF">
      <w:pPr>
        <w:spacing w:after="0" w:line="360" w:lineRule="auto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ascii="Times New Roman" w:hAnsi="Times New Roman" w:eastAsia="MS Mincho" w:cs="Times New Roman"/>
          <w:sz w:val="24"/>
          <w:szCs w:val="24"/>
        </w:rPr>
        <w:t xml:space="preserve">ОБРАЗОВАТЕЛЬНОЕ УЧРЕЖДЕНИЕ ВЫСШЕГО ОБРАЗОВАНИЯ </w:t>
      </w:r>
    </w:p>
    <w:p w14:paraId="35DD6B66">
      <w:pPr>
        <w:spacing w:after="0" w:line="360" w:lineRule="auto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ascii="Times New Roman" w:hAnsi="Times New Roman" w:eastAsia="MS Mincho" w:cs="Times New Roman"/>
          <w:sz w:val="24"/>
          <w:szCs w:val="24"/>
        </w:rPr>
        <w:t xml:space="preserve">«НАЦИОНАЛЬНЫЙ ИССЛЕДОВАТЕЛЬСКИЙ УНИВЕРСИТЕТ </w:t>
      </w:r>
    </w:p>
    <w:p w14:paraId="0A6E0079">
      <w:pPr>
        <w:spacing w:after="0" w:line="360" w:lineRule="auto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ascii="Times New Roman" w:hAnsi="Times New Roman" w:eastAsia="MS Mincho" w:cs="Times New Roman"/>
          <w:sz w:val="24"/>
          <w:szCs w:val="24"/>
        </w:rPr>
        <w:t>«ВЫСШАЯ ШКОЛА ЭКОНОМИКИ»</w:t>
      </w:r>
    </w:p>
    <w:p w14:paraId="3914E252">
      <w:pPr>
        <w:spacing w:after="0" w:line="360" w:lineRule="auto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ascii="Times New Roman" w:hAnsi="Times New Roman" w:eastAsia="MS Mincho" w:cs="Times New Roman"/>
          <w:sz w:val="24"/>
          <w:szCs w:val="24"/>
        </w:rPr>
        <w:t>(НИУ ВШЭ)</w:t>
      </w:r>
    </w:p>
    <w:p w14:paraId="08E33939">
      <w:pPr>
        <w:spacing w:after="0" w:line="360" w:lineRule="auto"/>
        <w:jc w:val="center"/>
        <w:rPr>
          <w:rFonts w:ascii="Times New Roman" w:hAnsi="Times New Roman" w:eastAsia="MS Mincho" w:cs="Times New Roman"/>
          <w:sz w:val="24"/>
          <w:szCs w:val="24"/>
        </w:rPr>
      </w:pPr>
    </w:p>
    <w:p w14:paraId="101701B9">
      <w:pPr>
        <w:spacing w:after="0" w:line="360" w:lineRule="auto"/>
        <w:jc w:val="center"/>
        <w:rPr>
          <w:rFonts w:ascii="Times New Roman" w:hAnsi="Times New Roman" w:eastAsia="MS Mincho" w:cs="Times New Roman"/>
          <w:sz w:val="24"/>
          <w:szCs w:val="24"/>
        </w:rPr>
      </w:pPr>
      <w:r>
        <w:rPr>
          <w:rFonts w:ascii="Times New Roman" w:hAnsi="Times New Roman" w:eastAsia="MS Mincho" w:cs="Times New Roman"/>
          <w:sz w:val="24"/>
          <w:szCs w:val="24"/>
        </w:rPr>
        <w:t>Московский институт электроники и математики им. А.Н. Тихонова</w:t>
      </w:r>
    </w:p>
    <w:p w14:paraId="5DA9CAA8">
      <w:pPr>
        <w:spacing w:after="0" w:line="360" w:lineRule="auto"/>
        <w:jc w:val="center"/>
        <w:rPr>
          <w:rFonts w:ascii="Times New Roman" w:hAnsi="Times New Roman" w:eastAsia="MS Mincho" w:cs="Times New Roman"/>
          <w:sz w:val="24"/>
          <w:szCs w:val="24"/>
        </w:rPr>
      </w:pPr>
    </w:p>
    <w:p w14:paraId="2392AE99">
      <w:pPr>
        <w:spacing w:after="0" w:line="360" w:lineRule="auto"/>
        <w:jc w:val="center"/>
        <w:textAlignment w:val="baseline"/>
        <w:rPr>
          <w:rFonts w:ascii="Times New Roman" w:hAnsi="Times New Roman" w:eastAsia="MS PGothic" w:cs="Times New Roman"/>
          <w:bCs/>
          <w:color w:val="000066"/>
          <w:kern w:val="24"/>
          <w:sz w:val="24"/>
          <w:szCs w:val="24"/>
          <w:lang w:eastAsia="ru-RU"/>
        </w:rPr>
      </w:pPr>
    </w:p>
    <w:p w14:paraId="4D40ED16">
      <w:pPr>
        <w:spacing w:after="0" w:line="360" w:lineRule="auto"/>
        <w:jc w:val="center"/>
        <w:textAlignment w:val="baseline"/>
        <w:rPr>
          <w:rFonts w:ascii="Times New Roman" w:hAnsi="Times New Roman" w:eastAsia="MS PGothic" w:cs="Times New Roman"/>
          <w:bCs/>
          <w:kern w:val="24"/>
          <w:sz w:val="24"/>
          <w:szCs w:val="24"/>
          <w:lang w:eastAsia="ru-RU"/>
        </w:rPr>
      </w:pPr>
      <w:r>
        <w:rPr>
          <w:rFonts w:ascii="Times New Roman" w:hAnsi="Times New Roman" w:eastAsia="MS PGothic" w:cs="Times New Roman"/>
          <w:bCs/>
          <w:kern w:val="24"/>
          <w:sz w:val="24"/>
          <w:szCs w:val="24"/>
          <w:lang w:eastAsia="ru-RU"/>
        </w:rPr>
        <w:t>ОТЧЕТ</w:t>
      </w:r>
    </w:p>
    <w:p w14:paraId="4ED44619">
      <w:pPr>
        <w:spacing w:after="0" w:line="360" w:lineRule="auto"/>
        <w:jc w:val="center"/>
        <w:textAlignment w:val="baseline"/>
        <w:rPr>
          <w:rFonts w:hint="default" w:ascii="Times New Roman" w:hAnsi="Times New Roman" w:eastAsia="MS PGothic" w:cs="Times New Roman"/>
          <w:bCs/>
          <w:kern w:val="24"/>
          <w:sz w:val="24"/>
          <w:szCs w:val="24"/>
          <w:lang w:val="en-US" w:eastAsia="ru-RU"/>
        </w:rPr>
      </w:pPr>
      <w:r>
        <w:rPr>
          <w:rFonts w:ascii="Times New Roman" w:hAnsi="Times New Roman" w:eastAsia="MS PGothic" w:cs="Times New Roman"/>
          <w:bCs/>
          <w:kern w:val="24"/>
          <w:sz w:val="24"/>
          <w:szCs w:val="24"/>
          <w:lang w:eastAsia="ru-RU"/>
        </w:rPr>
        <w:t xml:space="preserve">О ПРАКТИЧЕСКОЙ РАБОТЕ № </w:t>
      </w:r>
      <w:r>
        <w:rPr>
          <w:rFonts w:hint="default" w:ascii="Times New Roman" w:hAnsi="Times New Roman" w:eastAsia="MS PGothic" w:cs="Times New Roman"/>
          <w:bCs/>
          <w:kern w:val="24"/>
          <w:sz w:val="24"/>
          <w:szCs w:val="24"/>
          <w:lang w:val="en-US" w:eastAsia="ru-RU"/>
        </w:rPr>
        <w:t>5</w:t>
      </w:r>
    </w:p>
    <w:p w14:paraId="3F764282">
      <w:pPr>
        <w:spacing w:after="0" w:line="360" w:lineRule="auto"/>
        <w:jc w:val="center"/>
        <w:textAlignment w:val="baseline"/>
        <w:rPr>
          <w:rFonts w:ascii="Times New Roman" w:hAnsi="Times New Roman" w:eastAsia="MS PGothic" w:cs="Times New Roman"/>
          <w:bCs/>
          <w:kern w:val="24"/>
          <w:sz w:val="24"/>
          <w:szCs w:val="24"/>
          <w:lang w:eastAsia="ru-RU"/>
        </w:rPr>
      </w:pPr>
      <w:r>
        <w:rPr>
          <w:rFonts w:ascii="Times New Roman" w:hAnsi="Times New Roman" w:eastAsia="MS PGothic" w:cs="Times New Roman"/>
          <w:bCs/>
          <w:kern w:val="24"/>
          <w:sz w:val="24"/>
          <w:szCs w:val="24"/>
          <w:lang w:eastAsia="ru-RU"/>
        </w:rPr>
        <w:t>по дисциплине «Криптографические методы защиты информации»</w:t>
      </w:r>
    </w:p>
    <w:p w14:paraId="36E2416E">
      <w:pPr>
        <w:spacing w:line="360" w:lineRule="auto"/>
        <w:jc w:val="center"/>
        <w:rPr>
          <w:rFonts w:hint="default" w:ascii="Times New Roman" w:hAnsi="Times New Roman" w:cs="Times New Roman"/>
          <w:b/>
          <w:bCs w:val="0"/>
          <w:i/>
          <w:sz w:val="24"/>
          <w:szCs w:val="24"/>
          <w:lang w:val="en-US"/>
        </w:rPr>
      </w:pPr>
      <w:r>
        <w:rPr>
          <w:rFonts w:ascii="Times New Roman" w:hAnsi="Times New Roman" w:eastAsia="MS PGothic" w:cs="Times New Roman"/>
          <w:bCs/>
          <w:kern w:val="24"/>
          <w:sz w:val="24"/>
          <w:szCs w:val="24"/>
          <w:lang w:eastAsia="ru-RU"/>
        </w:rPr>
        <w:t>П</w:t>
      </w:r>
      <w:r>
        <w:rPr>
          <w:rFonts w:ascii="Times New Roman" w:hAnsi="Times New Roman" w:eastAsia="MS PGothic" w:cs="Times New Roman"/>
          <w:b/>
          <w:bCs w:val="0"/>
          <w:kern w:val="24"/>
          <w:sz w:val="24"/>
          <w:szCs w:val="24"/>
          <w:lang w:eastAsia="ru-RU"/>
        </w:rPr>
        <w:t>рограмма</w:t>
      </w:r>
      <w:r>
        <w:rPr>
          <w:rFonts w:hint="default" w:ascii="Times New Roman" w:hAnsi="Times New Roman" w:eastAsia="MS PGothic" w:cs="Times New Roman"/>
          <w:b/>
          <w:bCs w:val="0"/>
          <w:kern w:val="24"/>
          <w:sz w:val="24"/>
          <w:szCs w:val="24"/>
          <w:lang w:val="en-US" w:eastAsia="ru-RU"/>
        </w:rPr>
        <w:t xml:space="preserve"> алгоритма консенсуса блокчейн </w:t>
      </w:r>
      <w:r>
        <w:rPr>
          <w:rFonts w:ascii="Times New Roman" w:hAnsi="Times New Roman"/>
          <w:b/>
          <w:bCs w:val="0"/>
          <w:sz w:val="28"/>
          <w:szCs w:val="28"/>
        </w:rPr>
        <w:t>«</w:t>
      </w:r>
      <w:r>
        <w:rPr>
          <w:rFonts w:hint="default" w:ascii="Times New Roman" w:hAnsi="Times New Roman" w:eastAsia="MS PGothic" w:cs="Times New Roman"/>
          <w:b/>
          <w:bCs w:val="0"/>
          <w:kern w:val="24"/>
          <w:sz w:val="24"/>
          <w:szCs w:val="24"/>
          <w:lang w:val="ru-RU" w:eastAsia="ru-RU"/>
        </w:rPr>
        <w:t>Доказательство</w:t>
      </w:r>
      <w:r>
        <w:rPr>
          <w:rFonts w:hint="default" w:ascii="Times New Roman" w:hAnsi="Times New Roman" w:eastAsia="MS PGothic" w:cs="Times New Roman"/>
          <w:b/>
          <w:bCs w:val="0"/>
          <w:kern w:val="24"/>
          <w:sz w:val="24"/>
          <w:szCs w:val="24"/>
          <w:lang w:val="en-US" w:eastAsia="ru-RU"/>
        </w:rPr>
        <w:t xml:space="preserve"> выполнения работы</w:t>
      </w:r>
      <w:r>
        <w:rPr>
          <w:rFonts w:ascii="Times New Roman" w:hAnsi="Times New Roman"/>
          <w:b/>
          <w:bCs w:val="0"/>
          <w:sz w:val="28"/>
          <w:szCs w:val="28"/>
        </w:rPr>
        <w:t>»</w:t>
      </w:r>
      <w:r>
        <w:rPr>
          <w:rFonts w:hint="default" w:ascii="Times New Roman" w:hAnsi="Times New Roman" w:eastAsia="MS PGothic" w:cs="Times New Roman"/>
          <w:b/>
          <w:bCs w:val="0"/>
          <w:kern w:val="24"/>
          <w:sz w:val="24"/>
          <w:szCs w:val="24"/>
          <w:lang w:val="en-US" w:eastAsia="ru-RU"/>
        </w:rPr>
        <w:t xml:space="preserve"> (Proof of Work, PoW)</w:t>
      </w:r>
    </w:p>
    <w:p w14:paraId="6E83E6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jc w:val="right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51"/>
      </w:tblGrid>
      <w:tr w14:paraId="133D13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right"/>
        </w:trPr>
        <w:tc>
          <w:tcPr>
            <w:tcW w:w="4251" w:type="dxa"/>
            <w:shd w:val="clear" w:color="auto" w:fill="auto"/>
          </w:tcPr>
          <w:p w14:paraId="53908D83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hint="default"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val="ru-RU" w:eastAsia="zh-C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zh-CN"/>
              </w:rPr>
              <w:t xml:space="preserve">Студент гр. 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val="ru-RU" w:eastAsia="zh-CN"/>
              </w:rPr>
              <w:t>БИБ-231</w:t>
            </w:r>
          </w:p>
          <w:p w14:paraId="6B91CD1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val="ru-RU" w:eastAsia="zh-CN"/>
              </w:rPr>
              <w:t>А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val="ru-RU" w:eastAsia="zh-CN"/>
              </w:rPr>
              <w:t>.М. Мхитарян</w:t>
            </w:r>
          </w:p>
          <w:p w14:paraId="5375671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zh-CN"/>
              </w:rPr>
              <w:t>«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val="ru-RU" w:eastAsia="zh-CN"/>
              </w:rPr>
              <w:t>??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zh-CN"/>
              </w:rPr>
              <w:t>»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val="ru-RU" w:eastAsia="zh-CN"/>
              </w:rPr>
              <w:t xml:space="preserve"> мая 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zh-CN"/>
              </w:rPr>
              <w:t xml:space="preserve"> 202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val="ru-RU" w:eastAsia="zh-CN"/>
              </w:rPr>
              <w:t>5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zh-CN"/>
              </w:rPr>
              <w:t xml:space="preserve"> г.</w:t>
            </w:r>
          </w:p>
          <w:p w14:paraId="5A008358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zh-CN"/>
              </w:rPr>
            </w:pPr>
          </w:p>
          <w:p w14:paraId="60BBA454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zh-CN"/>
              </w:rPr>
            </w:pPr>
          </w:p>
          <w:p w14:paraId="199C10CC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</w:tr>
      <w:tr w14:paraId="05BEBF1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right"/>
        </w:trPr>
        <w:tc>
          <w:tcPr>
            <w:tcW w:w="4251" w:type="dxa"/>
            <w:shd w:val="clear" w:color="auto" w:fill="auto"/>
          </w:tcPr>
          <w:p w14:paraId="2918D12D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zh-CN"/>
              </w:rPr>
              <w:t>Руководитель</w:t>
            </w:r>
          </w:p>
          <w:p w14:paraId="381D6B0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zh-CN"/>
              </w:rPr>
              <w:t>Заведующий кафедрой информационной безопасности киберфизических систем</w:t>
            </w:r>
          </w:p>
          <w:p w14:paraId="5BA0213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zh-CN"/>
              </w:rPr>
              <w:t>канд. техн. наук, доцент</w:t>
            </w:r>
          </w:p>
          <w:p w14:paraId="292833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zh-CN"/>
              </w:rPr>
              <w:t>______________О.О. Евсютин</w:t>
            </w:r>
          </w:p>
          <w:p w14:paraId="6112D8C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zh-CN"/>
              </w:rPr>
              <w:t>«___» __________ 202</w:t>
            </w:r>
            <w:r>
              <w:rPr>
                <w:rFonts w:hint="default"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val="en-US" w:eastAsia="zh-CN"/>
              </w:rPr>
              <w:t>5</w:t>
            </w:r>
            <w:r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zh-CN"/>
              </w:rPr>
              <w:t xml:space="preserve"> г.</w:t>
            </w:r>
          </w:p>
          <w:p w14:paraId="0654FEC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Cs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</w:tr>
    </w:tbl>
    <w:p w14:paraId="0C3B705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E1A8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521F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51A272">
      <w:pPr>
        <w:pageBreakBefore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14:paraId="20027E0D">
      <w:pPr>
        <w:pStyle w:val="14"/>
        <w:tabs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  <w14:ligatures w14:val="standardContextual"/>
        </w:rPr>
      </w:pPr>
      <w:r>
        <w:rPr>
          <w:rFonts w:cs="Times New Roman"/>
          <w:b/>
          <w:szCs w:val="24"/>
        </w:rPr>
        <w:fldChar w:fldCharType="begin"/>
      </w:r>
      <w:r>
        <w:rPr>
          <w:rFonts w:cs="Times New Roman"/>
          <w:b/>
          <w:szCs w:val="24"/>
        </w:rPr>
        <w:instrText xml:space="preserve"> TOC \o "1-3" \h \z \u </w:instrText>
      </w:r>
      <w:r>
        <w:rPr>
          <w:rFonts w:cs="Times New Roman"/>
          <w:b/>
          <w:szCs w:val="24"/>
        </w:rPr>
        <w:fldChar w:fldCharType="separate"/>
      </w:r>
      <w:r>
        <w:fldChar w:fldCharType="begin"/>
      </w:r>
      <w:r>
        <w:instrText xml:space="preserve"> HYPERLINK \l "_Toc155608317" </w:instrText>
      </w:r>
      <w:r>
        <w:fldChar w:fldCharType="separate"/>
      </w:r>
      <w:r>
        <w:rPr>
          <w:rStyle w:val="9"/>
        </w:rPr>
        <w:t>1 Задание на практическую работу</w:t>
      </w:r>
      <w:r>
        <w:tab/>
      </w:r>
      <w:r>
        <w:fldChar w:fldCharType="begin"/>
      </w:r>
      <w:r>
        <w:instrText xml:space="preserve"> PAGEREF _Toc155608317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AAA6FE0">
      <w:pPr>
        <w:pStyle w:val="14"/>
        <w:tabs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HYPERLINK \l "_Toc155608318" </w:instrText>
      </w:r>
      <w:r>
        <w:fldChar w:fldCharType="separate"/>
      </w:r>
      <w:r>
        <w:rPr>
          <w:rStyle w:val="9"/>
        </w:rPr>
        <w:t>2 Название раздела</w:t>
      </w:r>
      <w:r>
        <w:tab/>
      </w:r>
      <w:r>
        <w:fldChar w:fldCharType="begin"/>
      </w:r>
      <w:r>
        <w:instrText xml:space="preserve"> PAGEREF _Toc155608318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792A2DE">
      <w:pPr>
        <w:pStyle w:val="16"/>
        <w:tabs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HYPERLINK \l "_Toc155608319" </w:instrText>
      </w:r>
      <w:r>
        <w:fldChar w:fldCharType="separate"/>
      </w:r>
      <w:r>
        <w:rPr>
          <w:rStyle w:val="9"/>
        </w:rPr>
        <w:t>2.1 Название подраздела</w:t>
      </w:r>
      <w:r>
        <w:tab/>
      </w:r>
      <w:r>
        <w:fldChar w:fldCharType="begin"/>
      </w:r>
      <w:r>
        <w:instrText xml:space="preserve"> PAGEREF _Toc155608319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6F7EE4DB">
      <w:pPr>
        <w:pStyle w:val="14"/>
        <w:tabs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HYPERLINK \l "_Toc155608320" </w:instrText>
      </w:r>
      <w:r>
        <w:fldChar w:fldCharType="separate"/>
      </w:r>
      <w:r>
        <w:rPr>
          <w:rStyle w:val="9"/>
          <w:lang w:val="en-US"/>
        </w:rPr>
        <w:t>X Выводы о проделанной работе</w:t>
      </w:r>
      <w:r>
        <w:tab/>
      </w:r>
      <w:r>
        <w:fldChar w:fldCharType="begin"/>
      </w:r>
      <w:r>
        <w:instrText xml:space="preserve"> PAGEREF _Toc155608320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721E86F6">
      <w:pPr>
        <w:pStyle w:val="14"/>
        <w:tabs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HYPERLINK \l "_Toc155608321" </w:instrText>
      </w:r>
      <w:r>
        <w:fldChar w:fldCharType="separate"/>
      </w:r>
      <w:r>
        <w:rPr>
          <w:rStyle w:val="9"/>
          <w:lang w:val="en-US"/>
        </w:rPr>
        <w:t>X</w:t>
      </w:r>
      <w:r>
        <w:rPr>
          <w:rStyle w:val="9"/>
        </w:rPr>
        <w:t> Список использованных источников</w:t>
      </w:r>
      <w:r>
        <w:tab/>
      </w:r>
      <w:r>
        <w:fldChar w:fldCharType="begin"/>
      </w:r>
      <w:r>
        <w:instrText xml:space="preserve"> PAGEREF _Toc155608321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182C90AB">
      <w:pPr>
        <w:pStyle w:val="14"/>
        <w:tabs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HYPERLINK \l "_Toc155608322" </w:instrText>
      </w:r>
      <w:r>
        <w:fldChar w:fldCharType="separate"/>
      </w:r>
      <w:r>
        <w:rPr>
          <w:rStyle w:val="9"/>
          <w:rFonts w:eastAsia="Times New Roman"/>
          <w:lang w:eastAsia="ru-RU"/>
        </w:rPr>
        <w:t xml:space="preserve">ПРИЛОЖЕНИЕ А. </w:t>
      </w:r>
      <w:r>
        <w:rPr>
          <w:rStyle w:val="9"/>
          <w:rFonts w:eastAsia="Times New Roman" w:cs="Arial"/>
          <w:kern w:val="32"/>
          <w:lang w:eastAsia="ru-RU"/>
        </w:rPr>
        <w:t>Основные требования к оформлению отчета</w:t>
      </w:r>
      <w:r>
        <w:tab/>
      </w:r>
      <w:r>
        <w:fldChar w:fldCharType="begin"/>
      </w:r>
      <w:r>
        <w:instrText xml:space="preserve"> PAGEREF _Toc155608322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00B6A8FF">
      <w:pPr>
        <w:pStyle w:val="14"/>
        <w:tabs>
          <w:tab w:val="right" w:leader="dot" w:pos="9345"/>
        </w:tabs>
        <w:rPr>
          <w:rFonts w:asciiTheme="minorHAnsi" w:hAnsiTheme="minorHAnsi" w:eastAsiaTheme="minorEastAsia"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HYPERLINK \l "_Toc155608323" </w:instrText>
      </w:r>
      <w:r>
        <w:fldChar w:fldCharType="separate"/>
      </w:r>
      <w:r>
        <w:rPr>
          <w:rStyle w:val="9"/>
        </w:rPr>
        <w:t>ПРИЛОЖЕНИЕ Б. Пример списка использованных источников</w:t>
      </w:r>
      <w:r>
        <w:tab/>
      </w:r>
      <w:r>
        <w:fldChar w:fldCharType="begin"/>
      </w:r>
      <w:r>
        <w:instrText xml:space="preserve"> PAGEREF _Toc155608323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48C1FA7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392B45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430F61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9649C6">
      <w:pPr>
        <w:pStyle w:val="2"/>
      </w:pPr>
      <w:bookmarkStart w:id="0" w:name="_Toc155608317"/>
      <w:r>
        <w:t>1 Задание на практическую работу</w:t>
      </w:r>
      <w:bookmarkEnd w:id="0"/>
    </w:p>
    <w:p w14:paraId="6EF08C3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Целью работы является...</w:t>
      </w:r>
    </w:p>
    <w:p w14:paraId="289C134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практической работы необходимо выполнить следующее:</w:t>
      </w:r>
    </w:p>
    <w:p w14:paraId="0C45D95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86E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99078B">
      <w:pPr>
        <w:pStyle w:val="2"/>
        <w:rPr>
          <w:rFonts w:hint="default"/>
          <w:lang w:val="ru-RU"/>
        </w:rPr>
      </w:pPr>
      <w:bookmarkStart w:id="1" w:name="_Toc155608318"/>
      <w:r>
        <w:t>2 </w:t>
      </w:r>
      <w:bookmarkEnd w:id="1"/>
      <w:r>
        <w:rPr>
          <w:rFonts w:hint="default"/>
          <w:lang w:val="ru-RU"/>
        </w:rPr>
        <w:t xml:space="preserve">Стрибог </w:t>
      </w:r>
    </w:p>
    <w:p w14:paraId="29BA8562">
      <w:pPr>
        <w:pStyle w:val="3"/>
      </w:pPr>
      <w:bookmarkStart w:id="2" w:name="_Toc155608319"/>
      <w:r>
        <w:t>2.1 Название подраздела</w:t>
      </w:r>
      <w:bookmarkEnd w:id="2"/>
    </w:p>
    <w:p w14:paraId="01D9B21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Текст.</w:t>
      </w:r>
    </w:p>
    <w:p w14:paraId="4252B1D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10" w:name="_GoBack"/>
      <w:bookmarkEnd w:id="10"/>
    </w:p>
    <w:p w14:paraId="7FB72FA9">
      <w:pPr>
        <w:pStyle w:val="2"/>
      </w:pPr>
      <w:bookmarkStart w:id="3" w:name="_Toc155608320"/>
      <w:r>
        <w:rPr>
          <w:lang w:val="en-US"/>
        </w:rPr>
        <w:t>X </w:t>
      </w:r>
      <w:r>
        <w:t>Выводы о проделанной работе</w:t>
      </w:r>
      <w:bookmarkEnd w:id="3"/>
    </w:p>
    <w:p w14:paraId="4D92FD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Краткие выводы о проделанной работе.</w:t>
      </w:r>
    </w:p>
    <w:p w14:paraId="2B4A74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D7F6F6">
      <w:pPr>
        <w:pStyle w:val="2"/>
      </w:pPr>
      <w:bookmarkStart w:id="4" w:name="_Toc155608321"/>
      <w:r>
        <w:rPr>
          <w:lang w:val="en-US"/>
        </w:rPr>
        <w:t>X</w:t>
      </w:r>
      <w:r>
        <w:t> Список использованных источников</w:t>
      </w:r>
      <w:bookmarkEnd w:id="4"/>
    </w:p>
    <w:p w14:paraId="6A4DFE0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библиографических ссылок, оформленных по ГОСТ (примеры приведены в приложении А).</w:t>
      </w:r>
    </w:p>
    <w:p w14:paraId="713E5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CFE5A4">
      <w:pPr>
        <w:pStyle w:val="2"/>
        <w:ind w:firstLine="0"/>
        <w:jc w:val="center"/>
        <w:rPr>
          <w:rFonts w:eastAsia="Times New Roman" w:cs="Arial"/>
          <w:kern w:val="32"/>
          <w:lang w:eastAsia="ru-RU"/>
        </w:rPr>
      </w:pPr>
      <w:bookmarkStart w:id="5" w:name="Приложение"/>
      <w:bookmarkStart w:id="6" w:name="_Toc1372613"/>
      <w:bookmarkStart w:id="7" w:name="_Toc155608322"/>
      <w:r>
        <w:rPr>
          <w:rFonts w:eastAsia="Times New Roman"/>
          <w:lang w:eastAsia="ru-RU"/>
        </w:rPr>
        <w:t>ПРИЛОЖЕНИЕ А</w:t>
      </w:r>
      <w:bookmarkEnd w:id="5"/>
      <w:r>
        <w:rPr>
          <w:rFonts w:eastAsia="Times New Roman"/>
          <w:lang w:eastAsia="ru-RU"/>
        </w:rPr>
        <w:t>.</w:t>
      </w:r>
      <w:r>
        <w:rPr>
          <w:rFonts w:eastAsia="Times New Roman"/>
          <w:lang w:eastAsia="ru-RU"/>
        </w:rPr>
        <w:br w:type="textWrapping"/>
      </w:r>
      <w:bookmarkEnd w:id="6"/>
      <w:r>
        <w:rPr>
          <w:rFonts w:eastAsia="Times New Roman" w:cs="Arial"/>
          <w:kern w:val="32"/>
          <w:lang w:eastAsia="ru-RU"/>
        </w:rPr>
        <w:t>Основные требования к оформлению отчета</w:t>
      </w:r>
      <w:bookmarkEnd w:id="7"/>
    </w:p>
    <w:p w14:paraId="52EAA60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321DC5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А.1 Общие требования к оформлению отчета</w:t>
      </w:r>
    </w:p>
    <w:p w14:paraId="350DA60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Шрифт: единый, рекомендуемый – Times New Roman,  </w:t>
      </w:r>
    </w:p>
    <w:p w14:paraId="67A83B6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Цвет: черный,</w:t>
      </w:r>
    </w:p>
    <w:p w14:paraId="3BFADF5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Размер: не менее 12 </w:t>
      </w:r>
      <w:r>
        <w:rPr>
          <w:rFonts w:ascii="Times New Roman" w:hAnsi="Times New Roman" w:cs="Times New Roman"/>
          <w:color w:val="000000"/>
          <w:sz w:val="24"/>
          <w:szCs w:val="24"/>
        </w:rPr>
        <w:t>пт., одинаковый по всему отчету,</w:t>
      </w:r>
    </w:p>
    <w:p w14:paraId="2256E40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Выравнивание </w:t>
      </w:r>
      <w:r>
        <w:rPr>
          <w:rFonts w:ascii="Times New Roman" w:hAnsi="Times New Roman" w:cs="Times New Roman"/>
          <w:color w:val="000000"/>
          <w:sz w:val="24"/>
          <w:szCs w:val="24"/>
        </w:rPr>
        <w:t>текста – по ширине,</w:t>
      </w:r>
    </w:p>
    <w:p w14:paraId="7A77793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Межстрочный интервал </w:t>
      </w:r>
      <w:r>
        <w:rPr>
          <w:rFonts w:ascii="Times New Roman" w:hAnsi="Times New Roman" w:cs="Times New Roman"/>
          <w:color w:val="000000"/>
          <w:sz w:val="24"/>
          <w:szCs w:val="24"/>
        </w:rPr>
        <w:t>– полуторный (исключения: оформление титула, должностей в списке исполнителей, названий рисунков и таблиц),</w:t>
      </w:r>
    </w:p>
    <w:p w14:paraId="547269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Абзацный отступ </w:t>
      </w:r>
      <w:r>
        <w:rPr>
          <w:rFonts w:ascii="Times New Roman" w:hAnsi="Times New Roman" w:cs="Times New Roman"/>
          <w:color w:val="000000"/>
          <w:sz w:val="24"/>
          <w:szCs w:val="24"/>
        </w:rPr>
        <w:t>– 1,25 см.,</w:t>
      </w:r>
    </w:p>
    <w:p w14:paraId="4454C56A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Отступы и интервалы </w:t>
      </w:r>
      <w:r>
        <w:rPr>
          <w:rFonts w:ascii="Times New Roman" w:hAnsi="Times New Roman" w:cs="Times New Roman"/>
          <w:color w:val="000000"/>
          <w:sz w:val="24"/>
          <w:szCs w:val="24"/>
        </w:rPr>
        <w:t>в тексте – 0 см.</w:t>
      </w:r>
    </w:p>
    <w:p w14:paraId="032643D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Полужирный шрифт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применяют только для заголовков структурных элементов отчета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для заголовков разделов и подразделов основной части отчета.</w:t>
      </w:r>
    </w:p>
    <w:p w14:paraId="6E05116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Курсив: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допускается для обозначения объектов и написания терминов. Курсив также может использоваться для </w:t>
      </w:r>
      <w:r>
        <w:rPr>
          <w:rFonts w:ascii="Times New Roman" w:hAnsi="Times New Roman" w:cs="Times New Roman"/>
          <w:bCs/>
          <w:i/>
          <w:sz w:val="24"/>
          <w:szCs w:val="24"/>
        </w:rPr>
        <w:t>акцентирования внимания</w:t>
      </w:r>
      <w:r>
        <w:rPr>
          <w:rFonts w:ascii="Times New Roman" w:hAnsi="Times New Roman" w:eastAsia="Times New Roman" w:cs="Times New Roman"/>
          <w:i/>
          <w:sz w:val="24"/>
          <w:szCs w:val="20"/>
          <w:lang w:eastAsia="ru-RU"/>
        </w:rPr>
        <w:t xml:space="preserve">, </w:t>
      </w:r>
      <w:r>
        <w:rPr>
          <w:rFonts w:ascii="Times New Roman" w:hAnsi="Times New Roman" w:cs="Times New Roman"/>
          <w:bCs/>
          <w:i/>
          <w:sz w:val="24"/>
          <w:szCs w:val="24"/>
        </w:rPr>
        <w:t>выделения текста в отчете</w:t>
      </w:r>
      <w:r>
        <w:rPr>
          <w:rFonts w:ascii="Times New Roman" w:hAnsi="Times New Roman" w:cs="Times New Roman"/>
          <w:bCs/>
          <w:sz w:val="24"/>
          <w:szCs w:val="24"/>
        </w:rPr>
        <w:t xml:space="preserve">,  но при этом текст должен быть </w:t>
      </w:r>
      <w:r>
        <w:rPr>
          <w:rFonts w:ascii="Times New Roman" w:hAnsi="Times New Roman" w:cs="Times New Roman"/>
          <w:bCs/>
          <w:i/>
          <w:sz w:val="24"/>
          <w:szCs w:val="24"/>
        </w:rPr>
        <w:t>того же кегля и гарнитуры</w:t>
      </w:r>
      <w:r>
        <w:rPr>
          <w:rFonts w:ascii="Times New Roman" w:hAnsi="Times New Roman" w:cs="Times New Roman"/>
          <w:bCs/>
          <w:sz w:val="24"/>
          <w:szCs w:val="24"/>
        </w:rPr>
        <w:t>.  Разрешается для написания определенных терминов, формул, теорем применять шрифты разной гарнитуры.</w:t>
      </w:r>
    </w:p>
    <w:p w14:paraId="537A74A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Размеры полей: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левое – 3,0 см., правое – 1,5 см., верхнее и нижнее – 2,0 см.</w:t>
      </w:r>
    </w:p>
    <w:p w14:paraId="5152F3E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Номера страниц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– арабскими цифрами, </w:t>
      </w:r>
      <w:r>
        <w:rPr>
          <w:rFonts w:ascii="Times New Roman" w:hAnsi="Times New Roman" w:cs="Times New Roman"/>
          <w:bCs/>
          <w:i/>
          <w:sz w:val="24"/>
          <w:szCs w:val="24"/>
        </w:rPr>
        <w:t>внизу по центру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>Титульный лист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включают в общую нумерацию страниц отчета. </w:t>
      </w:r>
      <w:r>
        <w:rPr>
          <w:rFonts w:ascii="Times New Roman" w:hAnsi="Times New Roman" w:cs="Times New Roman"/>
          <w:i/>
          <w:sz w:val="24"/>
          <w:szCs w:val="24"/>
        </w:rPr>
        <w:t>Номер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страницы на титульном листе </w:t>
      </w:r>
      <w:r>
        <w:rPr>
          <w:rFonts w:ascii="Times New Roman" w:hAnsi="Times New Roman" w:cs="Times New Roman"/>
          <w:i/>
          <w:sz w:val="24"/>
          <w:szCs w:val="24"/>
        </w:rPr>
        <w:t>не проставляют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 xml:space="preserve">Приложения </w:t>
      </w:r>
      <w:r>
        <w:rPr>
          <w:rFonts w:ascii="Times New Roman" w:hAnsi="Times New Roman" w:cs="Times New Roman"/>
          <w:color w:val="000000"/>
          <w:sz w:val="24"/>
          <w:szCs w:val="24"/>
        </w:rPr>
        <w:t>должны иметь общую с остальной частью отчета сквозную нумерацию страниц.</w:t>
      </w:r>
    </w:p>
    <w:p w14:paraId="0502C3A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Оформление перечислений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еред каждым элементом перечисления следует ставить </w:t>
      </w:r>
      <w:r>
        <w:rPr>
          <w:rFonts w:ascii="Times New Roman" w:hAnsi="Times New Roman" w:cs="Times New Roman"/>
          <w:i/>
          <w:sz w:val="24"/>
          <w:szCs w:val="24"/>
        </w:rPr>
        <w:t>тире</w:t>
      </w:r>
      <w:r>
        <w:rPr>
          <w:rFonts w:ascii="Times New Roman" w:hAnsi="Times New Roman" w:cs="Times New Roman"/>
          <w:sz w:val="24"/>
          <w:szCs w:val="24"/>
        </w:rPr>
        <w:t xml:space="preserve"> или, при необходимости ссылки в тексте отчета на один из элементов перечисления, вместо тире ставят </w:t>
      </w:r>
      <w:r>
        <w:rPr>
          <w:rFonts w:ascii="Times New Roman" w:hAnsi="Times New Roman" w:cs="Times New Roman"/>
          <w:i/>
          <w:sz w:val="24"/>
          <w:szCs w:val="24"/>
        </w:rPr>
        <w:t>строчные буквы,</w:t>
      </w:r>
      <w:r>
        <w:rPr>
          <w:rFonts w:ascii="Times New Roman" w:hAnsi="Times New Roman" w:cs="Times New Roman"/>
          <w:sz w:val="24"/>
          <w:szCs w:val="24"/>
        </w:rPr>
        <w:t xml:space="preserve"> начиная с буквы "а" (за исключением – е, з, й, о, ч, ъ, ы, ь), после которой ставится скобка. Простые перечисления отделяются запятой, сложные – точкой с запятой.</w:t>
      </w:r>
    </w:p>
    <w:p w14:paraId="561921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>НЕ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допускается использование </w:t>
      </w:r>
      <w:r>
        <w:rPr>
          <w:rFonts w:ascii="Times New Roman" w:hAnsi="Times New Roman" w:cs="Times New Roman"/>
          <w:bCs/>
          <w:i/>
          <w:sz w:val="24"/>
          <w:szCs w:val="24"/>
        </w:rPr>
        <w:t>данных</w:t>
      </w: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знаков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D2B10C7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2F5120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hanging="1071"/>
        <w:contextualSpacing/>
        <w:rPr>
          <w:rFonts w:ascii="Times New Roman" w:hAnsi="Times New Roman" w:cs="Times New Roman"/>
          <w:sz w:val="24"/>
          <w:szCs w:val="24"/>
        </w:rPr>
      </w:pPr>
    </w:p>
    <w:p w14:paraId="6A480041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hanging="1791"/>
        <w:contextualSpacing/>
        <w:rPr>
          <w:rFonts w:ascii="Times New Roman" w:hAnsi="Times New Roman" w:cs="Times New Roman"/>
          <w:sz w:val="24"/>
          <w:szCs w:val="24"/>
        </w:rPr>
      </w:pPr>
    </w:p>
    <w:p w14:paraId="673EB05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наличии конкретного числа перечислений допускается использовать </w:t>
      </w:r>
      <w:r>
        <w:rPr>
          <w:rFonts w:ascii="Times New Roman" w:hAnsi="Times New Roman" w:cs="Times New Roman"/>
          <w:i/>
          <w:sz w:val="24"/>
          <w:szCs w:val="24"/>
        </w:rPr>
        <w:t>арабские</w:t>
      </w:r>
    </w:p>
    <w:p w14:paraId="6AFF63E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цифры </w:t>
      </w:r>
      <w:r>
        <w:rPr>
          <w:rFonts w:ascii="Times New Roman" w:hAnsi="Times New Roman" w:cs="Times New Roman"/>
          <w:sz w:val="24"/>
          <w:szCs w:val="24"/>
        </w:rPr>
        <w:t>со скобками.</w:t>
      </w:r>
    </w:p>
    <w:p w14:paraId="495CE2A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Перечисления приводятся с абзацного отступа – 1,25 пт., без отступов слева и выступов справа.</w:t>
      </w:r>
    </w:p>
    <w:p w14:paraId="1904EAC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А.2 Оформление иллюстраций</w:t>
      </w:r>
    </w:p>
    <w:p w14:paraId="6CB01F6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иллюстрациям относятся: чертежи, графики, схемы, диаграммы, фотоснимки.</w:t>
      </w:r>
    </w:p>
    <w:p w14:paraId="3BB25C7C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Calibri" w:cs="Times New Roman"/>
          <w:bCs/>
          <w:sz w:val="24"/>
          <w:szCs w:val="24"/>
          <w:lang w:eastAsia="ru-RU"/>
        </w:rPr>
        <w:t xml:space="preserve">Иллюстрации следует располагать в отчете </w:t>
      </w:r>
      <w:r>
        <w:rPr>
          <w:rFonts w:ascii="Times New Roman" w:hAnsi="Times New Roman" w:eastAsia="Calibri" w:cs="Times New Roman"/>
          <w:bCs/>
          <w:i/>
          <w:sz w:val="24"/>
          <w:szCs w:val="24"/>
          <w:lang w:eastAsia="ru-RU"/>
        </w:rPr>
        <w:t>непосредственно после текста отчета</w:t>
      </w:r>
      <w:r>
        <w:rPr>
          <w:rFonts w:ascii="Times New Roman" w:hAnsi="Times New Roman" w:eastAsia="Calibri" w:cs="Times New Roman"/>
          <w:bCs/>
          <w:sz w:val="24"/>
          <w:szCs w:val="24"/>
          <w:lang w:eastAsia="ru-RU"/>
        </w:rPr>
        <w:t>, где они упоминаются впервые, или на следующей странице (по возможности ближе к соответствующим частям текста отчета).</w:t>
      </w:r>
    </w:p>
    <w:p w14:paraId="4492CA67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ascii="Times New Roman" w:hAnsi="Times New Roman" w:eastAsia="Calibri" w:cs="Times New Roman"/>
          <w:bCs/>
          <w:sz w:val="24"/>
          <w:szCs w:val="24"/>
          <w:lang w:eastAsia="ru-RU"/>
        </w:rPr>
        <w:t xml:space="preserve">На все иллюстрации в отчете должны быть даны ссылки. При ссылке необходимо писать слово "рисунок" и его номер, например: "в соответствии с рисунком 2". </w:t>
      </w:r>
      <w:r>
        <w:rPr>
          <w:rFonts w:ascii="Times New Roman" w:hAnsi="Times New Roman" w:eastAsia="Calibri" w:cs="Times New Roman"/>
          <w:bCs/>
          <w:i/>
          <w:sz w:val="24"/>
          <w:szCs w:val="24"/>
          <w:lang w:eastAsia="ru-RU"/>
        </w:rPr>
        <w:t>Не допускается</w:t>
      </w:r>
      <w:r>
        <w:rPr>
          <w:rFonts w:ascii="Times New Roman" w:hAnsi="Times New Roman" w:eastAsia="Calibri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hAnsi="Times New Roman" w:eastAsia="Calibri" w:cs="Times New Roman"/>
          <w:sz w:val="24"/>
          <w:szCs w:val="24"/>
          <w:lang w:eastAsia="ru-RU"/>
        </w:rPr>
        <w:t xml:space="preserve">сокращение типа </w:t>
      </w:r>
      <w:r>
        <w:rPr>
          <w:rFonts w:ascii="Times New Roman" w:hAnsi="Times New Roman" w:eastAsia="Calibri" w:cs="Times New Roman"/>
          <w:i/>
          <w:sz w:val="24"/>
          <w:szCs w:val="24"/>
          <w:lang w:eastAsia="ru-RU"/>
        </w:rPr>
        <w:t>Рис.5.</w:t>
      </w:r>
    </w:p>
    <w:p w14:paraId="4E6BA496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ascii="Times New Roman" w:hAnsi="Times New Roman" w:eastAsia="Calibri" w:cs="Times New Roman"/>
          <w:sz w:val="24"/>
          <w:szCs w:val="24"/>
          <w:lang w:eastAsia="ru-RU"/>
        </w:rPr>
        <w:t>Иллюстрации, за исключением иллюстраций, приведенных в приложениях, следует нумеровать арабскими цифрами сквозной нумерацией: Рисунок 1.</w:t>
      </w:r>
    </w:p>
    <w:p w14:paraId="12960029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ascii="Times New Roman" w:hAnsi="Times New Roman" w:eastAsia="Calibri" w:cs="Times New Roman"/>
          <w:sz w:val="24"/>
          <w:szCs w:val="24"/>
          <w:lang w:eastAsia="ru-RU"/>
        </w:rPr>
        <w:t>Допускается нумеровать иллюстрации в пределах раздела отчета. В этом случае номер иллюстрации состоит из номера раздела и порядкового номера иллюстрации, разделенных точкой: Рисунок 1.1.</w:t>
      </w:r>
    </w:p>
    <w:p w14:paraId="1F90ED6D">
      <w:pPr>
        <w:spacing w:after="0" w:line="360" w:lineRule="auto"/>
        <w:ind w:firstLine="709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ascii="Times New Roman" w:hAnsi="Times New Roman" w:eastAsia="Calibri" w:cs="Times New Roman"/>
          <w:sz w:val="24"/>
          <w:szCs w:val="24"/>
          <w:lang w:eastAsia="ru-RU"/>
        </w:rPr>
        <w:t>Если рисунок в отчете всего один, то он обозначатся: Рисунок 1.</w:t>
      </w:r>
    </w:p>
    <w:p w14:paraId="6377CD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Иллюстрации должны иметь наименование и пояснительные данные (подрисуночный текст). Слово "Рисунок", его номер и через тире наименование помещают после пояснительных данных и располагают в центре под рисунком.</w:t>
      </w:r>
    </w:p>
    <w:p w14:paraId="061CB6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оформления названия рисунка:</w:t>
      </w:r>
    </w:p>
    <w:p w14:paraId="168F93F2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color w:val="FF0000"/>
          <w:sz w:val="24"/>
          <w:szCs w:val="24"/>
          <w:lang w:eastAsia="ru-RU"/>
        </w:rPr>
        <w:drawing>
          <wp:inline distT="0" distB="0" distL="0" distR="0">
            <wp:extent cx="5221605" cy="2125980"/>
            <wp:effectExtent l="0" t="0" r="17145" b="2667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D2B79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 xml:space="preserve">Рисунок 1.1 – </w:t>
      </w:r>
      <w:sdt>
        <w:sdtPr>
          <w:rPr>
            <w:rFonts w:ascii="Times New Roman" w:hAnsi="Times New Roman" w:cs="Times New Roman"/>
            <w:sz w:val="24"/>
            <w:szCs w:val="24"/>
          </w:rPr>
          <w:id w:val="-751807734"/>
          <w:placeholder>
            <w:docPart w:val="106D554541BD4030AD2C488137D38FC8"/>
          </w:placeholder>
        </w:sdtPr>
        <w:sdtEndPr>
          <w:rPr>
            <w:rFonts w:ascii="Times New Roman" w:hAnsi="Times New Roman" w:cs="Times New Roman"/>
            <w:sz w:val="24"/>
            <w:szCs w:val="24"/>
          </w:rPr>
        </w:sdtEndPr>
        <w:sdtContent>
          <w:r>
            <w:rPr>
              <w:rFonts w:ascii="Times New Roman" w:hAnsi="Times New Roman" w:cs="Times New Roman"/>
              <w:sz w:val="24"/>
              <w:szCs w:val="24"/>
            </w:rPr>
            <w:t>Если наименование рисунка состоит из нескольких строк, то его записывают через один межстрочный интервал. Наименование рисунка приводят с прописной буквы без точки в конце. Перенос слов в наименовании                              рисунка не допускается</w:t>
          </w:r>
        </w:sdtContent>
      </w:sdt>
    </w:p>
    <w:p w14:paraId="6E4C0D9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 w14:paraId="76B23D5B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/>
          <w:bCs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0"/>
          <w:lang w:eastAsia="ru-RU"/>
        </w:rPr>
        <w:t>А.3 Оформление таблиц</w:t>
      </w:r>
    </w:p>
    <w:p w14:paraId="2EE8D4A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>Таблицу следует располагать непосредственно после текста, в котором она упоминается впервые, или на следующей странице.</w:t>
      </w:r>
    </w:p>
    <w:p w14:paraId="3532E99A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>На все таблицы в отчете должны быть ссылки. При ссылке следует печатать слово "таблица" с указанием ее номера</w:t>
      </w:r>
      <w:r>
        <w:rPr>
          <w:rFonts w:ascii="Times New Roman" w:hAnsi="Times New Roman" w:eastAsia="Times New Roman" w:cs="Times New Roman"/>
          <w:b/>
          <w:i/>
          <w:sz w:val="24"/>
          <w:szCs w:val="20"/>
          <w:lang w:eastAsia="ru-RU"/>
        </w:rPr>
        <w:t xml:space="preserve">. </w:t>
      </w:r>
      <w:r>
        <w:rPr>
          <w:rFonts w:ascii="Times New Roman" w:hAnsi="Times New Roman" w:cs="Times New Roman"/>
          <w:bCs/>
          <w:i/>
          <w:sz w:val="24"/>
          <w:szCs w:val="24"/>
        </w:rPr>
        <w:t xml:space="preserve">Не допускается </w:t>
      </w:r>
      <w:r>
        <w:rPr>
          <w:rFonts w:ascii="Times New Roman" w:hAnsi="Times New Roman" w:cs="Times New Roman"/>
          <w:i/>
          <w:sz w:val="24"/>
          <w:szCs w:val="24"/>
        </w:rPr>
        <w:t>сокращение – Табл</w:t>
      </w:r>
      <w:r>
        <w:rPr>
          <w:rFonts w:ascii="Times New Roman" w:hAnsi="Times New Roman" w:cs="Times New Roman"/>
          <w:sz w:val="24"/>
          <w:szCs w:val="24"/>
        </w:rPr>
        <w:t>.5.</w:t>
      </w:r>
    </w:p>
    <w:p w14:paraId="7D38981A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Допускается применять размер шрифта в таблице меньший, чем в тексте отчета. </w:t>
      </w:r>
    </w:p>
    <w:p w14:paraId="7F3011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Таблицы, за исключением таблиц приложений, следует нумеровать арабскими цифрами сквозной нумерацией. </w:t>
      </w:r>
    </w:p>
    <w:p w14:paraId="721C90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Допускается нумеровать таблицы в пределах раздела при большом объеме отчета. В этом случае номер таблицы состоит из номера раздела и порядкового номера таблицы, разделенных точкой: Таблица 2.3.</w:t>
      </w:r>
    </w:p>
    <w:p w14:paraId="791808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таблицы следует помещать над таблицей слева без абзацного отступа в одну строку с ее номером через тире, например,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Таблица 1 – Наименование.</w:t>
      </w:r>
      <w:r>
        <w:rPr>
          <w:rFonts w:ascii="Times New Roman" w:hAnsi="Times New Roman" w:cs="Times New Roman"/>
          <w:sz w:val="24"/>
          <w:szCs w:val="24"/>
        </w:rPr>
        <w:t xml:space="preserve"> Наименование таблицы приводят с прописной буквы без точки в конце. Если наименование таблицы занимает две строки и более, то его следует записывать через </w:t>
      </w:r>
      <w:r>
        <w:rPr>
          <w:rFonts w:ascii="Times New Roman" w:hAnsi="Times New Roman" w:cs="Times New Roman"/>
          <w:i/>
          <w:sz w:val="24"/>
          <w:szCs w:val="24"/>
        </w:rPr>
        <w:t>один межстрочный интервал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179D69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таблица занимает больше двух страниц, то при переносе части таблицы на другую страницу пишут слова  «Продолжение таблицы 1», пример оформления названия таблицы:</w:t>
      </w:r>
    </w:p>
    <w:p w14:paraId="66FE8A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 xml:space="preserve">Таблица 1.1 – </w:t>
      </w:r>
      <w:sdt>
        <w:sdtPr>
          <w:rPr>
            <w:rFonts w:ascii="Times New Roman" w:hAnsi="Times New Roman" w:cs="Times New Roman"/>
            <w:sz w:val="24"/>
            <w:szCs w:val="24"/>
          </w:rPr>
          <w:id w:val="53130690"/>
          <w:placeholder>
            <w:docPart w:val="A788319EAD68421F90677DADC4975FC7"/>
          </w:placeholder>
        </w:sdtPr>
        <w:sdtEndPr>
          <w:rPr>
            <w:rFonts w:ascii="Times New Roman" w:hAnsi="Times New Roman" w:cs="Times New Roman"/>
            <w:sz w:val="24"/>
            <w:szCs w:val="24"/>
          </w:rPr>
        </w:sdtEndPr>
        <w:sdtContent>
          <w:r>
            <w:rPr>
              <w:rFonts w:ascii="Times New Roman" w:hAnsi="Times New Roman" w:cs="Times New Roman"/>
              <w:sz w:val="24"/>
              <w:szCs w:val="24"/>
            </w:rPr>
            <w:t>Наименование таблицы следует помещать над таблицей слева без абзацного отступа с прописной буквы в одну строку с ее номером через тире без точки в конце. Если наименование таблицы занимает две строки и более, то его следует записывать через один межстрочный интервал</w:t>
          </w:r>
        </w:sdtContent>
      </w:sdt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2"/>
        <w:gridCol w:w="2393"/>
        <w:gridCol w:w="2393"/>
        <w:gridCol w:w="2393"/>
      </w:tblGrid>
      <w:tr w14:paraId="30DE1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 w14:paraId="4E0C9EE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553942E9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10C8BE90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00434C98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</w:tr>
      <w:tr w14:paraId="0B7BE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 w14:paraId="526A243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4CFC9BB0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11ED87E1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60828D84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</w:tr>
      <w:tr w14:paraId="5D65B3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 w14:paraId="2B1D9D0E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2A1EF1BD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002C965D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499111D3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</w:tr>
      <w:tr w14:paraId="6EB09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 w14:paraId="21A9FA64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  <w:p w14:paraId="10F79750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05748865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62A1443C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5FC39ED1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</w:tr>
      <w:tr w14:paraId="6F1BA9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 w14:paraId="087B6ADE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01BF81C5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2AE2221B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404340D9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</w:tr>
      <w:tr w14:paraId="73475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 w14:paraId="13522AC3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523F2985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5C28B360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20763E79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</w:tr>
      <w:tr w14:paraId="4C171A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 w14:paraId="13F5DE37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5A5A980E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60883424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644527DC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</w:tr>
      <w:tr w14:paraId="4665C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 w14:paraId="2D60C32C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742C2F92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5E29E3E8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08191C78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</w:tr>
      <w:tr w14:paraId="227BD7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 w14:paraId="4A338E80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36EE9114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7940782A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394EE389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</w:tr>
    </w:tbl>
    <w:p w14:paraId="0403AC6B">
      <w:pPr>
        <w:pageBreakBefore/>
        <w:widowControl w:val="0"/>
        <w:autoSpaceDE w:val="0"/>
        <w:autoSpaceDN w:val="0"/>
        <w:spacing w:after="0" w:line="360" w:lineRule="auto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>Продолжение таблицы 1.1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2"/>
        <w:gridCol w:w="2393"/>
        <w:gridCol w:w="2393"/>
        <w:gridCol w:w="2393"/>
      </w:tblGrid>
      <w:tr w14:paraId="51A9ED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 w14:paraId="1BFA2D1C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67A15367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33097428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0CB9DEED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</w:tr>
      <w:tr w14:paraId="53D04A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 w14:paraId="7EF6476E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491F41C5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4F2AF151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3D788698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</w:tr>
      <w:tr w14:paraId="01916B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2" w:type="dxa"/>
          </w:tcPr>
          <w:p w14:paraId="78CF0B9E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39FDB4FE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55155335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2393" w:type="dxa"/>
          </w:tcPr>
          <w:p w14:paraId="2E25F76A">
            <w:pPr>
              <w:widowControl w:val="0"/>
              <w:autoSpaceDE w:val="0"/>
              <w:autoSpaceDN w:val="0"/>
              <w:spacing w:after="0" w:line="360" w:lineRule="auto"/>
              <w:rPr>
                <w:rFonts w:ascii="Times New Roman" w:hAnsi="Times New Roman" w:eastAsia="Times New Roman" w:cs="Times New Roman"/>
                <w:sz w:val="24"/>
                <w:szCs w:val="20"/>
                <w:lang w:eastAsia="ru-RU"/>
              </w:rPr>
            </w:pPr>
          </w:p>
        </w:tc>
      </w:tr>
    </w:tbl>
    <w:p w14:paraId="42CAB7F4">
      <w:pPr>
        <w:widowControl w:val="0"/>
        <w:autoSpaceDE w:val="0"/>
        <w:autoSpaceDN w:val="0"/>
        <w:spacing w:after="0" w:line="360" w:lineRule="auto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 w14:paraId="343E2FF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/>
          <w:bCs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0"/>
          <w:lang w:eastAsia="ru-RU"/>
        </w:rPr>
        <w:t>А.4 Оформление формул и уравнений</w:t>
      </w:r>
    </w:p>
    <w:p w14:paraId="50C40CFF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 xml:space="preserve">Уравнения и формулы следует выделять из текста в отдельную строку. Выше и ниже каждой формулы или уравнения должно быть оставлено </w:t>
      </w:r>
      <w:r>
        <w:rPr>
          <w:rFonts w:ascii="Times New Roman" w:hAnsi="Times New Roman" w:eastAsia="Times New Roman" w:cs="Times New Roman"/>
          <w:i/>
          <w:sz w:val="24"/>
          <w:szCs w:val="20"/>
          <w:lang w:eastAsia="ru-RU"/>
        </w:rPr>
        <w:t>не менее одной свободной строки</w:t>
      </w:r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>. Если уравнение не умещается в одну строку, оно должно быть перенесено после знака равенства (=) или после знаков плюс (+), минус (–), умножения (×), деления (:) или других математических знаков. На новой строке знак повторяется.</w:t>
      </w:r>
    </w:p>
    <w:p w14:paraId="0C3377CB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 xml:space="preserve">Пояснение значений символов и числовых коэффициентов следует приводить непосредственно под формулой в той же последовательности, в которой они представлены в формуле. Значение каждого символа и числового коэффициента необходимо приводить с новой строки. Первую строку пояснения начинают со слова "где" без двоеточия с абзаца. </w:t>
      </w:r>
    </w:p>
    <w:p w14:paraId="2D87627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 xml:space="preserve">Формулы в отчете следует располагать </w:t>
      </w:r>
      <w:r>
        <w:rPr>
          <w:rFonts w:ascii="Times New Roman" w:hAnsi="Times New Roman" w:eastAsia="Times New Roman" w:cs="Times New Roman"/>
          <w:i/>
          <w:sz w:val="24"/>
          <w:szCs w:val="20"/>
          <w:lang w:eastAsia="ru-RU"/>
        </w:rPr>
        <w:t>посередине строки</w:t>
      </w:r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 xml:space="preserve"> и обозначать порядковой нумерацией в пределах всего отчета арабскими цифрами в круглых скобках в крайнем правом положении на строке. Одну формулу обозначают (1).</w:t>
      </w:r>
    </w:p>
    <w:p w14:paraId="3DD940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 xml:space="preserve">Ссылки в отчете на порядковые номера формул приводятся в скобках в формуле (1).  </w:t>
      </w:r>
    </w:p>
    <w:p w14:paraId="6C13FD04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>Допускается нумерация формул в пределах раздела. В этом случае номер формулы состоит из номера раздела и порядкового номера формулы, разделенных точкой: (3.1)</w:t>
      </w:r>
    </w:p>
    <w:p w14:paraId="55DE70D2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 xml:space="preserve">Пример: </w:t>
      </w:r>
    </w:p>
    <w:p w14:paraId="519B178F">
      <w:pPr>
        <w:spacing w:before="120" w:after="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Для рядов данных 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>x, y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коэффициенты линейных зависимостей 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 xml:space="preserve">a, b (y </w:t>
      </w:r>
      <w:r>
        <w:rPr>
          <w:rFonts w:ascii="Times New Roman" w:hAnsi="Times New Roman" w:eastAsia="Times New Roman" w:cs="Times New Roman"/>
          <w:iCs/>
          <w:sz w:val="24"/>
          <w:szCs w:val="24"/>
          <w:lang w:eastAsia="ru-RU"/>
        </w:rPr>
        <w:t>=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 xml:space="preserve"> a </w:t>
      </w:r>
      <w:r>
        <w:rPr>
          <w:rFonts w:ascii="Times New Roman" w:hAnsi="Times New Roman" w:eastAsia="Times New Roman" w:cs="Times New Roman"/>
          <w:iCs/>
          <w:sz w:val="24"/>
          <w:szCs w:val="24"/>
          <w:lang w:eastAsia="ru-RU"/>
        </w:rPr>
        <w:t>+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 xml:space="preserve"> bx)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рассчитываются, как решение системы уравнений (3.1):</w:t>
      </w:r>
    </w:p>
    <w:p w14:paraId="45E398AC">
      <w:pPr>
        <w:spacing w:before="120" w:after="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tbl>
      <w:tblPr>
        <w:tblStyle w:val="1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9"/>
        <w:gridCol w:w="932"/>
      </w:tblGrid>
      <w:tr w14:paraId="720CEE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</w:tcPr>
          <w:p w14:paraId="4764E28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>
                  <wp:extent cx="1760220" cy="457200"/>
                  <wp:effectExtent l="0" t="0" r="0" b="0"/>
                  <wp:docPr id="10" name="Рисунок 10" descr="\begin{pmatrix}1&amp;\bar{x}\\\bar{x}&amp;\bar{x^2}\\\end{pmatrix}\begin{pmatrix}a\\b\\\end{pmatrix}=\begin{pmatrix}\bar{y}\\\overline{xy}\\\end{pmatrix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 descr="\begin{pmatrix}1&amp;\bar{x}\\\bar{x}&amp;\bar{x^2}\\\end{pmatrix}\begin{pmatrix}a\\b\\\end{pmatrix}=\begin{pmatrix}\bar{y}\\\overline{xy}\\\end{pmatrix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22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,</w:t>
            </w:r>
          </w:p>
        </w:tc>
        <w:tc>
          <w:tcPr>
            <w:tcW w:w="957" w:type="dxa"/>
            <w:vAlign w:val="center"/>
          </w:tcPr>
          <w:p w14:paraId="0452A83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(3.1)</w:t>
            </w:r>
          </w:p>
        </w:tc>
      </w:tr>
    </w:tbl>
    <w:p w14:paraId="7519E8CB">
      <w:pPr>
        <w:spacing w:before="120" w:after="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7E04B9A4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где </w:t>
      </w: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>x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– средние или максимальные значения температуры процессоров;</w:t>
      </w:r>
    </w:p>
    <w:p w14:paraId="1652B933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lang w:eastAsia="ru-RU"/>
        </w:rPr>
        <w:t>y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– температуры на выходе бака;</w:t>
      </w:r>
    </w:p>
    <w:p w14:paraId="7E978D4D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m:oMath>
        <m:acc>
          <m:accPr>
            <m:chr m:val="̅"/>
            <m:ctrlPr>
              <w:rPr>
                <w:rFonts w:ascii="Cambria Math" w:hAnsi="Cambria Math" w:eastAsia="Times New Roman" w:cs="Times New Roman"/>
                <w:i/>
                <w:sz w:val="24"/>
                <w:szCs w:val="24"/>
                <w:lang w:eastAsia="ru-RU"/>
              </w:rPr>
            </m:ctrlPr>
          </m:accPr>
          <m:e>
            <m:r>
              <m:rPr/>
              <w:rPr>
                <w:rFonts w:ascii="Cambria Math" w:hAnsi="Cambria Math" w:eastAsia="Times New Roman" w:cs="Times New Roman"/>
                <w:sz w:val="24"/>
                <w:szCs w:val="24"/>
                <w:lang w:eastAsia="ru-RU"/>
              </w:rPr>
              <m:t>x</m:t>
            </m:r>
            <m:r>
              <m:rPr/>
              <w:rPr>
                <w:rFonts w:ascii="Cambria Math" w:hAnsi="Times New Roman" w:eastAsia="Times New Roman" w:cs="Times New Roman"/>
                <w:sz w:val="24"/>
                <w:szCs w:val="24"/>
                <w:lang w:eastAsia="ru-RU"/>
              </w:rPr>
              <m:t xml:space="preserve"> </m:t>
            </m:r>
            <m:ctrlPr>
              <w:rPr>
                <w:rFonts w:ascii="Cambria Math" w:hAnsi="Cambria Math" w:eastAsia="Times New Roman" w:cs="Times New Roman"/>
                <w:i/>
                <w:sz w:val="24"/>
                <w:szCs w:val="24"/>
                <w:lang w:eastAsia="ru-RU"/>
              </w:rPr>
            </m:ctrlPr>
          </m:e>
        </m:acc>
      </m:oMath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eastAsia="Times New Roman" w:cs="Times New Roman"/>
                <w:i/>
                <w:sz w:val="24"/>
                <w:szCs w:val="24"/>
                <w:lang w:eastAsia="ru-RU"/>
              </w:rPr>
            </m:ctrlPr>
          </m:accPr>
          <m:e>
            <m:r>
              <m:rPr/>
              <w:rPr>
                <w:rFonts w:ascii="Cambria Math" w:hAnsi="Cambria Math" w:eastAsia="Times New Roman" w:cs="Times New Roman"/>
                <w:sz w:val="24"/>
                <w:szCs w:val="24"/>
                <w:lang w:eastAsia="ru-RU"/>
              </w:rPr>
              <m:t>y</m:t>
            </m:r>
            <m:r>
              <m:rPr/>
              <w:rPr>
                <w:rFonts w:ascii="Cambria Math" w:hAnsi="Times New Roman" w:eastAsia="Times New Roman" w:cs="Times New Roman"/>
                <w:sz w:val="24"/>
                <w:szCs w:val="24"/>
                <w:lang w:eastAsia="ru-RU"/>
              </w:rPr>
              <m:t xml:space="preserve"> </m:t>
            </m:r>
            <m:ctrlPr>
              <w:rPr>
                <w:rFonts w:ascii="Cambria Math" w:hAnsi="Cambria Math" w:eastAsia="Times New Roman" w:cs="Times New Roman"/>
                <w:i/>
                <w:sz w:val="24"/>
                <w:szCs w:val="24"/>
                <w:lang w:eastAsia="ru-RU"/>
              </w:rPr>
            </m:ctrlPr>
          </m:e>
        </m:acc>
      </m:oMath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– среднее арифметическое значение элементов ряда.</w:t>
      </w:r>
    </w:p>
    <w:p w14:paraId="54D4906F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1A226999">
      <w:pPr>
        <w:pStyle w:val="1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А.5 Оформление списка использованных источников</w:t>
      </w:r>
    </w:p>
    <w:p w14:paraId="3539C8C2">
      <w:pPr>
        <w:pStyle w:val="12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должен содержать сведения об источниках, использованных при составлении отчета. Сведения об источниках приводятся в соответствии с требованиями ГОСТ 7.1, </w:t>
      </w:r>
      <w:r>
        <w:fldChar w:fldCharType="begin"/>
      </w:r>
      <w:r>
        <w:instrText xml:space="preserve"> HYPERLINK "consultantplus://offline/ref=1664E79CF97BFD0858C3BB176F68BD1AE7E0C40EC8784F205FE14ABC80BBR0M" </w:instrText>
      </w:r>
      <w:r>
        <w:fldChar w:fldCharType="separate"/>
      </w:r>
      <w:r>
        <w:rPr>
          <w:rStyle w:val="9"/>
          <w:rFonts w:ascii="Times New Roman" w:hAnsi="Times New Roman" w:cs="Times New Roman"/>
          <w:color w:val="auto"/>
          <w:sz w:val="24"/>
          <w:szCs w:val="24"/>
          <w:u w:val="none"/>
        </w:rPr>
        <w:t>ГОСТ 7.80</w:t>
      </w:r>
      <w:r>
        <w:rPr>
          <w:rStyle w:val="9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fldChar w:fldCharType="begin"/>
      </w:r>
      <w:r>
        <w:instrText xml:space="preserve"> HYPERLINK "consultantplus://offline/ref=1664E79CF97BFD0858C3AD1B6D68BD1AEAEBC600CA2A18220EB444BBR9M" </w:instrText>
      </w:r>
      <w:r>
        <w:fldChar w:fldCharType="separate"/>
      </w:r>
      <w:r>
        <w:rPr>
          <w:rStyle w:val="9"/>
          <w:rFonts w:ascii="Times New Roman" w:hAnsi="Times New Roman" w:cs="Times New Roman"/>
          <w:color w:val="auto"/>
          <w:sz w:val="24"/>
          <w:szCs w:val="24"/>
          <w:u w:val="none"/>
        </w:rPr>
        <w:t>ГОСТ 7.82</w:t>
      </w:r>
      <w:r>
        <w:rPr>
          <w:rStyle w:val="9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>
        <w:rPr>
          <w:rStyle w:val="9"/>
          <w:rFonts w:ascii="Times New Roman" w:hAnsi="Times New Roman" w:cs="Times New Roman"/>
          <w:color w:val="auto"/>
          <w:sz w:val="24"/>
          <w:szCs w:val="24"/>
          <w:u w:val="none"/>
        </w:rPr>
        <w:t xml:space="preserve"> (пример приведен в Приложении Б)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D77A78">
      <w:pPr>
        <w:pStyle w:val="12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Сведения об источниках следует располагать в порядке появления ссылок на источники в тексте отчета и нумеровать арабскими цифрами с точкой и печатать с абзацного отступа.</w:t>
      </w:r>
    </w:p>
    <w:p w14:paraId="598205B7">
      <w:pPr>
        <w:pStyle w:val="12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использованных источников должен включать библиографические записи на документы, использованные при составлении отчета, ссылки на которые оформляют арабскими цифрами в квадратных скобках [1], [3]–[10] в тексте отчета. На каждый источник в тексте отчета должна быть такая ссылка.</w:t>
      </w:r>
    </w:p>
    <w:p w14:paraId="1BD14D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4D0D77">
      <w:pPr>
        <w:pStyle w:val="2"/>
        <w:ind w:firstLine="0"/>
        <w:jc w:val="center"/>
      </w:pPr>
      <w:bookmarkStart w:id="8" w:name="_Toc155608323"/>
      <w:r>
        <w:t>ПРИЛОЖЕНИЕ Б.</w:t>
      </w:r>
      <w:bookmarkStart w:id="9" w:name="Источники"/>
      <w:r>
        <w:br w:type="textWrapping"/>
      </w:r>
      <w:r>
        <w:t>Пример списка использованных источников</w:t>
      </w:r>
      <w:bookmarkEnd w:id="8"/>
      <w:bookmarkEnd w:id="9"/>
    </w:p>
    <w:p w14:paraId="6437E195">
      <w:pPr>
        <w:pStyle w:val="12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0A5AE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0"/>
          <w:lang w:val="en-US" w:eastAsia="ru-RU"/>
        </w:rPr>
        <w:t xml:space="preserve">1.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588357895"/>
          <w:placeholder>
            <w:docPart w:val="FB9A054AEA284DDD980413F1778E44C4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sz w:val="24"/>
              <w:szCs w:val="20"/>
              <w:lang w:val="en-US" w:eastAsia="ru-RU"/>
            </w:rPr>
            <w:t>DeRidder J.L.</w:t>
          </w:r>
        </w:sdtContent>
      </w:sdt>
      <w:r>
        <w:rPr>
          <w:rFonts w:ascii="Times New Roman" w:hAnsi="Times New Roman" w:eastAsia="Calibri" w:cs="Times New Roman"/>
          <w:bCs/>
          <w:sz w:val="24"/>
          <w:szCs w:val="24"/>
          <w:lang w:val="en-US" w:eastAsia="ru-RU"/>
        </w:rPr>
        <w:t xml:space="preserve">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-2126686278"/>
          <w:placeholder>
            <w:docPart w:val="501C6DECA516400EA63D1D3D91EBCEEE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bCs/>
              <w:sz w:val="24"/>
              <w:szCs w:val="20"/>
              <w:lang w:val="en-US" w:eastAsia="ru-RU"/>
            </w:rPr>
            <w:t>The immediate prospects for the application of ontologies in digital libraries</w:t>
          </w:r>
        </w:sdtContent>
      </w:sdt>
      <w:r>
        <w:rPr>
          <w:rFonts w:ascii="Times New Roman" w:hAnsi="Times New Roman" w:eastAsia="Times New Roman" w:cs="Times New Roman"/>
          <w:sz w:val="24"/>
          <w:szCs w:val="20"/>
          <w:lang w:val="en-US" w:eastAsia="ru-RU"/>
        </w:rPr>
        <w:t>//</w:t>
      </w:r>
      <w:r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  <w:t xml:space="preserve">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169459185"/>
          <w:placeholder>
            <w:docPart w:val="F69E90A52FDB4794A8275E7B7862D0DE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bCs/>
              <w:sz w:val="24"/>
              <w:szCs w:val="20"/>
              <w:lang w:val="en-US" w:eastAsia="ru-RU"/>
            </w:rPr>
            <w:t>Knowledge Organization</w:t>
          </w:r>
        </w:sdtContent>
      </w:sdt>
      <w:r>
        <w:rPr>
          <w:lang w:val="en-US"/>
        </w:rPr>
        <w:t xml:space="preserve"> –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204456975"/>
          <w:placeholder>
            <w:docPart w:val="B444E037FBAB4412A6E690247497C094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bCs/>
              <w:sz w:val="24"/>
              <w:szCs w:val="20"/>
              <w:lang w:val="en-US" w:eastAsia="ru-RU"/>
            </w:rPr>
            <w:t>2007</w:t>
          </w:r>
        </w:sdtContent>
      </w:sdt>
      <w:r>
        <w:rPr>
          <w:lang w:val="en-US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  <w:t xml:space="preserve">. –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-1813087639"/>
          <w:placeholder>
            <w:docPart w:val="9E5CC3BFD84C4EE38920758458865FE5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bCs/>
              <w:sz w:val="24"/>
              <w:szCs w:val="20"/>
              <w:lang w:val="en-US" w:eastAsia="ru-RU"/>
            </w:rPr>
            <w:t>Vol. 34, No. 4</w:t>
          </w:r>
        </w:sdtContent>
      </w:sdt>
      <w:r>
        <w:rPr>
          <w:lang w:val="en-US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  <w:t xml:space="preserve">. –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-1634097621"/>
          <w:placeholder>
            <w:docPart w:val="E10F361E09CE401FBEE5B2514C9F0A25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sdt>
            <w:sdtPr>
              <w:rPr>
                <w:rFonts w:ascii="Times New Roman" w:hAnsi="Times New Roman" w:eastAsia="Times New Roman" w:cs="Times New Roman"/>
                <w:bCs/>
                <w:sz w:val="24"/>
                <w:szCs w:val="20"/>
                <w:lang w:eastAsia="ru-RU"/>
              </w:rPr>
              <w:id w:val="1171532116"/>
              <w:placeholder>
                <w:docPart w:val="335A553725A74BE4AB65D52D9F4D59E3"/>
              </w:placeholder>
            </w:sdtPr>
            <w:sdtEndPr>
              <w:rPr>
                <w:rFonts w:ascii="Times New Roman" w:hAnsi="Times New Roman" w:eastAsia="Times New Roman" w:cs="Times New Roman"/>
                <w:bCs/>
                <w:sz w:val="24"/>
                <w:szCs w:val="20"/>
                <w:lang w:eastAsia="ru-RU"/>
              </w:rPr>
            </w:sdtEndPr>
            <w:sdtContent>
              <w:r>
                <w:rPr>
                  <w:rFonts w:ascii="Times New Roman" w:hAnsi="Times New Roman" w:eastAsia="Times New Roman" w:cs="Times New Roman"/>
                  <w:bCs/>
                  <w:sz w:val="24"/>
                  <w:szCs w:val="20"/>
                  <w:lang w:val="en-US" w:eastAsia="ru-RU"/>
                </w:rPr>
                <w:t>P. 227 – 246</w:t>
              </w:r>
            </w:sdtContent>
          </w:sdt>
        </w:sdtContent>
      </w:sdt>
      <w:r>
        <w:rPr>
          <w:lang w:val="en-US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  <w:t>.</w:t>
      </w:r>
    </w:p>
    <w:p w14:paraId="134D62FA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 xml:space="preserve">2.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-1241240053"/>
          <w:placeholder>
            <w:docPart w:val="EDEF4A40F817406D8CBBE2055D1F508B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bCs/>
              <w:sz w:val="24"/>
              <w:szCs w:val="20"/>
              <w:lang w:eastAsia="ru-RU"/>
            </w:rPr>
            <w:t>Прогноз научно-технологического развития Российской Федерации на период до 2030 года</w:t>
          </w:r>
        </w:sdtContent>
      </w:sdt>
      <w: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. – </w:t>
      </w:r>
      <w:r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  <w:t>URL</w:t>
      </w: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: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571396430"/>
          <w:placeholder>
            <w:docPart w:val="F82611ACF56C405EA24DDB8D03025C96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bCs/>
              <w:sz w:val="24"/>
              <w:szCs w:val="20"/>
              <w:lang w:eastAsia="ru-RU"/>
            </w:rPr>
            <w:t xml:space="preserve">http://government.ru/media/files/41d4b737638891da2184/pdf </w:t>
          </w:r>
        </w:sdtContent>
      </w:sdt>
      <w: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(дата обращения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-1604336077"/>
          <w:placeholder>
            <w:docPart w:val="84A8EE8D47C64A0FABC967FF589C2B8C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bCs/>
              <w:sz w:val="24"/>
              <w:szCs w:val="20"/>
              <w:lang w:eastAsia="ru-RU"/>
            </w:rPr>
            <w:t>15.11.2016</w:t>
          </w:r>
        </w:sdtContent>
      </w:sdt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). </w:t>
      </w:r>
    </w:p>
    <w:p w14:paraId="1ADAC04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val="en-US"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  <w:t xml:space="preserve">3.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346676798"/>
          <w:placeholder>
            <w:docPart w:val="80C669C3C08746AC89A4A919BE19DE65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bCs/>
              <w:sz w:val="24"/>
              <w:szCs w:val="20"/>
              <w:lang w:val="en-US" w:eastAsia="ru-RU"/>
            </w:rPr>
            <w:t>U.S. National Library of Medicine. Fact sheet: UMLS Metathesaurus/National Institutes of Health, 2006 – 2013</w:t>
          </w:r>
        </w:sdtContent>
      </w:sdt>
      <w:r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  <w:t xml:space="preserve">. – URL: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1780135035"/>
          <w:placeholder>
            <w:docPart w:val="1CDD1AF7891246199582644BF802BCF0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bCs/>
              <w:sz w:val="24"/>
              <w:szCs w:val="20"/>
              <w:lang w:val="en-US" w:eastAsia="ru-RU"/>
            </w:rPr>
            <w:t>http://www.nlm.nih.gov/pubs/factsheets/umlsmeta.html</w:t>
          </w:r>
        </w:sdtContent>
      </w:sdt>
      <w:r>
        <w:rPr>
          <w:rFonts w:ascii="Times New Roman" w:hAnsi="Times New Roman" w:eastAsia="Times New Roman" w:cs="Times New Roman"/>
          <w:sz w:val="24"/>
          <w:szCs w:val="20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  <w:t>(</w:t>
      </w: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>дата</w:t>
      </w:r>
      <w:r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>обращения</w:t>
      </w:r>
      <w:r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  <w:t xml:space="preserve">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1017113579"/>
          <w:placeholder>
            <w:docPart w:val="D61EA9E6F10A4E66AF979E2A3C14054B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bCs/>
              <w:sz w:val="24"/>
              <w:szCs w:val="20"/>
              <w:lang w:val="en-US" w:eastAsia="ru-RU"/>
            </w:rPr>
            <w:t>2014-12-09</w:t>
          </w:r>
        </w:sdtContent>
      </w:sdt>
      <w:r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  <w:t>).</w:t>
      </w:r>
    </w:p>
    <w:p w14:paraId="550E3044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0"/>
          <w:lang w:val="en-US" w:eastAsia="ru-RU"/>
        </w:rPr>
        <w:t xml:space="preserve">4.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1131902452"/>
          <w:placeholder>
            <w:docPart w:val="39DFC77BADD54F20B5984365B63D10B3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sz w:val="24"/>
              <w:szCs w:val="20"/>
              <w:lang w:val="en-US" w:eastAsia="ru-RU"/>
            </w:rPr>
            <w:t>U.S. National Library of Medicine. Fact sheet: Unfied Medical Language System/National Institutes of Health, 2006 – 2013</w:t>
          </w:r>
        </w:sdtContent>
      </w:sdt>
      <w:r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  <w:t xml:space="preserve">. – URL: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2026818894"/>
          <w:placeholder>
            <w:docPart w:val="12F9CB3C8F0242468FEF2DF12B6244DC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sz w:val="24"/>
              <w:szCs w:val="20"/>
              <w:lang w:val="en-US" w:eastAsia="ru-RU"/>
            </w:rPr>
            <w:t>http://www.nlm.nih.gov/pubs/factsheets/umls.html</w:t>
          </w:r>
        </w:sdtContent>
      </w:sdt>
      <w:r>
        <w:rPr>
          <w:rFonts w:ascii="Times New Roman" w:hAnsi="Times New Roman" w:eastAsia="Times New Roman" w:cs="Times New Roman"/>
          <w:sz w:val="24"/>
          <w:szCs w:val="20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  <w:t>(</w:t>
      </w: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>дата</w:t>
      </w:r>
      <w:r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>обращения</w:t>
      </w:r>
      <w:r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  <w:t xml:space="preserve">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-2038493784"/>
          <w:placeholder>
            <w:docPart w:val="DAA6F35A8EC5430CA42B4B733E272D6F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sz w:val="24"/>
              <w:szCs w:val="20"/>
              <w:lang w:val="en-US" w:eastAsia="ru-RU"/>
            </w:rPr>
            <w:t>2009-12-09</w:t>
          </w:r>
        </w:sdtContent>
      </w:sdt>
      <w:r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  <w:t>).</w:t>
      </w:r>
    </w:p>
    <w:p w14:paraId="1C5E7274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5.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1512341491"/>
          <w:placeholder>
            <w:docPart w:val="49BFA048C6324203BE22112C3FE1A6A2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sz w:val="24"/>
              <w:szCs w:val="20"/>
              <w:lang w:eastAsia="ru-RU"/>
            </w:rPr>
            <w:t>Антопольский А.Б., Белоозеров В.Н.</w:t>
          </w:r>
        </w:sdtContent>
      </w:sdt>
      <w:r>
        <w:rPr>
          <w:rFonts w:ascii="Times New Roman" w:hAnsi="Times New Roman" w:eastAsia="Calibri" w:cs="Times New Roman"/>
          <w:bCs/>
          <w:sz w:val="24"/>
          <w:szCs w:val="24"/>
          <w:lang w:eastAsia="ru-RU"/>
        </w:rPr>
        <w:t xml:space="preserve">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-446615304"/>
          <w:placeholder>
            <w:docPart w:val="F326009A2A9A49B5916CB19448D39A82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sz w:val="24"/>
              <w:szCs w:val="20"/>
              <w:lang w:eastAsia="ru-RU"/>
            </w:rPr>
            <w:t>Процедура формирования макротезауруса политематических информационных систем</w:t>
          </w:r>
        </w:sdtContent>
      </w:sdt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>//</w:t>
      </w: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-638106059"/>
          <w:placeholder>
            <w:docPart w:val="7625ECCE6CD94747A3493F8A20E1FE11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sz w:val="24"/>
              <w:szCs w:val="20"/>
              <w:lang w:eastAsia="ru-RU"/>
            </w:rPr>
            <w:t>Классификация и кодирование</w:t>
          </w:r>
        </w:sdtContent>
      </w:sdt>
      <w:r>
        <w:t xml:space="preserve"> –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-1454548589"/>
          <w:placeholder>
            <w:docPart w:val="1485FD85D5644A7D9FC90A4BA8A5B124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bCs/>
              <w:sz w:val="24"/>
              <w:szCs w:val="20"/>
              <w:lang w:eastAsia="ru-RU"/>
            </w:rPr>
            <w:t>1976</w:t>
          </w:r>
        </w:sdtContent>
      </w:sdt>
      <w: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. –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-1237546217"/>
          <w:placeholder>
            <w:docPart w:val="10498A7401BF4CBE8E20F4AE74E8140B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sz w:val="24"/>
              <w:szCs w:val="20"/>
              <w:lang w:eastAsia="ru-RU"/>
            </w:rPr>
            <w:t>N 1 (57)</w:t>
          </w:r>
        </w:sdtContent>
      </w:sdt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. –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1610167582"/>
          <w:placeholder>
            <w:docPart w:val="8EB89A2D1110487498528AA7386C0514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sdt>
            <w:sdtPr>
              <w:rPr>
                <w:rFonts w:ascii="Times New Roman" w:hAnsi="Times New Roman" w:eastAsia="Times New Roman" w:cs="Times New Roman"/>
                <w:bCs/>
                <w:sz w:val="24"/>
                <w:szCs w:val="20"/>
                <w:lang w:eastAsia="ru-RU"/>
              </w:rPr>
              <w:id w:val="196291491"/>
              <w:placeholder>
                <w:docPart w:val="FFBD2E4BDE5B4ADD8FD3AE63D89EDBB2"/>
              </w:placeholder>
            </w:sdtPr>
            <w:sdtEndPr>
              <w:rPr>
                <w:rFonts w:ascii="Times New Roman" w:hAnsi="Times New Roman" w:eastAsia="Times New Roman" w:cs="Times New Roman"/>
                <w:bCs/>
                <w:sz w:val="24"/>
                <w:szCs w:val="20"/>
                <w:lang w:eastAsia="ru-RU"/>
              </w:rPr>
            </w:sdtEndPr>
            <w:sdtContent>
              <w:r>
                <w:rPr>
                  <w:rFonts w:ascii="Times New Roman" w:hAnsi="Times New Roman" w:eastAsia="Times New Roman" w:cs="Times New Roman"/>
                  <w:bCs/>
                  <w:sz w:val="24"/>
                  <w:szCs w:val="20"/>
                  <w:lang w:eastAsia="ru-RU"/>
                </w:rPr>
                <w:t>С. 25 – 29</w:t>
              </w:r>
            </w:sdtContent>
          </w:sdt>
        </w:sdtContent>
      </w:sdt>
      <w: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>.</w:t>
      </w:r>
    </w:p>
    <w:p w14:paraId="6E598622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 xml:space="preserve">6.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-705178836"/>
          <w:placeholder>
            <w:docPart w:val="ABD5F377D73A45D1A596BC75676D1BEE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bCs/>
              <w:sz w:val="24"/>
              <w:szCs w:val="20"/>
              <w:lang w:eastAsia="ru-RU"/>
            </w:rPr>
            <w:t>Белоозеров В.Н., Федосимов В.И.</w:t>
          </w:r>
        </w:sdtContent>
      </w:sdt>
      <w:r>
        <w:rPr>
          <w:rFonts w:ascii="Times New Roman" w:hAnsi="Times New Roman" w:eastAsia="Calibri" w:cs="Times New Roman"/>
          <w:bCs/>
          <w:sz w:val="24"/>
          <w:szCs w:val="24"/>
          <w:lang w:eastAsia="ru-RU"/>
        </w:rPr>
        <w:t xml:space="preserve">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-1468120641"/>
          <w:placeholder>
            <w:docPart w:val="D27090F4BB7E492599F9517D45316FF6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sz w:val="24"/>
              <w:szCs w:val="20"/>
              <w:lang w:eastAsia="ru-RU"/>
            </w:rPr>
            <w:t>Место макротезауруса в лингвистическом обеспечении сети органов научно-технической информации</w:t>
          </w:r>
        </w:sdtContent>
      </w:sdt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>//</w:t>
      </w: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-1985841938"/>
          <w:placeholder>
            <w:docPart w:val="C6A70FCD95104BDA9195B315CBC76016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sz w:val="24"/>
              <w:szCs w:val="20"/>
              <w:lang w:eastAsia="ru-RU"/>
            </w:rPr>
            <w:t>Проблемы информационных систем</w:t>
          </w:r>
        </w:sdtContent>
      </w:sdt>
      <w:r>
        <w:t xml:space="preserve"> –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662201108"/>
          <w:placeholder>
            <w:docPart w:val="9BE0C82D91C3451582FBAE7121940490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bCs/>
              <w:sz w:val="24"/>
              <w:szCs w:val="20"/>
              <w:lang w:eastAsia="ru-RU"/>
            </w:rPr>
            <w:t>1986</w:t>
          </w:r>
        </w:sdtContent>
      </w:sdt>
      <w: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. –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1030378034"/>
          <w:placeholder>
            <w:docPart w:val="10AE92E658FA4090A913148955FF9A00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sz w:val="24"/>
              <w:szCs w:val="20"/>
              <w:lang w:eastAsia="ru-RU"/>
            </w:rPr>
            <w:t>N 1</w:t>
          </w:r>
        </w:sdtContent>
      </w:sdt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. –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-1703004875"/>
          <w:placeholder>
            <w:docPart w:val="CBAE121C5AFF42598CF32DFCF29A541B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sdt>
            <w:sdtPr>
              <w:rPr>
                <w:rFonts w:ascii="Times New Roman" w:hAnsi="Times New Roman" w:eastAsia="Times New Roman" w:cs="Times New Roman"/>
                <w:bCs/>
                <w:sz w:val="24"/>
                <w:szCs w:val="20"/>
                <w:lang w:eastAsia="ru-RU"/>
              </w:rPr>
              <w:id w:val="1901401912"/>
              <w:placeholder>
                <w:docPart w:val="865C3B4DA716400CA41FC13AA32039EE"/>
              </w:placeholder>
            </w:sdtPr>
            <w:sdtEndPr>
              <w:rPr>
                <w:rFonts w:ascii="Times New Roman" w:hAnsi="Times New Roman" w:eastAsia="Times New Roman" w:cs="Times New Roman"/>
                <w:bCs/>
                <w:sz w:val="24"/>
                <w:szCs w:val="20"/>
                <w:lang w:eastAsia="ru-RU"/>
              </w:rPr>
            </w:sdtEndPr>
            <w:sdtContent>
              <w:r>
                <w:rPr>
                  <w:rFonts w:ascii="Times New Roman" w:hAnsi="Times New Roman" w:eastAsia="Times New Roman" w:cs="Times New Roman"/>
                  <w:bCs/>
                  <w:sz w:val="24"/>
                  <w:szCs w:val="20"/>
                  <w:lang w:eastAsia="ru-RU"/>
                </w:rPr>
                <w:t>С. 6 – 10</w:t>
              </w:r>
            </w:sdtContent>
          </w:sdt>
        </w:sdtContent>
      </w:sdt>
      <w: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>.</w:t>
      </w:r>
    </w:p>
    <w:p w14:paraId="7B7BB6D1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 xml:space="preserve">7.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-695619351"/>
          <w:placeholder>
            <w:docPart w:val="5FD79922603B4C1FA2B120EB016C03A9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sz w:val="24"/>
              <w:szCs w:val="20"/>
              <w:lang w:eastAsia="ru-RU"/>
            </w:rPr>
            <w:t>Гуреев В.Н., Мазов Н.А.</w:t>
          </w:r>
        </w:sdtContent>
      </w:sdt>
      <w:r>
        <w:rPr>
          <w:rFonts w:ascii="Times New Roman" w:hAnsi="Times New Roman" w:eastAsia="Calibri" w:cs="Times New Roman"/>
          <w:bCs/>
          <w:sz w:val="24"/>
          <w:szCs w:val="24"/>
          <w:lang w:eastAsia="ru-RU"/>
        </w:rPr>
        <w:t xml:space="preserve">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827948457"/>
          <w:placeholder>
            <w:docPart w:val="4F52277409C64868B29330F2F7079ACB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sz w:val="24"/>
              <w:szCs w:val="20"/>
              <w:lang w:eastAsia="ru-RU"/>
            </w:rPr>
            <w:t>Использование библиометрии для оценки значимости журналов в научных библиотеках (обзор)</w:t>
          </w:r>
        </w:sdtContent>
      </w:sdt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>//</w:t>
      </w: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699442609"/>
          <w:placeholder>
            <w:docPart w:val="4021FA057D3A463AB4101EFADE841E4D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bCs/>
              <w:sz w:val="24"/>
              <w:szCs w:val="20"/>
              <w:lang w:eastAsia="ru-RU"/>
            </w:rPr>
            <w:t>Научно-техническая информация. Сер. 1.</w:t>
          </w:r>
        </w:sdtContent>
      </w:sdt>
      <w:r>
        <w:t xml:space="preserve"> –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-601408356"/>
          <w:placeholder>
            <w:docPart w:val="B56B693027874B21B1DD2A45404E9691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bCs/>
              <w:sz w:val="24"/>
              <w:szCs w:val="20"/>
              <w:lang w:eastAsia="ru-RU"/>
            </w:rPr>
            <w:t>2015</w:t>
          </w:r>
        </w:sdtContent>
      </w:sdt>
      <w: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. –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1997611784"/>
          <w:placeholder>
            <w:docPart w:val="254D4C87414C49ABABC8F3C86BA1226B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sz w:val="24"/>
              <w:szCs w:val="20"/>
              <w:lang w:eastAsia="ru-RU"/>
            </w:rPr>
            <w:t>N 2</w:t>
          </w:r>
        </w:sdtContent>
      </w:sdt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. –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846903236"/>
          <w:placeholder>
            <w:docPart w:val="D254B1ECE7214730B3DEC0CDF8891B60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sdt>
            <w:sdtPr>
              <w:rPr>
                <w:rFonts w:ascii="Times New Roman" w:hAnsi="Times New Roman" w:eastAsia="Times New Roman" w:cs="Times New Roman"/>
                <w:bCs/>
                <w:sz w:val="24"/>
                <w:szCs w:val="20"/>
                <w:lang w:eastAsia="ru-RU"/>
              </w:rPr>
              <w:id w:val="936100557"/>
              <w:placeholder>
                <w:docPart w:val="DDCC0299810A42CE9AE0DBC0B9A24305"/>
              </w:placeholder>
            </w:sdtPr>
            <w:sdtEndPr>
              <w:rPr>
                <w:rFonts w:ascii="Times New Roman" w:hAnsi="Times New Roman" w:eastAsia="Times New Roman" w:cs="Times New Roman"/>
                <w:bCs/>
                <w:sz w:val="24"/>
                <w:szCs w:val="20"/>
                <w:lang w:eastAsia="ru-RU"/>
              </w:rPr>
            </w:sdtEndPr>
            <w:sdtContent>
              <w:r>
                <w:rPr>
                  <w:rFonts w:ascii="Times New Roman" w:hAnsi="Times New Roman" w:eastAsia="Times New Roman" w:cs="Times New Roman"/>
                  <w:bCs/>
                  <w:sz w:val="24"/>
                  <w:szCs w:val="20"/>
                  <w:lang w:eastAsia="ru-RU"/>
                </w:rPr>
                <w:t>С. 8 – 19</w:t>
              </w:r>
            </w:sdtContent>
          </w:sdt>
        </w:sdtContent>
      </w:sdt>
      <w: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>.</w:t>
      </w:r>
    </w:p>
    <w:p w14:paraId="5421627E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 xml:space="preserve">8.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-266925952"/>
          <w:placeholder>
            <w:docPart w:val="5856368B234F41128BC583CD89B197C8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bCs/>
              <w:sz w:val="24"/>
              <w:szCs w:val="20"/>
              <w:lang w:eastAsia="ru-RU"/>
            </w:rPr>
            <w:t>Земсков А.И., Шрайберг Я.Л.</w:t>
          </w:r>
        </w:sdtContent>
      </w:sdt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1325011057"/>
          <w:placeholder>
            <w:docPart w:val="3F28D767F5B44A9DB3E56D2D9918905C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sz w:val="24"/>
              <w:szCs w:val="20"/>
              <w:lang w:eastAsia="ru-RU"/>
            </w:rPr>
            <w:t>Электронные библиотеки: учебник для вузов.</w:t>
          </w:r>
        </w:sdtContent>
      </w:sdt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 xml:space="preserve"> –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-1987540126"/>
          <w:placeholder>
            <w:docPart w:val="BEB7D59E85EB45528D8457E8EA3D3AA2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bCs/>
              <w:sz w:val="24"/>
              <w:szCs w:val="20"/>
              <w:lang w:eastAsia="ru-RU"/>
            </w:rPr>
            <w:t>М: Либерея, 2003</w:t>
          </w:r>
        </w:sdtContent>
      </w:sdt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. –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1396082591"/>
          <w:placeholder>
            <w:docPart w:val="AC82A8E4906D458C8077E3692F857595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sdt>
            <w:sdtPr>
              <w:rPr>
                <w:rFonts w:ascii="Times New Roman" w:hAnsi="Times New Roman" w:eastAsia="Times New Roman" w:cs="Times New Roman"/>
                <w:bCs/>
                <w:sz w:val="24"/>
                <w:szCs w:val="20"/>
                <w:lang w:eastAsia="ru-RU"/>
              </w:rPr>
              <w:id w:val="1095289044"/>
              <w:placeholder>
                <w:docPart w:val="E39F0DCE9A7349EB80FB53EA5ECF8479"/>
              </w:placeholder>
            </w:sdtPr>
            <w:sdtEndPr>
              <w:rPr>
                <w:rFonts w:ascii="Times New Roman" w:hAnsi="Times New Roman" w:eastAsia="Times New Roman" w:cs="Times New Roman"/>
                <w:bCs/>
                <w:sz w:val="24"/>
                <w:szCs w:val="20"/>
                <w:lang w:eastAsia="ru-RU"/>
              </w:rPr>
            </w:sdtEndPr>
            <w:sdtContent>
              <w:r>
                <w:rPr>
                  <w:rFonts w:ascii="Times New Roman" w:hAnsi="Times New Roman" w:eastAsia="Times New Roman" w:cs="Times New Roman"/>
                  <w:bCs/>
                  <w:sz w:val="24"/>
                  <w:szCs w:val="20"/>
                  <w:lang w:eastAsia="ru-RU"/>
                </w:rPr>
                <w:t xml:space="preserve">351 </w:t>
              </w:r>
            </w:sdtContent>
          </w:sdt>
        </w:sdtContent>
      </w:sdt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>с.</w:t>
      </w:r>
    </w:p>
    <w:p w14:paraId="1FCC4B46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 xml:space="preserve">9.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967246736"/>
          <w:placeholder>
            <w:docPart w:val="351915CCCAF242AB9E6C8C2C3E7A6DFB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sz w:val="24"/>
              <w:szCs w:val="20"/>
              <w:lang w:eastAsia="ru-RU"/>
            </w:rPr>
            <w:t>Костюк К.Н.</w:t>
          </w:r>
        </w:sdtContent>
      </w:sdt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6181617"/>
          <w:placeholder>
            <w:docPart w:val="30FD224EBAD849A5B153DFEFAC3692E4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bCs/>
              <w:sz w:val="24"/>
              <w:szCs w:val="20"/>
              <w:lang w:eastAsia="ru-RU"/>
            </w:rPr>
            <w:t>Книга в новой медицинской среде</w:t>
          </w:r>
        </w:sdtContent>
      </w:sdt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 xml:space="preserve">. – </w:t>
      </w: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907961163"/>
          <w:placeholder>
            <w:docPart w:val="B177F612B36D46039DAD18D775989575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sz w:val="24"/>
              <w:szCs w:val="20"/>
              <w:lang w:eastAsia="ru-RU"/>
            </w:rPr>
            <w:t>М.: Директ-Медиа, 2015</w:t>
          </w:r>
        </w:sdtContent>
      </w:sdt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. –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2046253776"/>
          <w:placeholder>
            <w:docPart w:val="95F5201BD0E44CE99A05E9D937670295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sdt>
            <w:sdtPr>
              <w:rPr>
                <w:rFonts w:ascii="Times New Roman" w:hAnsi="Times New Roman" w:eastAsia="Times New Roman" w:cs="Times New Roman"/>
                <w:bCs/>
                <w:sz w:val="24"/>
                <w:szCs w:val="20"/>
                <w:lang w:eastAsia="ru-RU"/>
              </w:rPr>
              <w:id w:val="791859475"/>
              <w:placeholder>
                <w:docPart w:val="74C053AAFE764931A5ED34F515F64A91"/>
              </w:placeholder>
            </w:sdtPr>
            <w:sdtEndPr>
              <w:rPr>
                <w:rFonts w:ascii="Times New Roman" w:hAnsi="Times New Roman" w:eastAsia="Times New Roman" w:cs="Times New Roman"/>
                <w:bCs/>
                <w:sz w:val="24"/>
                <w:szCs w:val="20"/>
                <w:lang w:eastAsia="ru-RU"/>
              </w:rPr>
            </w:sdtEndPr>
            <w:sdtContent>
              <w:r>
                <w:rPr>
                  <w:rFonts w:ascii="Times New Roman" w:hAnsi="Times New Roman" w:eastAsia="Times New Roman" w:cs="Times New Roman"/>
                  <w:bCs/>
                  <w:sz w:val="24"/>
                  <w:szCs w:val="20"/>
                  <w:lang w:eastAsia="ru-RU"/>
                </w:rPr>
                <w:t xml:space="preserve">430 </w:t>
              </w:r>
            </w:sdtContent>
          </w:sdt>
        </w:sdtContent>
      </w:sdt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>с.</w:t>
      </w:r>
    </w:p>
    <w:p w14:paraId="7B708B8D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 xml:space="preserve">10.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-1508906792"/>
          <w:placeholder>
            <w:docPart w:val="26242F42469E4503B4FAE688966B5D8B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bCs/>
              <w:sz w:val="24"/>
              <w:szCs w:val="20"/>
              <w:lang w:eastAsia="ru-RU"/>
            </w:rPr>
            <w:t>Статистические показатели российского книгоиздания в 2006 г.: цифры и рейтинги [Электронный ресурс]</w:t>
          </w:r>
        </w:sdtContent>
      </w:sdt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. – </w:t>
      </w:r>
      <w:r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  <w:t>URL</w:t>
      </w: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: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535086409"/>
          <w:placeholder>
            <w:docPart w:val="05D8D7ADF96E4E15BBFC30F4586CEB34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sz w:val="24"/>
              <w:szCs w:val="20"/>
              <w:lang w:eastAsia="ru-RU"/>
            </w:rPr>
            <w:t>http://bookhamber.ru/stat_2006.htm</w:t>
          </w:r>
        </w:sdtContent>
      </w:sdt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(дата обращения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-620768536"/>
          <w:placeholder>
            <w:docPart w:val="73577DB34022439A90BC8F695413909D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sz w:val="24"/>
              <w:szCs w:val="20"/>
              <w:lang w:eastAsia="ru-RU"/>
            </w:rPr>
            <w:t>12.03.2009</w:t>
          </w:r>
        </w:sdtContent>
      </w:sdt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>).</w:t>
      </w:r>
    </w:p>
    <w:p w14:paraId="27A6993C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</w:pPr>
      <w:r>
        <w:rPr>
          <w:rFonts w:ascii="Times New Roman" w:hAnsi="Times New Roman" w:eastAsia="Times New Roman" w:cs="Times New Roman"/>
          <w:sz w:val="24"/>
          <w:szCs w:val="20"/>
          <w:lang w:val="en-US" w:eastAsia="ru-RU"/>
        </w:rPr>
        <w:t xml:space="preserve">11.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758181042"/>
          <w:placeholder>
            <w:docPart w:val="F86D7AB1913F43C2AF678BBE669FEFD5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sz w:val="24"/>
              <w:szCs w:val="20"/>
              <w:lang w:val="en-US" w:eastAsia="ru-RU"/>
            </w:rPr>
            <w:t>Web of Science</w:t>
          </w:r>
        </w:sdtContent>
      </w:sdt>
      <w:r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  <w:t xml:space="preserve">. – URL: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-768774440"/>
          <w:placeholder>
            <w:docPart w:val="DB0A5120F87444A1BC47CAD93FB5FA37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sz w:val="24"/>
              <w:szCs w:val="20"/>
              <w:lang w:val="en-US" w:eastAsia="ru-RU"/>
            </w:rPr>
            <w:t>http://apps.webofknowledge.com</w:t>
          </w:r>
        </w:sdtContent>
      </w:sdt>
      <w:r>
        <w:rPr>
          <w:rFonts w:ascii="Times New Roman" w:hAnsi="Times New Roman" w:eastAsia="Times New Roman" w:cs="Times New Roman"/>
          <w:sz w:val="24"/>
          <w:szCs w:val="20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  <w:t>(</w:t>
      </w: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>дата</w:t>
      </w:r>
      <w:r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>обращения</w:t>
      </w:r>
      <w:r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  <w:t xml:space="preserve">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-1665080481"/>
          <w:placeholder>
            <w:docPart w:val="A9DF98720E454DC5B41DE365E7EC8166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sz w:val="24"/>
              <w:szCs w:val="20"/>
              <w:lang w:val="en-US" w:eastAsia="ru-RU"/>
            </w:rPr>
            <w:t>15.11.2016</w:t>
          </w:r>
        </w:sdtContent>
      </w:sdt>
      <w:r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  <w:t>).</w:t>
      </w:r>
    </w:p>
    <w:p w14:paraId="3D5153C3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 xml:space="preserve">12.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-534349784"/>
          <w:placeholder>
            <w:docPart w:val="9C51EF7C742345FD8597422EEEB8E652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sz w:val="24"/>
              <w:szCs w:val="20"/>
              <w:lang w:eastAsia="ru-RU"/>
            </w:rPr>
            <w:t>Леготин Е.Ю.</w:t>
          </w:r>
        </w:sdtContent>
      </w:sdt>
      <w:r>
        <w:rPr>
          <w:rFonts w:ascii="Times New Roman" w:hAnsi="Times New Roman" w:eastAsia="Calibri" w:cs="Times New Roman"/>
          <w:bCs/>
          <w:sz w:val="24"/>
          <w:szCs w:val="24"/>
          <w:lang w:eastAsia="ru-RU"/>
        </w:rPr>
        <w:t xml:space="preserve">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-479079431"/>
          <w:placeholder>
            <w:docPart w:val="2179E5E9443143CC8AC32FA2CA05770B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bCs/>
              <w:sz w:val="24"/>
              <w:szCs w:val="20"/>
              <w:lang w:eastAsia="ru-RU"/>
            </w:rPr>
            <w:t>Организация метаданных в хранилище данных</w:t>
          </w:r>
        </w:sdtContent>
      </w:sdt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>//</w:t>
      </w: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-925876786"/>
          <w:placeholder>
            <w:docPart w:val="9842A0E4AF4D44E892BE76DA71734366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sz w:val="24"/>
              <w:szCs w:val="20"/>
              <w:lang w:eastAsia="ru-RU"/>
            </w:rPr>
            <w:t>Научный поиск. Технические науки: Материалы 3-й науч. конф. аспирантов и докторантов/отв. за вып. С.Д. Ваулин; Юж.-Урал. гос. ун-т. Т. 2.</w:t>
          </w:r>
        </w:sdtContent>
      </w:sdt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 xml:space="preserve"> –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804356851"/>
          <w:placeholder>
            <w:docPart w:val="ED447DBCC0C1452D8D90353D5543E0D0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bCs/>
              <w:sz w:val="24"/>
              <w:szCs w:val="20"/>
              <w:lang w:eastAsia="ru-RU"/>
            </w:rPr>
            <w:t>Челябинск: Издательский центр ЮУрГУ</w:t>
          </w:r>
        </w:sdtContent>
      </w:sdt>
      <w: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, 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694731022"/>
          <w:placeholder>
            <w:docPart w:val="A2DD18A0F2F946FBA8B419584037D19E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bCs/>
              <w:sz w:val="24"/>
              <w:szCs w:val="20"/>
              <w:lang w:eastAsia="ru-RU"/>
            </w:rPr>
            <w:t>2011</w:t>
          </w:r>
        </w:sdtContent>
      </w:sdt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 –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-1767680828"/>
          <w:placeholder>
            <w:docPart w:val="C132C2E74D574D2A8D402BF2C9B22E2F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sdt>
            <w:sdtPr>
              <w:rPr>
                <w:rFonts w:ascii="Times New Roman" w:hAnsi="Times New Roman" w:eastAsia="Times New Roman" w:cs="Times New Roman"/>
                <w:bCs/>
                <w:sz w:val="24"/>
                <w:szCs w:val="20"/>
                <w:lang w:eastAsia="ru-RU"/>
              </w:rPr>
              <w:id w:val="777603558"/>
              <w:placeholder>
                <w:docPart w:val="2E48B5409F1942D6B74196DB9F87BF5D"/>
              </w:placeholder>
            </w:sdtPr>
            <w:sdtEndPr>
              <w:rPr>
                <w:rFonts w:ascii="Times New Roman" w:hAnsi="Times New Roman" w:eastAsia="Times New Roman" w:cs="Times New Roman"/>
                <w:bCs/>
                <w:sz w:val="24"/>
                <w:szCs w:val="20"/>
                <w:lang w:eastAsia="ru-RU"/>
              </w:rPr>
            </w:sdtEndPr>
            <w:sdtContent>
              <w:r>
                <w:rPr>
                  <w:rFonts w:ascii="Times New Roman" w:hAnsi="Times New Roman" w:eastAsia="Times New Roman" w:cs="Times New Roman"/>
                  <w:bCs/>
                  <w:sz w:val="24"/>
                  <w:szCs w:val="20"/>
                  <w:lang w:eastAsia="ru-RU"/>
                </w:rPr>
                <w:t>С.</w:t>
              </w:r>
              <w:r>
                <w:rPr>
                  <w:rFonts w:ascii="Times New Roman" w:hAnsi="Times New Roman" w:eastAsia="Times New Roman" w:cs="Times New Roman"/>
                  <w:sz w:val="24"/>
                  <w:szCs w:val="20"/>
                  <w:lang w:eastAsia="ru-RU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bCs/>
                  <w:sz w:val="24"/>
                  <w:szCs w:val="20"/>
                  <w:lang w:eastAsia="ru-RU"/>
                </w:rPr>
                <w:t>128 – 132</w:t>
              </w:r>
            </w:sdtContent>
          </w:sdt>
        </w:sdtContent>
      </w:sdt>
      <w: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>.</w:t>
      </w:r>
    </w:p>
    <w:p w14:paraId="740725D2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13. 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-335920310"/>
          <w:placeholder>
            <w:docPart w:val="1ECDF3287C95469588D66488575C2C55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bCs/>
              <w:sz w:val="24"/>
              <w:szCs w:val="20"/>
              <w:lang w:eastAsia="ru-RU"/>
            </w:rPr>
            <w:t>Статистические показатели российского книгоиздания в 2006 г.: цифры и рейтинги [Электронный ресурс]. – 2006</w:t>
          </w:r>
        </w:sdtContent>
      </w:sdt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. – </w:t>
      </w:r>
      <w:r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  <w:t>URL</w:t>
      </w: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: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-1309087196"/>
          <w:placeholder>
            <w:docPart w:val="F01E86E7754F4C77A6C1F0256D4CDF53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bCs/>
              <w:sz w:val="24"/>
              <w:szCs w:val="20"/>
              <w:lang w:eastAsia="ru-RU"/>
            </w:rPr>
            <w:t>http://bookhamber.ru/stat_2006.htm</w:t>
          </w:r>
        </w:sdtContent>
      </w:sdt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(дата обращения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-1065565909"/>
          <w:placeholder>
            <w:docPart w:val="212739A32CB74ADA8F81C500D02E6523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bCs/>
              <w:sz w:val="24"/>
              <w:szCs w:val="20"/>
              <w:lang w:eastAsia="ru-RU"/>
            </w:rPr>
            <w:t>12.03.2009</w:t>
          </w:r>
        </w:sdtContent>
      </w:sdt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>).</w:t>
      </w:r>
    </w:p>
    <w:p w14:paraId="5142DC27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 xml:space="preserve">14.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1743062143"/>
          <w:placeholder>
            <w:docPart w:val="A7B3991F438745A89EF6675664647ECB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sz w:val="24"/>
              <w:szCs w:val="20"/>
              <w:lang w:eastAsia="ru-RU"/>
            </w:rPr>
            <w:t>Приказ Минобразования РФ от 19 декабря 2013 г. N 1367 "Об утверждении Порядка организации и осуществления образовательной деятельности по образовательным программам высшего образования – программам бакалавриата, программам специалитета, программам магистратуры"</w:t>
          </w:r>
        </w:sdtContent>
      </w:sdt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. – </w:t>
      </w:r>
      <w:r>
        <w:rPr>
          <w:rFonts w:ascii="Times New Roman" w:hAnsi="Times New Roman" w:eastAsia="Times New Roman" w:cs="Times New Roman"/>
          <w:bCs/>
          <w:sz w:val="24"/>
          <w:szCs w:val="20"/>
          <w:lang w:val="en-US" w:eastAsia="ru-RU"/>
        </w:rPr>
        <w:t>URL</w:t>
      </w: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: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-894814265"/>
          <w:placeholder>
            <w:docPart w:val="31D31C10C6474F77ACBA0ED69E8EFE0A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sz w:val="24"/>
              <w:szCs w:val="20"/>
              <w:lang w:eastAsia="ru-RU"/>
            </w:rPr>
            <w:t>http://www. consultant.ru/document/cons_doc_LAW_159671</w:t>
          </w:r>
        </w:sdtContent>
      </w:sdt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(дата обращения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778382070"/>
          <w:placeholder>
            <w:docPart w:val="498524C601AF4DD59E3DE3B9BAA25068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sz w:val="24"/>
              <w:szCs w:val="20"/>
              <w:lang w:eastAsia="ru-RU"/>
            </w:rPr>
            <w:t>04.08.2016</w:t>
          </w:r>
        </w:sdtContent>
      </w:sdt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>).</w:t>
      </w:r>
    </w:p>
    <w:p w14:paraId="0D04AF8B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 xml:space="preserve">15.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-562025230"/>
          <w:placeholder>
            <w:docPart w:val="97B2AEA0CB1B4C9E809D663461ABCD44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sz w:val="24"/>
              <w:szCs w:val="20"/>
              <w:lang w:eastAsia="ru-RU"/>
            </w:rPr>
            <w:t>ГОСТ 7.0.96-2016</w:t>
          </w:r>
        </w:sdtContent>
      </w:sdt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-1995712630"/>
          <w:placeholder>
            <w:docPart w:val="0DACC86ADB1C44BBAA53567D596BF2EF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sz w:val="24"/>
              <w:szCs w:val="20"/>
              <w:lang w:eastAsia="ru-RU"/>
            </w:rPr>
            <w:t>Система стандартов по информации, библиотечному и издательскому делу. Электронные библиотеки. Основные виды. Структура. Технология формирования.</w:t>
          </w:r>
        </w:sdtContent>
      </w:sdt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 xml:space="preserve"> –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922305060"/>
          <w:placeholder>
            <w:docPart w:val="21581DECFF334E7CBF494BBDFBA3C7E0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r>
            <w:rPr>
              <w:rFonts w:ascii="Times New Roman" w:hAnsi="Times New Roman" w:eastAsia="Times New Roman" w:cs="Times New Roman"/>
              <w:bCs/>
              <w:sz w:val="24"/>
              <w:szCs w:val="20"/>
              <w:lang w:eastAsia="ru-RU"/>
            </w:rPr>
            <w:t>М: Стандартинформ, 2016</w:t>
          </w:r>
        </w:sdtContent>
      </w:sdt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 xml:space="preserve">. – </w:t>
      </w:r>
      <w:sdt>
        <w:sdt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  <w:id w:val="-1040426580"/>
          <w:placeholder>
            <w:docPart w:val="D36188BA7D634CA69781EBB6CDD67769"/>
          </w:placeholder>
        </w:sdtPr>
        <w:sdtEndPr>
          <w:rPr>
            <w:rFonts w:ascii="Times New Roman" w:hAnsi="Times New Roman" w:eastAsia="Times New Roman" w:cs="Times New Roman"/>
            <w:bCs/>
            <w:sz w:val="24"/>
            <w:szCs w:val="20"/>
            <w:lang w:eastAsia="ru-RU"/>
          </w:rPr>
        </w:sdtEndPr>
        <w:sdtContent>
          <w:sdt>
            <w:sdtPr>
              <w:rPr>
                <w:rFonts w:ascii="Times New Roman" w:hAnsi="Times New Roman" w:eastAsia="Times New Roman" w:cs="Times New Roman"/>
                <w:bCs/>
                <w:sz w:val="24"/>
                <w:szCs w:val="20"/>
                <w:lang w:eastAsia="ru-RU"/>
              </w:rPr>
              <w:id w:val="1879741653"/>
              <w:placeholder>
                <w:docPart w:val="54A37587FBD54183BABF67F21F798470"/>
              </w:placeholder>
            </w:sdtPr>
            <w:sdtEndPr>
              <w:rPr>
                <w:rFonts w:ascii="Times New Roman" w:hAnsi="Times New Roman" w:eastAsia="Times New Roman" w:cs="Times New Roman"/>
                <w:bCs/>
                <w:sz w:val="24"/>
                <w:szCs w:val="20"/>
                <w:lang w:eastAsia="ru-RU"/>
              </w:rPr>
            </w:sdtEndPr>
            <w:sdtContent>
              <w:r>
                <w:rPr>
                  <w:rFonts w:ascii="Times New Roman" w:hAnsi="Times New Roman" w:eastAsia="Times New Roman" w:cs="Times New Roman"/>
                  <w:bCs/>
                  <w:sz w:val="24"/>
                  <w:szCs w:val="20"/>
                  <w:lang w:eastAsia="ru-RU"/>
                </w:rPr>
                <w:t xml:space="preserve">16 </w:t>
              </w:r>
            </w:sdtContent>
          </w:sdt>
        </w:sdtContent>
      </w:sdt>
      <w:r>
        <w:rPr>
          <w:rFonts w:ascii="Times New Roman" w:hAnsi="Times New Roman" w:eastAsia="Times New Roman" w:cs="Times New Roman"/>
          <w:sz w:val="24"/>
          <w:szCs w:val="20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0"/>
          <w:lang w:eastAsia="ru-RU"/>
        </w:rPr>
        <w:t>с.</w:t>
      </w:r>
    </w:p>
    <w:p w14:paraId="07CF2624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</w:p>
    <w:p w14:paraId="74DFE05F">
      <w:pPr>
        <w:widowControl w:val="0"/>
        <w:autoSpaceDE w:val="0"/>
        <w:autoSpaceDN w:val="0"/>
        <w:spacing w:before="220" w:after="0" w:line="360" w:lineRule="auto"/>
        <w:ind w:firstLine="54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 w14:paraId="2D122D7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>
      <w:footerReference r:id="rId6" w:type="first"/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90129601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B012A90">
        <w:pPr>
          <w:pStyle w:val="17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PAGE   \* MERGEFORMAT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40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6CA8B23">
    <w:pPr>
      <w:pStyle w:val="1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3E5081">
    <w:pPr>
      <w:pStyle w:val="17"/>
      <w:jc w:val="center"/>
    </w:pPr>
  </w:p>
  <w:p w14:paraId="38A36032">
    <w:pPr>
      <w:pStyle w:val="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46DA4"/>
    <w:multiLevelType w:val="multilevel"/>
    <w:tmpl w:val="1A346DA4"/>
    <w:lvl w:ilvl="0" w:tentative="0">
      <w:start w:val="1"/>
      <w:numFmt w:val="bullet"/>
      <w:lvlText w:val=""/>
      <w:lvlJc w:val="left"/>
      <w:pPr>
        <w:ind w:left="1485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20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2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4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6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8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0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2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45" w:hanging="360"/>
      </w:pPr>
      <w:rPr>
        <w:rFonts w:hint="default" w:ascii="Wingdings" w:hAnsi="Wingdings"/>
      </w:rPr>
    </w:lvl>
  </w:abstractNum>
  <w:abstractNum w:abstractNumId="1">
    <w:nsid w:val="4C1A3614"/>
    <w:multiLevelType w:val="multilevel"/>
    <w:tmpl w:val="4C1A3614"/>
    <w:lvl w:ilvl="0" w:tentative="0">
      <w:start w:val="1"/>
      <w:numFmt w:val="bullet"/>
      <w:lvlText w:val=""/>
      <w:lvlJc w:val="left"/>
      <w:pPr>
        <w:ind w:left="2205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9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8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5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65" w:hanging="360"/>
      </w:pPr>
      <w:rPr>
        <w:rFonts w:hint="default" w:ascii="Wingdings" w:hAnsi="Wingdings"/>
      </w:rPr>
    </w:lvl>
  </w:abstractNum>
  <w:abstractNum w:abstractNumId="2">
    <w:nsid w:val="63E2335B"/>
    <w:multiLevelType w:val="multilevel"/>
    <w:tmpl w:val="63E2335B"/>
    <w:lvl w:ilvl="0" w:tentative="0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24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96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685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32291"/>
    <w:rsid w:val="00003E77"/>
    <w:rsid w:val="00007616"/>
    <w:rsid w:val="00012D20"/>
    <w:rsid w:val="00014EAD"/>
    <w:rsid w:val="00020399"/>
    <w:rsid w:val="000249BC"/>
    <w:rsid w:val="00030E0F"/>
    <w:rsid w:val="00036581"/>
    <w:rsid w:val="00036F23"/>
    <w:rsid w:val="000411F8"/>
    <w:rsid w:val="00044166"/>
    <w:rsid w:val="00046FDC"/>
    <w:rsid w:val="00067664"/>
    <w:rsid w:val="000703AD"/>
    <w:rsid w:val="00070DE5"/>
    <w:rsid w:val="0007526D"/>
    <w:rsid w:val="00081ED6"/>
    <w:rsid w:val="000860E2"/>
    <w:rsid w:val="00093DE1"/>
    <w:rsid w:val="000B22B4"/>
    <w:rsid w:val="000B3D35"/>
    <w:rsid w:val="000B45B0"/>
    <w:rsid w:val="000C3414"/>
    <w:rsid w:val="000C5838"/>
    <w:rsid w:val="000C645E"/>
    <w:rsid w:val="000D3A9D"/>
    <w:rsid w:val="000D3C6A"/>
    <w:rsid w:val="000D6DC9"/>
    <w:rsid w:val="000E0B5B"/>
    <w:rsid w:val="000E1AE8"/>
    <w:rsid w:val="000E5946"/>
    <w:rsid w:val="000F27A1"/>
    <w:rsid w:val="00103D6F"/>
    <w:rsid w:val="00103FA8"/>
    <w:rsid w:val="00105614"/>
    <w:rsid w:val="001069F2"/>
    <w:rsid w:val="00107A41"/>
    <w:rsid w:val="00110F43"/>
    <w:rsid w:val="00120E57"/>
    <w:rsid w:val="00122881"/>
    <w:rsid w:val="00122C0E"/>
    <w:rsid w:val="00123382"/>
    <w:rsid w:val="001239FE"/>
    <w:rsid w:val="0012404A"/>
    <w:rsid w:val="00127BC2"/>
    <w:rsid w:val="00127F91"/>
    <w:rsid w:val="00132291"/>
    <w:rsid w:val="00141FD4"/>
    <w:rsid w:val="0016627C"/>
    <w:rsid w:val="00170EA6"/>
    <w:rsid w:val="00180AAA"/>
    <w:rsid w:val="00182022"/>
    <w:rsid w:val="00183B27"/>
    <w:rsid w:val="001929D5"/>
    <w:rsid w:val="001A472B"/>
    <w:rsid w:val="001A72BF"/>
    <w:rsid w:val="001A7A74"/>
    <w:rsid w:val="001B42AF"/>
    <w:rsid w:val="001C0A3C"/>
    <w:rsid w:val="001C0A81"/>
    <w:rsid w:val="001C114A"/>
    <w:rsid w:val="001C331D"/>
    <w:rsid w:val="001C5006"/>
    <w:rsid w:val="001C71CE"/>
    <w:rsid w:val="001D5592"/>
    <w:rsid w:val="001D6A94"/>
    <w:rsid w:val="001E2603"/>
    <w:rsid w:val="001E4CFF"/>
    <w:rsid w:val="001F61F0"/>
    <w:rsid w:val="00205741"/>
    <w:rsid w:val="00214405"/>
    <w:rsid w:val="002249A4"/>
    <w:rsid w:val="002325D1"/>
    <w:rsid w:val="00241E53"/>
    <w:rsid w:val="0024593F"/>
    <w:rsid w:val="00246B13"/>
    <w:rsid w:val="002536EF"/>
    <w:rsid w:val="0025459F"/>
    <w:rsid w:val="002560F9"/>
    <w:rsid w:val="00261922"/>
    <w:rsid w:val="00262529"/>
    <w:rsid w:val="002664D9"/>
    <w:rsid w:val="00270B1C"/>
    <w:rsid w:val="00280749"/>
    <w:rsid w:val="00285D94"/>
    <w:rsid w:val="002C505D"/>
    <w:rsid w:val="002D66DF"/>
    <w:rsid w:val="002E20A9"/>
    <w:rsid w:val="002E7493"/>
    <w:rsid w:val="002F72D8"/>
    <w:rsid w:val="00315A47"/>
    <w:rsid w:val="00315AC7"/>
    <w:rsid w:val="003201F6"/>
    <w:rsid w:val="00325DEF"/>
    <w:rsid w:val="0033169E"/>
    <w:rsid w:val="00332332"/>
    <w:rsid w:val="003323AB"/>
    <w:rsid w:val="00333EBF"/>
    <w:rsid w:val="003404EE"/>
    <w:rsid w:val="00340DF9"/>
    <w:rsid w:val="003526F1"/>
    <w:rsid w:val="00355CF8"/>
    <w:rsid w:val="00355FBB"/>
    <w:rsid w:val="00356CA1"/>
    <w:rsid w:val="0036415A"/>
    <w:rsid w:val="003668BB"/>
    <w:rsid w:val="0039523E"/>
    <w:rsid w:val="003A38ED"/>
    <w:rsid w:val="003A4F57"/>
    <w:rsid w:val="003B183D"/>
    <w:rsid w:val="003B5668"/>
    <w:rsid w:val="003C1C73"/>
    <w:rsid w:val="003D1475"/>
    <w:rsid w:val="003D32F9"/>
    <w:rsid w:val="003E2B94"/>
    <w:rsid w:val="003E3EBC"/>
    <w:rsid w:val="003E4D76"/>
    <w:rsid w:val="003E7965"/>
    <w:rsid w:val="003F2C76"/>
    <w:rsid w:val="003F56E5"/>
    <w:rsid w:val="003F6C1B"/>
    <w:rsid w:val="00416FF0"/>
    <w:rsid w:val="00417EDE"/>
    <w:rsid w:val="004211B0"/>
    <w:rsid w:val="0043543B"/>
    <w:rsid w:val="00443B1C"/>
    <w:rsid w:val="00444B40"/>
    <w:rsid w:val="0045201B"/>
    <w:rsid w:val="004614B8"/>
    <w:rsid w:val="0047773F"/>
    <w:rsid w:val="004828D5"/>
    <w:rsid w:val="004862C7"/>
    <w:rsid w:val="00490AB6"/>
    <w:rsid w:val="004A0036"/>
    <w:rsid w:val="004A3710"/>
    <w:rsid w:val="004B301E"/>
    <w:rsid w:val="004C6C5F"/>
    <w:rsid w:val="004D38BE"/>
    <w:rsid w:val="004D69CE"/>
    <w:rsid w:val="004D7B0B"/>
    <w:rsid w:val="004E05B8"/>
    <w:rsid w:val="004E1951"/>
    <w:rsid w:val="004E67B2"/>
    <w:rsid w:val="004F130F"/>
    <w:rsid w:val="004F5A58"/>
    <w:rsid w:val="0050037D"/>
    <w:rsid w:val="005154A8"/>
    <w:rsid w:val="0052083B"/>
    <w:rsid w:val="005225F0"/>
    <w:rsid w:val="00524F78"/>
    <w:rsid w:val="0052676B"/>
    <w:rsid w:val="00526835"/>
    <w:rsid w:val="005359E5"/>
    <w:rsid w:val="0054073F"/>
    <w:rsid w:val="00540919"/>
    <w:rsid w:val="0054512B"/>
    <w:rsid w:val="00550376"/>
    <w:rsid w:val="00551C7A"/>
    <w:rsid w:val="00561913"/>
    <w:rsid w:val="0057364B"/>
    <w:rsid w:val="0059435E"/>
    <w:rsid w:val="0059470F"/>
    <w:rsid w:val="00597D8D"/>
    <w:rsid w:val="005A359D"/>
    <w:rsid w:val="005B51E0"/>
    <w:rsid w:val="005C28E0"/>
    <w:rsid w:val="005C336F"/>
    <w:rsid w:val="005D035B"/>
    <w:rsid w:val="005D55EE"/>
    <w:rsid w:val="005F5424"/>
    <w:rsid w:val="006033A8"/>
    <w:rsid w:val="0061523B"/>
    <w:rsid w:val="00621BC2"/>
    <w:rsid w:val="00625922"/>
    <w:rsid w:val="006317DE"/>
    <w:rsid w:val="0063319E"/>
    <w:rsid w:val="006331A9"/>
    <w:rsid w:val="00640A9C"/>
    <w:rsid w:val="00645D30"/>
    <w:rsid w:val="006517EB"/>
    <w:rsid w:val="00670DE9"/>
    <w:rsid w:val="006746D2"/>
    <w:rsid w:val="00677E29"/>
    <w:rsid w:val="0068288E"/>
    <w:rsid w:val="00683F4D"/>
    <w:rsid w:val="00692880"/>
    <w:rsid w:val="006A27E2"/>
    <w:rsid w:val="006A287C"/>
    <w:rsid w:val="006A5AB9"/>
    <w:rsid w:val="006C0465"/>
    <w:rsid w:val="006C40C2"/>
    <w:rsid w:val="006C502B"/>
    <w:rsid w:val="006D0EAC"/>
    <w:rsid w:val="006D354E"/>
    <w:rsid w:val="006D68AA"/>
    <w:rsid w:val="006F0910"/>
    <w:rsid w:val="006F0972"/>
    <w:rsid w:val="006F1193"/>
    <w:rsid w:val="006F4AD0"/>
    <w:rsid w:val="00700DAC"/>
    <w:rsid w:val="00702E90"/>
    <w:rsid w:val="00724FED"/>
    <w:rsid w:val="00751786"/>
    <w:rsid w:val="00762F68"/>
    <w:rsid w:val="0077136A"/>
    <w:rsid w:val="0077461F"/>
    <w:rsid w:val="00786146"/>
    <w:rsid w:val="00791B7C"/>
    <w:rsid w:val="00793D1B"/>
    <w:rsid w:val="00794230"/>
    <w:rsid w:val="00794AAF"/>
    <w:rsid w:val="007A0097"/>
    <w:rsid w:val="007A12F9"/>
    <w:rsid w:val="007A3748"/>
    <w:rsid w:val="007B3D86"/>
    <w:rsid w:val="007B5CEA"/>
    <w:rsid w:val="007C1A0A"/>
    <w:rsid w:val="007C6E79"/>
    <w:rsid w:val="007D1111"/>
    <w:rsid w:val="007D28B7"/>
    <w:rsid w:val="007D403A"/>
    <w:rsid w:val="007D4A60"/>
    <w:rsid w:val="007D705A"/>
    <w:rsid w:val="007E7BA4"/>
    <w:rsid w:val="007F188D"/>
    <w:rsid w:val="00801601"/>
    <w:rsid w:val="00810975"/>
    <w:rsid w:val="008128D0"/>
    <w:rsid w:val="008178B9"/>
    <w:rsid w:val="00823F4E"/>
    <w:rsid w:val="00826984"/>
    <w:rsid w:val="00830614"/>
    <w:rsid w:val="00831364"/>
    <w:rsid w:val="008471A3"/>
    <w:rsid w:val="00850322"/>
    <w:rsid w:val="0085425F"/>
    <w:rsid w:val="008636B0"/>
    <w:rsid w:val="00866BC2"/>
    <w:rsid w:val="00866D77"/>
    <w:rsid w:val="0088152A"/>
    <w:rsid w:val="008870D6"/>
    <w:rsid w:val="00895521"/>
    <w:rsid w:val="008A3531"/>
    <w:rsid w:val="008A3A2A"/>
    <w:rsid w:val="008A3CA3"/>
    <w:rsid w:val="008A5521"/>
    <w:rsid w:val="008A5C64"/>
    <w:rsid w:val="008A76A4"/>
    <w:rsid w:val="008B18AC"/>
    <w:rsid w:val="008B520A"/>
    <w:rsid w:val="008B55AF"/>
    <w:rsid w:val="008B664E"/>
    <w:rsid w:val="008C77BF"/>
    <w:rsid w:val="008D4313"/>
    <w:rsid w:val="008D6B59"/>
    <w:rsid w:val="00902402"/>
    <w:rsid w:val="00912C26"/>
    <w:rsid w:val="009150B7"/>
    <w:rsid w:val="00921EA9"/>
    <w:rsid w:val="00923A6E"/>
    <w:rsid w:val="00934BF5"/>
    <w:rsid w:val="00934D45"/>
    <w:rsid w:val="00940F0C"/>
    <w:rsid w:val="0095421D"/>
    <w:rsid w:val="00957B30"/>
    <w:rsid w:val="00963DFC"/>
    <w:rsid w:val="00965CDB"/>
    <w:rsid w:val="009668B1"/>
    <w:rsid w:val="00971232"/>
    <w:rsid w:val="00971613"/>
    <w:rsid w:val="00971F40"/>
    <w:rsid w:val="00972F94"/>
    <w:rsid w:val="00974A41"/>
    <w:rsid w:val="0098118D"/>
    <w:rsid w:val="00981657"/>
    <w:rsid w:val="0098202F"/>
    <w:rsid w:val="009827FF"/>
    <w:rsid w:val="00993771"/>
    <w:rsid w:val="009A2F9A"/>
    <w:rsid w:val="009A46A8"/>
    <w:rsid w:val="009B7C41"/>
    <w:rsid w:val="009B7D2D"/>
    <w:rsid w:val="009C0B17"/>
    <w:rsid w:val="009C4395"/>
    <w:rsid w:val="009D5971"/>
    <w:rsid w:val="009E6A0E"/>
    <w:rsid w:val="009E6FED"/>
    <w:rsid w:val="00A04076"/>
    <w:rsid w:val="00A1425D"/>
    <w:rsid w:val="00A162F4"/>
    <w:rsid w:val="00A17D3D"/>
    <w:rsid w:val="00A2660F"/>
    <w:rsid w:val="00A309AF"/>
    <w:rsid w:val="00A32F29"/>
    <w:rsid w:val="00A355C2"/>
    <w:rsid w:val="00A411C1"/>
    <w:rsid w:val="00A41FD3"/>
    <w:rsid w:val="00A451A6"/>
    <w:rsid w:val="00A600AA"/>
    <w:rsid w:val="00A61682"/>
    <w:rsid w:val="00A73002"/>
    <w:rsid w:val="00A75D1A"/>
    <w:rsid w:val="00A82ADC"/>
    <w:rsid w:val="00A8506A"/>
    <w:rsid w:val="00AA2516"/>
    <w:rsid w:val="00AA5FA9"/>
    <w:rsid w:val="00AB45DF"/>
    <w:rsid w:val="00AB5FD8"/>
    <w:rsid w:val="00AC5246"/>
    <w:rsid w:val="00AD04DC"/>
    <w:rsid w:val="00AE0FE1"/>
    <w:rsid w:val="00AE10B2"/>
    <w:rsid w:val="00AE4305"/>
    <w:rsid w:val="00AE7F6B"/>
    <w:rsid w:val="00AF2AE5"/>
    <w:rsid w:val="00AF4B9C"/>
    <w:rsid w:val="00AF6B59"/>
    <w:rsid w:val="00B01880"/>
    <w:rsid w:val="00B04373"/>
    <w:rsid w:val="00B11A11"/>
    <w:rsid w:val="00B11B45"/>
    <w:rsid w:val="00B14008"/>
    <w:rsid w:val="00B20454"/>
    <w:rsid w:val="00B243E2"/>
    <w:rsid w:val="00B30A5B"/>
    <w:rsid w:val="00B41CE1"/>
    <w:rsid w:val="00B41DF0"/>
    <w:rsid w:val="00B46A80"/>
    <w:rsid w:val="00B46BF3"/>
    <w:rsid w:val="00B476DC"/>
    <w:rsid w:val="00B53AE4"/>
    <w:rsid w:val="00B664E9"/>
    <w:rsid w:val="00B7598D"/>
    <w:rsid w:val="00B80F61"/>
    <w:rsid w:val="00B90D5B"/>
    <w:rsid w:val="00B91C8F"/>
    <w:rsid w:val="00B97871"/>
    <w:rsid w:val="00BA137F"/>
    <w:rsid w:val="00BA19B6"/>
    <w:rsid w:val="00BA58C0"/>
    <w:rsid w:val="00BC6588"/>
    <w:rsid w:val="00BD397E"/>
    <w:rsid w:val="00BD4C6F"/>
    <w:rsid w:val="00BD7913"/>
    <w:rsid w:val="00BE1547"/>
    <w:rsid w:val="00BF4224"/>
    <w:rsid w:val="00BF57B1"/>
    <w:rsid w:val="00C03F1C"/>
    <w:rsid w:val="00C212EB"/>
    <w:rsid w:val="00C25F95"/>
    <w:rsid w:val="00C60146"/>
    <w:rsid w:val="00C66701"/>
    <w:rsid w:val="00C73C3D"/>
    <w:rsid w:val="00C916D2"/>
    <w:rsid w:val="00C96652"/>
    <w:rsid w:val="00C97297"/>
    <w:rsid w:val="00C9757C"/>
    <w:rsid w:val="00CA43FE"/>
    <w:rsid w:val="00CA64B3"/>
    <w:rsid w:val="00CB774B"/>
    <w:rsid w:val="00CC072D"/>
    <w:rsid w:val="00CC31C2"/>
    <w:rsid w:val="00CC3A97"/>
    <w:rsid w:val="00CD1DED"/>
    <w:rsid w:val="00CD4C4A"/>
    <w:rsid w:val="00CE06E9"/>
    <w:rsid w:val="00CE2FC6"/>
    <w:rsid w:val="00CE4BF1"/>
    <w:rsid w:val="00CE59CA"/>
    <w:rsid w:val="00CF00CF"/>
    <w:rsid w:val="00CF217F"/>
    <w:rsid w:val="00CF33FC"/>
    <w:rsid w:val="00D0306D"/>
    <w:rsid w:val="00D04010"/>
    <w:rsid w:val="00D12528"/>
    <w:rsid w:val="00D30E8C"/>
    <w:rsid w:val="00D33A3A"/>
    <w:rsid w:val="00D405A8"/>
    <w:rsid w:val="00D52822"/>
    <w:rsid w:val="00D52B37"/>
    <w:rsid w:val="00D55BAF"/>
    <w:rsid w:val="00D56258"/>
    <w:rsid w:val="00D56F7A"/>
    <w:rsid w:val="00D57E87"/>
    <w:rsid w:val="00D619CC"/>
    <w:rsid w:val="00D7064E"/>
    <w:rsid w:val="00D756EC"/>
    <w:rsid w:val="00D86748"/>
    <w:rsid w:val="00D91695"/>
    <w:rsid w:val="00D91EBD"/>
    <w:rsid w:val="00D956C8"/>
    <w:rsid w:val="00D96956"/>
    <w:rsid w:val="00DA03E0"/>
    <w:rsid w:val="00DA2034"/>
    <w:rsid w:val="00DA22C3"/>
    <w:rsid w:val="00DA3515"/>
    <w:rsid w:val="00DA3711"/>
    <w:rsid w:val="00DA7780"/>
    <w:rsid w:val="00DB1CE4"/>
    <w:rsid w:val="00DB5462"/>
    <w:rsid w:val="00DB5845"/>
    <w:rsid w:val="00DB71C8"/>
    <w:rsid w:val="00DD1514"/>
    <w:rsid w:val="00DE011F"/>
    <w:rsid w:val="00DE11B2"/>
    <w:rsid w:val="00DE375B"/>
    <w:rsid w:val="00DF31CA"/>
    <w:rsid w:val="00DF3322"/>
    <w:rsid w:val="00E03AD7"/>
    <w:rsid w:val="00E14DB1"/>
    <w:rsid w:val="00E15E6A"/>
    <w:rsid w:val="00E1734C"/>
    <w:rsid w:val="00E231CC"/>
    <w:rsid w:val="00E273C9"/>
    <w:rsid w:val="00E308C6"/>
    <w:rsid w:val="00E3110D"/>
    <w:rsid w:val="00E3507B"/>
    <w:rsid w:val="00E37299"/>
    <w:rsid w:val="00E44AA0"/>
    <w:rsid w:val="00E45104"/>
    <w:rsid w:val="00E46E02"/>
    <w:rsid w:val="00E5073F"/>
    <w:rsid w:val="00E5558C"/>
    <w:rsid w:val="00E61E40"/>
    <w:rsid w:val="00E67ECD"/>
    <w:rsid w:val="00E72454"/>
    <w:rsid w:val="00E932F3"/>
    <w:rsid w:val="00EB4C64"/>
    <w:rsid w:val="00EB6934"/>
    <w:rsid w:val="00ED1F7D"/>
    <w:rsid w:val="00ED35D1"/>
    <w:rsid w:val="00EE3212"/>
    <w:rsid w:val="00EE3763"/>
    <w:rsid w:val="00EE4A5A"/>
    <w:rsid w:val="00EF405F"/>
    <w:rsid w:val="00EF4647"/>
    <w:rsid w:val="00EF4F82"/>
    <w:rsid w:val="00EF6A6F"/>
    <w:rsid w:val="00F140A2"/>
    <w:rsid w:val="00F16389"/>
    <w:rsid w:val="00F32544"/>
    <w:rsid w:val="00F33769"/>
    <w:rsid w:val="00F35606"/>
    <w:rsid w:val="00F356EE"/>
    <w:rsid w:val="00F4709B"/>
    <w:rsid w:val="00F521B5"/>
    <w:rsid w:val="00F52D80"/>
    <w:rsid w:val="00F61027"/>
    <w:rsid w:val="00F760BC"/>
    <w:rsid w:val="00F767B7"/>
    <w:rsid w:val="00F80339"/>
    <w:rsid w:val="00F86755"/>
    <w:rsid w:val="00F87065"/>
    <w:rsid w:val="00F91C56"/>
    <w:rsid w:val="00F95E72"/>
    <w:rsid w:val="00F96CC9"/>
    <w:rsid w:val="00FB002B"/>
    <w:rsid w:val="00FB49E5"/>
    <w:rsid w:val="00FD442A"/>
    <w:rsid w:val="00FF0DCF"/>
    <w:rsid w:val="00FF298F"/>
    <w:rsid w:val="3D88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after="0" w:line="360" w:lineRule="auto"/>
      <w:ind w:firstLine="709"/>
      <w:outlineLvl w:val="0"/>
    </w:pPr>
    <w:rPr>
      <w:rFonts w:ascii="Times New Roman" w:hAnsi="Times New Roman" w:cs="Times New Roman" w:eastAsiaTheme="majorEastAsia"/>
      <w:b/>
      <w:bCs/>
      <w:sz w:val="24"/>
      <w:szCs w:val="2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hAnsi="Times New Roman" w:cs="Times New Roman" w:eastAsiaTheme="majorEastAsia"/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800080" w:themeColor="followedHyperlink"/>
      <w:u w:val="single"/>
    </w:rPr>
  </w:style>
  <w:style w:type="character" w:styleId="7">
    <w:name w:val="footnote reference"/>
    <w:basedOn w:val="4"/>
    <w:qFormat/>
    <w:uiPriority w:val="0"/>
    <w:rPr>
      <w:vertAlign w:val="superscript"/>
    </w:rPr>
  </w:style>
  <w:style w:type="character" w:styleId="8">
    <w:name w:val="annotation reference"/>
    <w:basedOn w:val="4"/>
    <w:semiHidden/>
    <w:unhideWhenUsed/>
    <w:qFormat/>
    <w:uiPriority w:val="99"/>
    <w:rPr>
      <w:sz w:val="16"/>
      <w:szCs w:val="16"/>
    </w:rPr>
  </w:style>
  <w:style w:type="character" w:styleId="9">
    <w:name w:val="Hyperlink"/>
    <w:basedOn w:val="4"/>
    <w:unhideWhenUsed/>
    <w:qFormat/>
    <w:uiPriority w:val="99"/>
    <w:rPr>
      <w:color w:val="0000FF" w:themeColor="hyperlink"/>
      <w:u w:val="single"/>
    </w:rPr>
  </w:style>
  <w:style w:type="paragraph" w:styleId="10">
    <w:name w:val="Balloon Text"/>
    <w:basedOn w:val="1"/>
    <w:link w:val="2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annotation text"/>
    <w:basedOn w:val="1"/>
    <w:link w:val="30"/>
    <w:semiHidden/>
    <w:unhideWhenUsed/>
    <w:qFormat/>
    <w:uiPriority w:val="9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12">
    <w:name w:val="footnote text"/>
    <w:basedOn w:val="1"/>
    <w:link w:val="23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13">
    <w:name w:val="header"/>
    <w:basedOn w:val="1"/>
    <w:link w:val="2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4">
    <w:name w:val="toc 1"/>
    <w:basedOn w:val="1"/>
    <w:next w:val="1"/>
    <w:autoRedefine/>
    <w:unhideWhenUsed/>
    <w:qFormat/>
    <w:uiPriority w:val="39"/>
    <w:pPr>
      <w:spacing w:after="100" w:line="360" w:lineRule="auto"/>
      <w:jc w:val="both"/>
    </w:pPr>
    <w:rPr>
      <w:rFonts w:ascii="Times New Roman" w:hAnsi="Times New Roman"/>
      <w:sz w:val="24"/>
    </w:rPr>
  </w:style>
  <w:style w:type="paragraph" w:styleId="15">
    <w:name w:val="toc 3"/>
    <w:basedOn w:val="1"/>
    <w:next w:val="1"/>
    <w:autoRedefine/>
    <w:semiHidden/>
    <w:unhideWhenUsed/>
    <w:qFormat/>
    <w:uiPriority w:val="39"/>
    <w:pPr>
      <w:spacing w:after="100" w:line="360" w:lineRule="auto"/>
      <w:ind w:left="440"/>
      <w:jc w:val="both"/>
    </w:pPr>
    <w:rPr>
      <w:rFonts w:ascii="Times New Roman" w:hAnsi="Times New Roman"/>
      <w:sz w:val="24"/>
    </w:rPr>
  </w:style>
  <w:style w:type="paragraph" w:styleId="16">
    <w:name w:val="toc 2"/>
    <w:basedOn w:val="1"/>
    <w:next w:val="1"/>
    <w:autoRedefine/>
    <w:unhideWhenUsed/>
    <w:qFormat/>
    <w:uiPriority w:val="39"/>
    <w:pPr>
      <w:spacing w:after="100" w:line="360" w:lineRule="auto"/>
      <w:ind w:left="220"/>
      <w:jc w:val="both"/>
    </w:pPr>
    <w:rPr>
      <w:rFonts w:ascii="Times New Roman" w:hAnsi="Times New Roman"/>
      <w:sz w:val="24"/>
    </w:rPr>
  </w:style>
  <w:style w:type="paragraph" w:styleId="17">
    <w:name w:val="footer"/>
    <w:basedOn w:val="1"/>
    <w:link w:val="2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8">
    <w:name w:val="Subtitle"/>
    <w:basedOn w:val="1"/>
    <w:next w:val="1"/>
    <w:link w:val="3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table" w:styleId="19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Текст выноски Знак"/>
    <w:basedOn w:val="4"/>
    <w:link w:val="10"/>
    <w:semiHidden/>
    <w:uiPriority w:val="99"/>
    <w:rPr>
      <w:rFonts w:ascii="Tahoma" w:hAnsi="Tahoma" w:cs="Tahoma"/>
      <w:sz w:val="16"/>
      <w:szCs w:val="16"/>
    </w:rPr>
  </w:style>
  <w:style w:type="paragraph" w:customStyle="1" w:styleId="21">
    <w:name w:val="ConsPlusNormal"/>
    <w:uiPriority w:val="0"/>
    <w:pPr>
      <w:widowControl w:val="0"/>
      <w:autoSpaceDE w:val="0"/>
      <w:autoSpaceDN w:val="0"/>
      <w:spacing w:after="0" w:line="240" w:lineRule="auto"/>
    </w:pPr>
    <w:rPr>
      <w:rFonts w:ascii="Arial Unicode MS" w:hAnsi="Arial Unicode MS" w:eastAsia="Times New Roman" w:cs="Arial Unicode MS"/>
      <w:sz w:val="24"/>
      <w:szCs w:val="20"/>
      <w:lang w:val="ru-RU" w:eastAsia="ru-RU" w:bidi="ar-SA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Текст сноски Знак"/>
    <w:basedOn w:val="4"/>
    <w:link w:val="12"/>
    <w:semiHidden/>
    <w:uiPriority w:val="99"/>
    <w:rPr>
      <w:sz w:val="20"/>
      <w:szCs w:val="20"/>
    </w:rPr>
  </w:style>
  <w:style w:type="character" w:customStyle="1" w:styleId="24">
    <w:name w:val="Заголовок 2 Знак"/>
    <w:basedOn w:val="4"/>
    <w:link w:val="3"/>
    <w:qFormat/>
    <w:uiPriority w:val="9"/>
    <w:rPr>
      <w:rFonts w:ascii="Times New Roman" w:hAnsi="Times New Roman" w:cs="Times New Roman" w:eastAsiaTheme="majorEastAsia"/>
      <w:b/>
      <w:bCs/>
      <w:sz w:val="24"/>
      <w:szCs w:val="24"/>
    </w:rPr>
  </w:style>
  <w:style w:type="paragraph" w:customStyle="1" w:styleId="25">
    <w:name w:val="Сокращения и обозначения"/>
    <w:basedOn w:val="1"/>
    <w:qFormat/>
    <w:uiPriority w:val="0"/>
    <w:pPr>
      <w:spacing w:after="0" w:line="360" w:lineRule="auto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26">
    <w:name w:val="Термины и определения"/>
    <w:basedOn w:val="1"/>
    <w:qFormat/>
    <w:uiPriority w:val="0"/>
    <w:pPr>
      <w:spacing w:after="240" w:line="360" w:lineRule="auto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7">
    <w:name w:val="Верхний колонтитул Знак"/>
    <w:basedOn w:val="4"/>
    <w:link w:val="13"/>
    <w:qFormat/>
    <w:uiPriority w:val="99"/>
  </w:style>
  <w:style w:type="character" w:customStyle="1" w:styleId="28">
    <w:name w:val="Нижний колонтитул Знак"/>
    <w:basedOn w:val="4"/>
    <w:link w:val="17"/>
    <w:qFormat/>
    <w:uiPriority w:val="99"/>
  </w:style>
  <w:style w:type="character" w:styleId="29">
    <w:name w:val="Placeholder Text"/>
    <w:basedOn w:val="4"/>
    <w:semiHidden/>
    <w:qFormat/>
    <w:uiPriority w:val="99"/>
    <w:rPr>
      <w:color w:val="808080"/>
    </w:rPr>
  </w:style>
  <w:style w:type="character" w:customStyle="1" w:styleId="30">
    <w:name w:val="Текст примечания Знак"/>
    <w:basedOn w:val="4"/>
    <w:link w:val="11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1">
    <w:name w:val="Заголовок 1 Знак"/>
    <w:basedOn w:val="4"/>
    <w:link w:val="2"/>
    <w:uiPriority w:val="9"/>
    <w:rPr>
      <w:rFonts w:ascii="Times New Roman" w:hAnsi="Times New Roman" w:cs="Times New Roman" w:eastAsiaTheme="majorEastAsia"/>
      <w:b/>
      <w:bCs/>
      <w:sz w:val="24"/>
      <w:szCs w:val="24"/>
    </w:rPr>
  </w:style>
  <w:style w:type="paragraph" w:customStyle="1" w:styleId="32">
    <w:name w:val="TOC Heading"/>
    <w:basedOn w:val="2"/>
    <w:next w:val="1"/>
    <w:semiHidden/>
    <w:unhideWhenUsed/>
    <w:qFormat/>
    <w:uiPriority w:val="39"/>
    <w:pPr>
      <w:outlineLvl w:val="9"/>
    </w:pPr>
    <w:rPr>
      <w:lang w:eastAsia="ru-RU"/>
    </w:rPr>
  </w:style>
  <w:style w:type="character" w:customStyle="1" w:styleId="33">
    <w:name w:val="Подзаголовок Знак"/>
    <w:basedOn w:val="4"/>
    <w:link w:val="1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34">
    <w:name w:val="Неразрешенное упоминание1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chart" Target="charts/chart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themeOverride" Target="../theme/themeOverrid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invertIfNegative val="0"/>
          <c:dLbls>
            <c:delete val="1"/>
          </c:dLbls>
          <c:cat>
            <c:strRef>
              <c:f>Лист1!$A$2:$A$5</c:f>
              <c:strCache>
                <c:ptCount val="4"/>
                <c:pt idx="0">
                  <c:v>Категория 1</c:v>
                </c:pt>
                <c:pt idx="1">
                  <c:v>Категория 2</c:v>
                </c:pt>
                <c:pt idx="2">
                  <c:v>Категория 3</c:v>
                </c:pt>
                <c:pt idx="3">
                  <c:v>Категория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0478464"/>
        <c:axId val="70492544"/>
      </c:barChart>
      <c:catAx>
        <c:axId val="7047846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ru-RU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70492544"/>
        <c:crosses val="autoZero"/>
        <c:auto val="1"/>
        <c:lblAlgn val="ctr"/>
        <c:lblOffset val="100"/>
        <c:noMultiLvlLbl val="0"/>
      </c:catAx>
      <c:valAx>
        <c:axId val="704925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ru-RU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70478464"/>
        <c:crosses val="autoZero"/>
        <c:crossBetween val="between"/>
      </c:valAx>
    </c:plotArea>
    <c:legend>
      <c:legendPos val="r"/>
      <c:layout/>
      <c:overlay val="0"/>
      <c:txPr>
        <a:bodyPr rot="0" spcFirstLastPara="0" vertOverflow="ellipsis" vert="horz" wrap="square" anchor="ctr" anchorCtr="1"/>
        <a:lstStyle/>
        <a:p>
          <a:pPr>
            <a:defRPr lang="ru-RU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53ffd4e4-1774-4faa-b692-7b3f8e4797b3}"/>
      </c:ext>
    </c:extLst>
  </c:chart>
  <c:txPr>
    <a:bodyPr/>
    <a:lstStyle/>
    <a:p>
      <a:pPr>
        <a:defRPr lang="ru-RU"/>
      </a:pPr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FB9A054AEA284DDD980413F1778E44C4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CACA7D-A0E2-4F1A-A1AD-890BFA25BB13}"/>
      </w:docPartPr>
      <w:docPartBody>
        <w:p w14:paraId="5DC468D2">
          <w:pPr>
            <w:pStyle w:val="5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501C6DECA516400EA63D1D3D91EBCEEE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45D822-004B-484C-A88C-A5567643109E}"/>
      </w:docPartPr>
      <w:docPartBody>
        <w:p w14:paraId="06265D4E">
          <w:pPr>
            <w:pStyle w:val="6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F69E90A52FDB4794A8275E7B7862D0DE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D54EB5-5AE4-4907-8631-E6E3D8F24056}"/>
      </w:docPartPr>
      <w:docPartBody>
        <w:p w14:paraId="732BBA74">
          <w:pPr>
            <w:pStyle w:val="7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B444E037FBAB4412A6E690247497C094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1CE595-7D99-4795-AABE-46544534B115}"/>
      </w:docPartPr>
      <w:docPartBody>
        <w:p w14:paraId="70C5977F">
          <w:pPr>
            <w:pStyle w:val="8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9E5CC3BFD84C4EE38920758458865FE5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82162F-D68E-4DC8-8643-BCE336E41849}"/>
      </w:docPartPr>
      <w:docPartBody>
        <w:p w14:paraId="0EE04203">
          <w:pPr>
            <w:pStyle w:val="9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E10F361E09CE401FBEE5B2514C9F0A25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F8ED8C-1F04-433C-B3BD-830D23758377}"/>
      </w:docPartPr>
      <w:docPartBody>
        <w:p w14:paraId="0C3AF2CA">
          <w:pPr>
            <w:pStyle w:val="10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335A553725A74BE4AB65D52D9F4D59E3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C54797-ACD7-444A-8FE3-24140BC884D7}"/>
      </w:docPartPr>
      <w:docPartBody>
        <w:p w14:paraId="6E133874">
          <w:pPr>
            <w:pStyle w:val="11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EDEF4A40F817406D8CBBE2055D1F508B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A6B3F9-8840-4FDF-BE19-67C8D09E6162}"/>
      </w:docPartPr>
      <w:docPartBody>
        <w:p w14:paraId="5A33D833">
          <w:pPr>
            <w:pStyle w:val="12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F82611ACF56C405EA24DDB8D03025C96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697BCD-B71A-428F-B0F2-E80F38EE9726}"/>
      </w:docPartPr>
      <w:docPartBody>
        <w:p w14:paraId="14552C9C">
          <w:pPr>
            <w:pStyle w:val="13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84A8EE8D47C64A0FABC967FF589C2B8C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380032-8753-46BC-B5B1-81EE1F7F6AE3}"/>
      </w:docPartPr>
      <w:docPartBody>
        <w:p w14:paraId="1A27EB01">
          <w:pPr>
            <w:pStyle w:val="14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80C669C3C08746AC89A4A919BE19DE65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FB0CED-1614-4B79-97FA-9A220DAB95FA}"/>
      </w:docPartPr>
      <w:docPartBody>
        <w:p w14:paraId="22D79763">
          <w:pPr>
            <w:pStyle w:val="15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1CDD1AF7891246199582644BF802BCF0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D8EE8E-5542-4312-8C50-B07C7B762B83}"/>
      </w:docPartPr>
      <w:docPartBody>
        <w:p w14:paraId="37485EB4">
          <w:pPr>
            <w:pStyle w:val="16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D61EA9E6F10A4E66AF979E2A3C14054B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ED45D8-534B-4E8F-9730-B0DCCF1EC81A}"/>
      </w:docPartPr>
      <w:docPartBody>
        <w:p w14:paraId="53806C82">
          <w:pPr>
            <w:pStyle w:val="17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39DFC77BADD54F20B5984365B63D10B3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C3EBC1-5C16-434D-9B81-C52F6BCFC44F}"/>
      </w:docPartPr>
      <w:docPartBody>
        <w:p w14:paraId="2FD619A4">
          <w:pPr>
            <w:pStyle w:val="18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12F9CB3C8F0242468FEF2DF12B6244DC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D3A6CA-4CF9-4BA3-A314-DFF7DF65CA54}"/>
      </w:docPartPr>
      <w:docPartBody>
        <w:p w14:paraId="17E6B6F7">
          <w:pPr>
            <w:pStyle w:val="19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DAA6F35A8EC5430CA42B4B733E272D6F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8A61B8-5CEB-4193-82FC-9ECCDB281B94}"/>
      </w:docPartPr>
      <w:docPartBody>
        <w:p w14:paraId="320457A1">
          <w:pPr>
            <w:pStyle w:val="20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49BFA048C6324203BE22112C3FE1A6A2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03F9A3-D060-4006-845A-FF9A491DCEC7}"/>
      </w:docPartPr>
      <w:docPartBody>
        <w:p w14:paraId="0BCC3652">
          <w:pPr>
            <w:pStyle w:val="21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F326009A2A9A49B5916CB19448D39A82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7F7B22-329A-45E9-BDC9-ADABDAE851B2}"/>
      </w:docPartPr>
      <w:docPartBody>
        <w:p w14:paraId="1A1C1A08">
          <w:pPr>
            <w:pStyle w:val="22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7625ECCE6CD94747A3493F8A20E1FE11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057FC3-0FDD-4A35-A624-B03275017D1D}"/>
      </w:docPartPr>
      <w:docPartBody>
        <w:p w14:paraId="665BBDD3">
          <w:pPr>
            <w:pStyle w:val="23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1485FD85D5644A7D9FC90A4BA8A5B124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250FA9-6C19-45D5-BBFA-E966BEEAEEE1}"/>
      </w:docPartPr>
      <w:docPartBody>
        <w:p w14:paraId="1DD034EB">
          <w:pPr>
            <w:pStyle w:val="24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10498A7401BF4CBE8E20F4AE74E8140B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689F48-72BB-430D-95C3-6E38A2EC38F7}"/>
      </w:docPartPr>
      <w:docPartBody>
        <w:p w14:paraId="0C9128F0">
          <w:pPr>
            <w:pStyle w:val="25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8EB89A2D1110487498528AA7386C0514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C202B7-CFD3-4814-BE53-485173EBF2C2}"/>
      </w:docPartPr>
      <w:docPartBody>
        <w:p w14:paraId="70D6BFFC">
          <w:pPr>
            <w:pStyle w:val="26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FFBD2E4BDE5B4ADD8FD3AE63D89EDBB2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F51561-6E89-4609-8D0B-5C98805EADE3}"/>
      </w:docPartPr>
      <w:docPartBody>
        <w:p w14:paraId="4CEE73E9">
          <w:pPr>
            <w:pStyle w:val="27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ABD5F377D73A45D1A596BC75676D1BEE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BF0DE9-2F56-481F-8924-C8B75EE34169}"/>
      </w:docPartPr>
      <w:docPartBody>
        <w:p w14:paraId="4682E05C">
          <w:pPr>
            <w:pStyle w:val="28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D27090F4BB7E492599F9517D45316FF6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65520B-E08C-4765-9BAA-FDBA9EF15F9C}"/>
      </w:docPartPr>
      <w:docPartBody>
        <w:p w14:paraId="19DE3BC8">
          <w:pPr>
            <w:pStyle w:val="29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C6A70FCD95104BDA9195B315CBC76016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770E61-CBB3-46DE-AA64-97A2159A899C}"/>
      </w:docPartPr>
      <w:docPartBody>
        <w:p w14:paraId="4B4AE73F">
          <w:pPr>
            <w:pStyle w:val="30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9BE0C82D91C3451582FBAE7121940490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7C0F68-3BC8-45C7-9434-A5CF05ACF170}"/>
      </w:docPartPr>
      <w:docPartBody>
        <w:p w14:paraId="5ACB5A00">
          <w:pPr>
            <w:pStyle w:val="31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10AE92E658FA4090A913148955FF9A00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CF2271-5230-42E2-AFC5-B10E34FBCEE8}"/>
      </w:docPartPr>
      <w:docPartBody>
        <w:p w14:paraId="39BC5E57">
          <w:pPr>
            <w:pStyle w:val="32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CBAE121C5AFF42598CF32DFCF29A541B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3DF68B-0BD3-49CC-BA04-1E6328F96193}"/>
      </w:docPartPr>
      <w:docPartBody>
        <w:p w14:paraId="7E6ED5D9">
          <w:pPr>
            <w:pStyle w:val="33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865C3B4DA716400CA41FC13AA32039EE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C8B125-94D4-497B-A31C-D054AD96BA94}"/>
      </w:docPartPr>
      <w:docPartBody>
        <w:p w14:paraId="345988B3">
          <w:pPr>
            <w:pStyle w:val="34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5FD79922603B4C1FA2B120EB016C03A9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5391D3-6149-4750-BC1D-3F8DCA31B205}"/>
      </w:docPartPr>
      <w:docPartBody>
        <w:p w14:paraId="2743C824">
          <w:pPr>
            <w:pStyle w:val="35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4F52277409C64868B29330F2F7079ACB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1B2397-D263-47A3-89A2-457ADD085878}"/>
      </w:docPartPr>
      <w:docPartBody>
        <w:p w14:paraId="53122DC6">
          <w:pPr>
            <w:pStyle w:val="36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4021FA057D3A463AB4101EFADE841E4D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17466C-73F4-4457-8979-7747E2CDD50B}"/>
      </w:docPartPr>
      <w:docPartBody>
        <w:p w14:paraId="7708A2FF">
          <w:pPr>
            <w:pStyle w:val="37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B56B693027874B21B1DD2A45404E9691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46A397-8939-48B2-9717-56AC6B4FC34A}"/>
      </w:docPartPr>
      <w:docPartBody>
        <w:p w14:paraId="703A0042">
          <w:pPr>
            <w:pStyle w:val="38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254D4C87414C49ABABC8F3C86BA1226B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7257F8-6E74-47ED-A024-B748FD8636EF}"/>
      </w:docPartPr>
      <w:docPartBody>
        <w:p w14:paraId="3AAC9700">
          <w:pPr>
            <w:pStyle w:val="39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D254B1ECE7214730B3DEC0CDF8891B60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26D80D-8E88-49FE-8590-96BEC04E22A6}"/>
      </w:docPartPr>
      <w:docPartBody>
        <w:p w14:paraId="3EA7720B">
          <w:pPr>
            <w:pStyle w:val="40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DDCC0299810A42CE9AE0DBC0B9A24305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15954A-524E-4630-B347-9DF9A277DA5C}"/>
      </w:docPartPr>
      <w:docPartBody>
        <w:p w14:paraId="652900B4">
          <w:pPr>
            <w:pStyle w:val="41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5856368B234F41128BC583CD89B197C8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D845AC-387C-4039-B22A-D8CD0153D240}"/>
      </w:docPartPr>
      <w:docPartBody>
        <w:p w14:paraId="73FC47B9">
          <w:pPr>
            <w:pStyle w:val="42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3F28D767F5B44A9DB3E56D2D9918905C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11F7AD-C94E-4F06-ABEE-AB3EBF3B18BC}"/>
      </w:docPartPr>
      <w:docPartBody>
        <w:p w14:paraId="53C99089">
          <w:pPr>
            <w:pStyle w:val="43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BEB7D59E85EB45528D8457E8EA3D3AA2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72B554-CA16-4181-AF5C-D6639918ED79}"/>
      </w:docPartPr>
      <w:docPartBody>
        <w:p w14:paraId="03FE2D5C">
          <w:pPr>
            <w:pStyle w:val="44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AC82A8E4906D458C8077E3692F857595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3189AA-8EA4-4B69-B9ED-FE68C220B69E}"/>
      </w:docPartPr>
      <w:docPartBody>
        <w:p w14:paraId="429CDD4E">
          <w:pPr>
            <w:pStyle w:val="45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E39F0DCE9A7349EB80FB53EA5ECF8479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6D2E7F-E080-472F-A2C8-E697D9FFFFB7}"/>
      </w:docPartPr>
      <w:docPartBody>
        <w:p w14:paraId="4B7A46D2">
          <w:pPr>
            <w:pStyle w:val="46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351915CCCAF242AB9E6C8C2C3E7A6DFB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2C1230-08A4-40B3-86E5-1E301D5EE78C}"/>
      </w:docPartPr>
      <w:docPartBody>
        <w:p w14:paraId="05E21443">
          <w:pPr>
            <w:pStyle w:val="47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30FD224EBAD849A5B153DFEFAC3692E4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276D92-30C7-4CDC-8C8E-F1DA377A8C61}"/>
      </w:docPartPr>
      <w:docPartBody>
        <w:p w14:paraId="2A86AF5A">
          <w:pPr>
            <w:pStyle w:val="48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B177F612B36D46039DAD18D775989575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CEC891-CDD5-43A3-8466-C549C0C642F7}"/>
      </w:docPartPr>
      <w:docPartBody>
        <w:p w14:paraId="082F40A5">
          <w:pPr>
            <w:pStyle w:val="49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95F5201BD0E44CE99A05E9D937670295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672E6B-F81D-427F-93BC-CA60677E1B09}"/>
      </w:docPartPr>
      <w:docPartBody>
        <w:p w14:paraId="3D9F16F3">
          <w:pPr>
            <w:pStyle w:val="50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74C053AAFE764931A5ED34F515F64A91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84529F-CD00-4CC3-BAE7-77C317CDA0A0}"/>
      </w:docPartPr>
      <w:docPartBody>
        <w:p w14:paraId="65049949">
          <w:pPr>
            <w:pStyle w:val="51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26242F42469E4503B4FAE688966B5D8B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960680-E3D5-420C-8436-8151A75035ED}"/>
      </w:docPartPr>
      <w:docPartBody>
        <w:p w14:paraId="44B307EA">
          <w:pPr>
            <w:pStyle w:val="52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05D8D7ADF96E4E15BBFC30F4586CEB34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C7EA7A-9D00-4EB5-BDD3-231C09064284}"/>
      </w:docPartPr>
      <w:docPartBody>
        <w:p w14:paraId="67F3F1BD">
          <w:pPr>
            <w:pStyle w:val="53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73577DB34022439A90BC8F695413909D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CDFE12-6624-45B1-B83D-EE447DE2E453}"/>
      </w:docPartPr>
      <w:docPartBody>
        <w:p w14:paraId="084C7F8C">
          <w:pPr>
            <w:pStyle w:val="54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F86D7AB1913F43C2AF678BBE669FEFD5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BFFB88-45BF-4B9F-B128-CAB55F57522A}"/>
      </w:docPartPr>
      <w:docPartBody>
        <w:p w14:paraId="23BC6486">
          <w:pPr>
            <w:pStyle w:val="55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DB0A5120F87444A1BC47CAD93FB5FA37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E2EDCD-870A-41FB-A22F-E89FF56BBE95}"/>
      </w:docPartPr>
      <w:docPartBody>
        <w:p w14:paraId="2A885DDF">
          <w:pPr>
            <w:pStyle w:val="56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A9DF98720E454DC5B41DE365E7EC8166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C460A6-0A6E-4C81-B18B-85A3D1F0B08D}"/>
      </w:docPartPr>
      <w:docPartBody>
        <w:p w14:paraId="2703A2C4">
          <w:pPr>
            <w:pStyle w:val="57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9C51EF7C742345FD8597422EEEB8E652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0BFD47-9B04-4B11-83F7-1A5637F7853A}"/>
      </w:docPartPr>
      <w:docPartBody>
        <w:p w14:paraId="7AF98229">
          <w:pPr>
            <w:pStyle w:val="58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2179E5E9443143CC8AC32FA2CA05770B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064557-B0D3-40AD-9702-73B03F5B23EF}"/>
      </w:docPartPr>
      <w:docPartBody>
        <w:p w14:paraId="4F84CB43">
          <w:pPr>
            <w:pStyle w:val="59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ED447DBCC0C1452D8D90353D5543E0D0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AFA4A4-3312-4777-89F6-C2C8F13C9E33}"/>
      </w:docPartPr>
      <w:docPartBody>
        <w:p w14:paraId="581A6543">
          <w:pPr>
            <w:pStyle w:val="60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C132C2E74D574D2A8D402BF2C9B22E2F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01F864-BA9C-41E6-9E4B-DFEABC05A920}"/>
      </w:docPartPr>
      <w:docPartBody>
        <w:p w14:paraId="141AD129">
          <w:pPr>
            <w:pStyle w:val="61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2E48B5409F1942D6B74196DB9F87BF5D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2DAC5F-91AD-4F57-B889-C896A1CF4167}"/>
      </w:docPartPr>
      <w:docPartBody>
        <w:p w14:paraId="395DBA28">
          <w:pPr>
            <w:pStyle w:val="62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A2DD18A0F2F946FBA8B419584037D19E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F9608C-4282-4F17-8742-28BAA31C67EA}"/>
      </w:docPartPr>
      <w:docPartBody>
        <w:p w14:paraId="0BF2EF39">
          <w:pPr>
            <w:pStyle w:val="63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9842A0E4AF4D44E892BE76DA71734366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63E7D1-38D2-4ECA-87BF-905044F40D59}"/>
      </w:docPartPr>
      <w:docPartBody>
        <w:p w14:paraId="04005668">
          <w:pPr>
            <w:pStyle w:val="64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1ECDF3287C95469588D66488575C2C55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03299C-1428-4A14-AE05-E3C7163080E0}"/>
      </w:docPartPr>
      <w:docPartBody>
        <w:p w14:paraId="29667672">
          <w:pPr>
            <w:pStyle w:val="65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F01E86E7754F4C77A6C1F0256D4CDF53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1092E4-4A22-401E-8DA2-488EFEC46C8E}"/>
      </w:docPartPr>
      <w:docPartBody>
        <w:p w14:paraId="0D2F7C14">
          <w:pPr>
            <w:pStyle w:val="66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212739A32CB74ADA8F81C500D02E6523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4CE91E-4340-4C92-A163-4A7F35453010}"/>
      </w:docPartPr>
      <w:docPartBody>
        <w:p w14:paraId="14A887B6">
          <w:pPr>
            <w:pStyle w:val="67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A7B3991F438745A89EF6675664647ECB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1A685A-1113-4680-8179-F8569E717EBE}"/>
      </w:docPartPr>
      <w:docPartBody>
        <w:p w14:paraId="0460AF64">
          <w:pPr>
            <w:pStyle w:val="68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31D31C10C6474F77ACBA0ED69E8EFE0A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716204-0615-4437-A476-BEC3C4D8F8CA}"/>
      </w:docPartPr>
      <w:docPartBody>
        <w:p w14:paraId="72A52624">
          <w:pPr>
            <w:pStyle w:val="69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498524C601AF4DD59E3DE3B9BAA25068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1ED790-9FB3-484E-8BEB-16F5FC63262C}"/>
      </w:docPartPr>
      <w:docPartBody>
        <w:p w14:paraId="3E2E0AF8">
          <w:pPr>
            <w:pStyle w:val="70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97B2AEA0CB1B4C9E809D663461ABCD44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D5294C-1E98-4D6B-A33D-AA8E91E851CD}"/>
      </w:docPartPr>
      <w:docPartBody>
        <w:p w14:paraId="5A8525C2">
          <w:pPr>
            <w:pStyle w:val="71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0DACC86ADB1C44BBAA53567D596BF2EF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1B9A5D-62F6-4AC6-AD18-2251631E4E06}"/>
      </w:docPartPr>
      <w:docPartBody>
        <w:p w14:paraId="57397F56">
          <w:pPr>
            <w:pStyle w:val="72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21581DECFF334E7CBF494BBDFBA3C7E0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9815BD-36BB-4A15-8FEE-6FF0B701A807}"/>
      </w:docPartPr>
      <w:docPartBody>
        <w:p w14:paraId="2D5C944A">
          <w:pPr>
            <w:pStyle w:val="73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D36188BA7D634CA69781EBB6CDD67769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F1C226-0DB0-419F-A214-05B20596B0F6}"/>
      </w:docPartPr>
      <w:docPartBody>
        <w:p w14:paraId="102A2063">
          <w:pPr>
            <w:pStyle w:val="74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54A37587FBD54183BABF67F21F798470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D3BAF0-ECBB-4D59-9723-231B82558AE4}"/>
      </w:docPartPr>
      <w:docPartBody>
        <w:p w14:paraId="2FF4CEC0">
          <w:pPr>
            <w:pStyle w:val="75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106D554541BD4030AD2C488137D38FC8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616EEC-09FA-43F7-A845-867026C00D01}"/>
      </w:docPartPr>
      <w:docPartBody>
        <w:p w14:paraId="3FF3223F">
          <w:pPr>
            <w:pStyle w:val="76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A788319EAD68421F90677DADC4975FC7"/>
        <w:style w:val="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C101B1-039E-4BFA-8330-493A55CA394C}"/>
      </w:docPartPr>
      <w:docPartBody>
        <w:p w14:paraId="1BB8FDA5">
          <w:pPr>
            <w:pStyle w:val="77"/>
          </w:pPr>
          <w:r>
            <w:rPr>
              <w:rStyle w:val="4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F4502"/>
    <w:rsid w:val="00175620"/>
    <w:rsid w:val="00202BAD"/>
    <w:rsid w:val="00232634"/>
    <w:rsid w:val="002F4502"/>
    <w:rsid w:val="003121C3"/>
    <w:rsid w:val="0039541D"/>
    <w:rsid w:val="003A221F"/>
    <w:rsid w:val="00402AB6"/>
    <w:rsid w:val="004320A5"/>
    <w:rsid w:val="0045632C"/>
    <w:rsid w:val="004703CF"/>
    <w:rsid w:val="0050354D"/>
    <w:rsid w:val="00515AB3"/>
    <w:rsid w:val="00581B1F"/>
    <w:rsid w:val="005E2144"/>
    <w:rsid w:val="00612646"/>
    <w:rsid w:val="006F120E"/>
    <w:rsid w:val="006F1784"/>
    <w:rsid w:val="00747F43"/>
    <w:rsid w:val="00754CE1"/>
    <w:rsid w:val="008504A5"/>
    <w:rsid w:val="008521C4"/>
    <w:rsid w:val="008712D7"/>
    <w:rsid w:val="008C28F6"/>
    <w:rsid w:val="00964B1F"/>
    <w:rsid w:val="00971852"/>
    <w:rsid w:val="009E1BE7"/>
    <w:rsid w:val="00B45AD8"/>
    <w:rsid w:val="00CB0B73"/>
    <w:rsid w:val="00D01783"/>
    <w:rsid w:val="00D30E8C"/>
    <w:rsid w:val="00D734D0"/>
    <w:rsid w:val="00E367E3"/>
    <w:rsid w:val="00EC7825"/>
    <w:rsid w:val="00E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FB9A054AEA284DDD980413F1778E44C4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6">
    <w:name w:val="501C6DECA516400EA63D1D3D91EBCEEE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7">
    <w:name w:val="F69E90A52FDB4794A8275E7B7862D0DE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8">
    <w:name w:val="B444E037FBAB4412A6E690247497C094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9">
    <w:name w:val="9E5CC3BFD84C4EE38920758458865FE5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0">
    <w:name w:val="E10F361E09CE401FBEE5B2514C9F0A25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1">
    <w:name w:val="335A553725A74BE4AB65D52D9F4D59E3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2">
    <w:name w:val="EDEF4A40F817406D8CBBE2055D1F508B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3">
    <w:name w:val="F82611ACF56C405EA24DDB8D03025C96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4">
    <w:name w:val="84A8EE8D47C64A0FABC967FF589C2B8C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5">
    <w:name w:val="80C669C3C08746AC89A4A919BE19DE65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6">
    <w:name w:val="1CDD1AF7891246199582644BF802BCF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7">
    <w:name w:val="D61EA9E6F10A4E66AF979E2A3C14054B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8">
    <w:name w:val="39DFC77BADD54F20B5984365B63D10B3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19">
    <w:name w:val="12F9CB3C8F0242468FEF2DF12B6244DC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20">
    <w:name w:val="DAA6F35A8EC5430CA42B4B733E272D6F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21">
    <w:name w:val="49BFA048C6324203BE22112C3FE1A6A2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22">
    <w:name w:val="F326009A2A9A49B5916CB19448D39A82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23">
    <w:name w:val="7625ECCE6CD94747A3493F8A20E1FE11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24">
    <w:name w:val="1485FD85D5644A7D9FC90A4BA8A5B124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25">
    <w:name w:val="10498A7401BF4CBE8E20F4AE74E8140B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26">
    <w:name w:val="8EB89A2D1110487498528AA7386C0514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27">
    <w:name w:val="FFBD2E4BDE5B4ADD8FD3AE63D89EDBB2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28">
    <w:name w:val="ABD5F377D73A45D1A596BC75676D1BEE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29">
    <w:name w:val="D27090F4BB7E492599F9517D45316FF6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30">
    <w:name w:val="C6A70FCD95104BDA9195B315CBC76016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31">
    <w:name w:val="9BE0C82D91C3451582FBAE712194049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32">
    <w:name w:val="10AE92E658FA4090A913148955FF9A0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33">
    <w:name w:val="CBAE121C5AFF42598CF32DFCF29A541B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34">
    <w:name w:val="865C3B4DA716400CA41FC13AA32039EE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35">
    <w:name w:val="5FD79922603B4C1FA2B120EB016C03A9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36">
    <w:name w:val="4F52277409C64868B29330F2F7079ACB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37">
    <w:name w:val="4021FA057D3A463AB4101EFADE841E4D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38">
    <w:name w:val="B56B693027874B21B1DD2A45404E9691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39">
    <w:name w:val="254D4C87414C49ABABC8F3C86BA1226B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40">
    <w:name w:val="D254B1ECE7214730B3DEC0CDF8891B6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41">
    <w:name w:val="DDCC0299810A42CE9AE0DBC0B9A24305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42">
    <w:name w:val="5856368B234F41128BC583CD89B197C8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43">
    <w:name w:val="3F28D767F5B44A9DB3E56D2D9918905C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44">
    <w:name w:val="BEB7D59E85EB45528D8457E8EA3D3AA2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45">
    <w:name w:val="AC82A8E4906D458C8077E3692F857595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46">
    <w:name w:val="E39F0DCE9A7349EB80FB53EA5ECF8479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47">
    <w:name w:val="351915CCCAF242AB9E6C8C2C3E7A6DFB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48">
    <w:name w:val="30FD224EBAD849A5B153DFEFAC3692E4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49">
    <w:name w:val="B177F612B36D46039DAD18D775989575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50">
    <w:name w:val="95F5201BD0E44CE99A05E9D937670295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51">
    <w:name w:val="74C053AAFE764931A5ED34F515F64A91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52">
    <w:name w:val="26242F42469E4503B4FAE688966B5D8B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53">
    <w:name w:val="05D8D7ADF96E4E15BBFC30F4586CEB34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54">
    <w:name w:val="73577DB34022439A90BC8F695413909D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55">
    <w:name w:val="F86D7AB1913F43C2AF678BBE669FEFD5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56">
    <w:name w:val="DB0A5120F87444A1BC47CAD93FB5FA37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57">
    <w:name w:val="A9DF98720E454DC5B41DE365E7EC8166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58">
    <w:name w:val="9C51EF7C742345FD8597422EEEB8E652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59">
    <w:name w:val="2179E5E9443143CC8AC32FA2CA05770B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60">
    <w:name w:val="ED447DBCC0C1452D8D90353D5543E0D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61">
    <w:name w:val="C132C2E74D574D2A8D402BF2C9B22E2F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62">
    <w:name w:val="2E48B5409F1942D6B74196DB9F87BF5D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63">
    <w:name w:val="A2DD18A0F2F946FBA8B419584037D19E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64">
    <w:name w:val="9842A0E4AF4D44E892BE76DA71734366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65">
    <w:name w:val="1ECDF3287C95469588D66488575C2C55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66">
    <w:name w:val="F01E86E7754F4C77A6C1F0256D4CDF53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67">
    <w:name w:val="212739A32CB74ADA8F81C500D02E6523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68">
    <w:name w:val="A7B3991F438745A89EF6675664647ECB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69">
    <w:name w:val="31D31C10C6474F77ACBA0ED69E8EFE0A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70">
    <w:name w:val="498524C601AF4DD59E3DE3B9BAA25068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71">
    <w:name w:val="97B2AEA0CB1B4C9E809D663461ABCD44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72">
    <w:name w:val="0DACC86ADB1C44BBAA53567D596BF2EF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73">
    <w:name w:val="21581DECFF334E7CBF494BBDFBA3C7E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74">
    <w:name w:val="D36188BA7D634CA69781EBB6CDD67769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75">
    <w:name w:val="54A37587FBD54183BABF67F21F79847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76">
    <w:name w:val="106D554541BD4030AD2C488137D38FC8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customStyle="1" w:styleId="77">
    <w:name w:val="A788319EAD68421F90677DADC4975FC7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</w:styl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D5233-16D4-43F3-8C23-BB43DF454F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1778</Words>
  <Characters>10140</Characters>
  <Lines>84</Lines>
  <Paragraphs>23</Paragraphs>
  <TotalTime>0</TotalTime>
  <ScaleCrop>false</ScaleCrop>
  <LinksUpToDate>false</LinksUpToDate>
  <CharactersWithSpaces>11895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2020-05-14T08:50:00Z</dcterms:created>
  <dc:creator>SIR</dc:creator>
  <cp:lastModifiedBy>fgrac</cp:lastModifiedBy>
  <dcterms:modified xsi:type="dcterms:W3CDTF">2025-05-23T20:35:35Z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1049-12.2.0.21183</vt:lpwstr>
  </property>
  <property fmtid="{D5CDD505-2E9C-101B-9397-08002B2CF9AE}" pid="3" name="ICV">
    <vt:lpwstr>AEE22AC4DE55443F9BECCC2B29987E16_12</vt:lpwstr>
  </property>
</Properties>
</file>