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Heading3"/>
        <w:rPr/>
      </w:pPr>
      <w:r>
        <w:rPr/>
      </w:r>
    </w:p>
    <w:p>
      <w:pPr>
        <w:pStyle w:val="Heading3"/>
        <w:jc w:val="center"/>
        <w:rPr>
          <w:u w:val="single"/>
          <w:lang w:val="fr-FR"/>
        </w:rPr>
      </w:pPr>
      <w:r>
        <w:rPr>
          <w:u w:val="single"/>
          <w:lang w:val="fr-FR"/>
        </w:rPr>
        <w:t>Plan de gestion des donnees de l’equipe sChneider-Maunoury</w:t>
      </w:r>
    </w:p>
    <w:p>
      <w:pPr>
        <w:pStyle w:val="Heading3"/>
        <w:rPr>
          <w:lang w:val="fr-FR"/>
        </w:rPr>
      </w:pPr>
      <w:r>
        <w:rPr>
          <w:lang w:val="fr-FR"/>
        </w:rPr>
        <w:t>1. COLLECTE ET REUTILISATION DES DONNEES</w:t>
      </w:r>
    </w:p>
    <w:p>
      <w:pPr>
        <w:pStyle w:val="Heading3"/>
        <w:rPr>
          <w:lang w:val="fr-FR"/>
        </w:rPr>
      </w:pPr>
      <w:r>
        <w:rPr>
          <w:lang w:val="fr-FR"/>
        </w:rPr>
        <w:t>Informations sur la structure</w:t>
      </w:r>
    </w:p>
    <w:p>
      <w:pPr>
        <w:pStyle w:val="Normal"/>
        <w:rPr>
          <w:lang w:val="fr-FR"/>
        </w:rPr>
      </w:pPr>
      <w:r>
        <w:rPr>
          <w:lang w:val="fr-FR"/>
        </w:rPr>
      </w:r>
    </w:p>
    <w:p>
      <w:pPr>
        <w:pStyle w:val="Normal"/>
        <w:rPr>
          <w:lang w:val="fr-FR"/>
        </w:rPr>
      </w:pPr>
      <w:r>
        <w:rPr>
          <w:b/>
          <w:lang w:val="fr-FR"/>
        </w:rPr>
        <w:t>Nom de la structure</w:t>
      </w:r>
      <w:r>
        <w:rPr>
          <w:lang w:val="fr-FR"/>
        </w:rPr>
        <w:br/>
      </w:r>
    </w:p>
    <w:p>
      <w:pPr>
        <w:pStyle w:val="Normal"/>
        <w:rPr>
          <w:lang w:val="fr-FR"/>
        </w:rPr>
      </w:pPr>
      <w:r>
        <w:rPr>
          <w:lang w:val="fr-FR"/>
        </w:rPr>
        <w:tab/>
        <w:t>Equipe “Développement du système nerveux central des Vertébrés”, unité Dev2A, IBPS</w:t>
      </w:r>
    </w:p>
    <w:p>
      <w:pPr>
        <w:pStyle w:val="Normal"/>
        <w:rPr>
          <w:lang w:val="fr-FR"/>
        </w:rPr>
      </w:pPr>
      <w:r>
        <w:rPr>
          <w:lang w:val="fr-FR"/>
        </w:rPr>
      </w:r>
    </w:p>
    <w:p>
      <w:pPr>
        <w:pStyle w:val="Normal"/>
        <w:rPr>
          <w:lang w:val="fr-FR"/>
        </w:rPr>
      </w:pPr>
      <w:r>
        <w:rPr>
          <w:b/>
          <w:lang w:val="fr-FR"/>
        </w:rPr>
        <w:t>Type de structure</w:t>
      </w:r>
    </w:p>
    <w:p>
      <w:pPr>
        <w:pStyle w:val="Normal"/>
        <w:rPr>
          <w:b/>
          <w:lang w:val="fr-FR"/>
        </w:rPr>
      </w:pPr>
      <w:r>
        <w:rPr>
          <w:b/>
          <w:lang w:val="fr-FR"/>
        </w:rPr>
      </w:r>
    </w:p>
    <w:p>
      <w:pPr>
        <w:pStyle w:val="Normal"/>
        <w:rPr>
          <w:lang w:val="fr-FR"/>
        </w:rPr>
      </w:pPr>
      <w:r>
        <w:rPr>
          <w:lang w:val="fr-FR"/>
        </w:rPr>
        <w:tab/>
        <w:t>Equipe de recherche</w:t>
      </w:r>
    </w:p>
    <w:p>
      <w:pPr>
        <w:pStyle w:val="Normal"/>
        <w:rPr>
          <w:lang w:val="fr-FR"/>
        </w:rPr>
      </w:pPr>
      <w:r>
        <w:rPr>
          <w:lang w:val="fr-FR"/>
        </w:rPr>
      </w:r>
    </w:p>
    <w:p>
      <w:pPr>
        <w:pStyle w:val="Normal"/>
        <w:rPr>
          <w:lang w:val="fr-FR"/>
        </w:rPr>
      </w:pPr>
      <w:r>
        <w:rPr>
          <w:b/>
          <w:lang w:val="fr-FR"/>
        </w:rPr>
        <w:t>Identifiant de la structure</w:t>
      </w:r>
      <w:r>
        <w:rPr>
          <w:lang w:val="fr-FR"/>
        </w:rPr>
        <w:br/>
      </w:r>
    </w:p>
    <w:p>
      <w:pPr>
        <w:pStyle w:val="Normal"/>
        <w:rPr>
          <w:lang w:val="fr-FR"/>
        </w:rPr>
      </w:pPr>
      <w:r>
        <w:rPr>
          <w:lang w:val="fr-FR"/>
        </w:rPr>
        <w:tab/>
        <w:t>Equipe SSM</w:t>
      </w:r>
    </w:p>
    <w:p>
      <w:pPr>
        <w:pStyle w:val="Normal"/>
        <w:rPr>
          <w:lang w:val="fr-FR"/>
        </w:rPr>
      </w:pPr>
      <w:r>
        <w:rPr>
          <w:lang w:val="fr-FR"/>
        </w:rPr>
      </w:r>
    </w:p>
    <w:p>
      <w:pPr>
        <w:pStyle w:val="Normal"/>
        <w:rPr>
          <w:lang w:val="fr-FR"/>
        </w:rPr>
      </w:pPr>
      <w:r>
        <w:rPr>
          <w:b/>
          <w:lang w:val="fr-FR"/>
        </w:rPr>
        <w:t>Responsabilités dans la structure</w:t>
      </w:r>
    </w:p>
    <w:p>
      <w:pPr>
        <w:pStyle w:val="Normal"/>
        <w:rPr>
          <w:lang w:val="fr-FR"/>
        </w:rPr>
      </w:pPr>
      <w:r>
        <w:rPr>
          <w:lang w:val="fr-FR"/>
        </w:rPr>
      </w:r>
    </w:p>
    <w:p>
      <w:pPr>
        <w:pStyle w:val="Normal"/>
        <w:rPr>
          <w:lang w:val="fr-FR"/>
        </w:rPr>
      </w:pPr>
      <w:r>
        <w:rPr>
          <w:lang w:val="fr-FR"/>
        </w:rPr>
        <w:tab/>
        <w:t>Direction : Sylvie Schneider-Maunoury (</w:t>
      </w:r>
      <w:hyperlink r:id="rId2">
        <w:r>
          <w:rPr>
            <w:rStyle w:val="Hyperlink"/>
            <w:lang w:val="fr-FR"/>
          </w:rPr>
          <w:t>sylvie.schneider-maunoury@sorbonne-universite.fr</w:t>
        </w:r>
      </w:hyperlink>
      <w:r>
        <w:rPr>
          <w:lang w:val="fr-FR"/>
        </w:rPr>
        <w:t xml:space="preserve"> )</w:t>
      </w:r>
    </w:p>
    <w:p>
      <w:pPr>
        <w:pStyle w:val="Normal"/>
        <w:rPr>
          <w:lang w:val="fr-FR"/>
        </w:rPr>
      </w:pPr>
      <w:r>
        <w:rPr>
          <w:lang w:val="fr-FR"/>
        </w:rPr>
      </w:r>
    </w:p>
    <w:p>
      <w:pPr>
        <w:pStyle w:val="Normal"/>
        <w:rPr>
          <w:lang w:val="fr-FR"/>
        </w:rPr>
      </w:pPr>
      <w:r>
        <w:rPr>
          <w:b/>
          <w:lang w:val="fr-FR"/>
        </w:rPr>
        <w:t>Etablissement(s) tutelle(s)</w:t>
      </w:r>
    </w:p>
    <w:p>
      <w:pPr>
        <w:pStyle w:val="Normal"/>
        <w:rPr>
          <w:lang w:val="fr-FR"/>
        </w:rPr>
      </w:pPr>
      <w:r>
        <w:rPr>
          <w:lang w:val="fr-FR"/>
        </w:rPr>
      </w:r>
    </w:p>
    <w:p>
      <w:pPr>
        <w:pStyle w:val="Normal"/>
        <w:rPr>
          <w:lang w:val="fr-FR"/>
        </w:rPr>
      </w:pPr>
      <w:r>
        <w:rPr>
          <w:lang w:val="fr-FR"/>
        </w:rPr>
        <w:tab/>
        <w:t>Sorbonne Université, CNRS (UMR 8263), Inserm (U1345).</w:t>
      </w:r>
    </w:p>
    <w:p>
      <w:pPr>
        <w:pStyle w:val="Normal"/>
        <w:rPr>
          <w:lang w:val="fr-FR"/>
        </w:rPr>
      </w:pPr>
      <w:r>
        <w:rPr>
          <w:lang w:val="fr-FR"/>
        </w:rPr>
      </w:r>
    </w:p>
    <w:p>
      <w:pPr>
        <w:pStyle w:val="Normal"/>
        <w:rPr>
          <w:lang w:val="fr-FR"/>
        </w:rPr>
      </w:pPr>
      <w:r>
        <w:rPr>
          <w:b/>
          <w:bCs/>
          <w:lang w:val="fr-FR"/>
        </w:rPr>
        <w:t>Projets</w:t>
      </w:r>
      <w:r>
        <w:rPr>
          <w:lang w:val="fr-FR"/>
        </w:rPr>
        <w:t xml:space="preserve"> </w:t>
      </w:r>
      <w:r>
        <w:rPr>
          <w:b/>
          <w:bCs/>
          <w:lang w:val="fr-FR"/>
        </w:rPr>
        <w:t>et</w:t>
      </w:r>
      <w:r>
        <w:rPr>
          <w:lang w:val="fr-FR"/>
        </w:rPr>
        <w:t xml:space="preserve"> </w:t>
      </w:r>
      <w:r>
        <w:rPr>
          <w:b/>
          <w:lang w:val="fr-FR"/>
        </w:rPr>
        <w:t>Financeur(s)</w:t>
      </w:r>
      <w:r>
        <w:rPr>
          <w:lang w:val="fr-FR"/>
        </w:rPr>
        <w:t xml:space="preserve"> (</w:t>
      </w:r>
      <w:r>
        <w:rPr>
          <w:i/>
          <w:lang w:val="fr-FR"/>
        </w:rPr>
        <w:t>permettant l’acquisition des jeux de données – hors projet)</w:t>
      </w:r>
    </w:p>
    <w:p>
      <w:pPr>
        <w:pStyle w:val="Normal"/>
        <w:rPr>
          <w:lang w:val="fr-FR"/>
        </w:rPr>
      </w:pPr>
      <w:r>
        <w:rPr>
          <w:lang w:val="fr-FR"/>
        </w:rPr>
      </w:r>
    </w:p>
    <w:p>
      <w:pPr>
        <w:pStyle w:val="Normal"/>
        <w:ind w:hanging="397" w:left="1134"/>
        <w:rPr>
          <w:lang w:val="fr-FR"/>
        </w:rPr>
      </w:pPr>
      <w:r>
        <w:rPr>
          <w:lang w:val="fr-FR"/>
        </w:rPr>
        <w:t>1) Remodelage du lumen spinal (porteur: Pierre-Luc Bardet) – financements obtenus : Emergence SU 2021-2022 ; Gefluc 2025 ; Ligue Région IdF 2025-2026.</w:t>
      </w:r>
    </w:p>
    <w:p>
      <w:pPr>
        <w:pStyle w:val="Normal"/>
        <w:ind w:hanging="397" w:left="1134"/>
        <w:rPr>
          <w:lang w:val="fr-FR"/>
        </w:rPr>
      </w:pPr>
      <w:r>
        <w:rPr>
          <w:lang w:val="fr-FR"/>
        </w:rPr>
        <w:tab/>
        <w:t>utilisatur.ice.s : Pierre-Luc Bardet, Amina Medyouf, Ana Maria Daza Zapata.</w:t>
      </w:r>
    </w:p>
    <w:p>
      <w:pPr>
        <w:pStyle w:val="Normal"/>
        <w:ind w:hanging="397" w:left="1134"/>
        <w:rPr>
          <w:lang w:val="fr-FR"/>
        </w:rPr>
      </w:pPr>
      <w:r>
        <w:rPr>
          <w:lang w:val="fr-FR"/>
        </w:rPr>
      </w:r>
    </w:p>
    <w:p>
      <w:pPr>
        <w:pStyle w:val="Normal"/>
        <w:ind w:hanging="397" w:left="1134"/>
        <w:rPr>
          <w:lang w:val="fr-FR"/>
        </w:rPr>
      </w:pPr>
      <w:r>
        <w:rPr>
          <w:lang w:val="fr-FR"/>
        </w:rPr>
        <w:t xml:space="preserve">2) « NDCil » : Rôle des cils dans le développement du SNC et les ciliopathies (porteuse : Sylvie Schneider-Maunoury </w:t>
      </w:r>
    </w:p>
    <w:p>
      <w:pPr>
        <w:pStyle w:val="Normal"/>
        <w:ind w:left="1134"/>
        <w:rPr>
          <w:rFonts w:cs="Arial"/>
          <w:szCs w:val="18"/>
          <w:lang w:val="fr-FR"/>
        </w:rPr>
      </w:pPr>
      <w:r>
        <w:rPr>
          <w:lang w:val="fr-FR"/>
        </w:rPr>
        <w:t xml:space="preserve">Financement ERA-NET Neuron 2021 NDCil, </w:t>
      </w:r>
      <w:r>
        <w:rPr>
          <w:rFonts w:cs="Arial"/>
          <w:szCs w:val="18"/>
          <w:lang w:val="fr-FR"/>
        </w:rPr>
        <w:t>ref. ANR-21-NEU2-0009-03.</w:t>
      </w:r>
    </w:p>
    <w:p>
      <w:pPr>
        <w:pStyle w:val="Normal"/>
        <w:ind w:firstLine="720"/>
        <w:rPr>
          <w:lang w:val="fr-FR"/>
        </w:rPr>
      </w:pPr>
      <w:r>
        <w:rPr>
          <w:lang w:val="fr-FR"/>
        </w:rPr>
      </w:r>
    </w:p>
    <w:p>
      <w:pPr>
        <w:pStyle w:val="Normal"/>
        <w:ind w:firstLine="720"/>
        <w:rPr>
          <w:lang w:val="fr-FR"/>
        </w:rPr>
      </w:pPr>
      <w:r>
        <w:rPr>
          <w:lang w:val="fr-FR"/>
        </w:rPr>
        <w:t xml:space="preserve">3) « CiCerO » : rôle des cils primaires dans le cervelet (porteuse Sylvie Schneider-Maunoury) </w:t>
      </w:r>
    </w:p>
    <w:p>
      <w:pPr>
        <w:pStyle w:val="Normal"/>
        <w:ind w:firstLine="720" w:left="414"/>
        <w:rPr>
          <w:rFonts w:cs="Arial"/>
          <w:szCs w:val="18"/>
          <w:lang w:val="fr-FR"/>
        </w:rPr>
      </w:pPr>
      <w:r>
        <w:rPr>
          <w:lang w:val="fr-FR"/>
        </w:rPr>
        <w:t xml:space="preserve">Financement ANR PRC 2024 </w:t>
      </w:r>
    </w:p>
    <w:p>
      <w:pPr>
        <w:pStyle w:val="Normal"/>
        <w:ind w:left="1134"/>
        <w:rPr>
          <w:lang w:val="fr-FR"/>
        </w:rPr>
      </w:pPr>
      <w:r>
        <w:rPr>
          <w:lang w:val="fr-FR"/>
        </w:rPr>
        <w:t xml:space="preserve"> </w:t>
      </w:r>
    </w:p>
    <w:p>
      <w:pPr>
        <w:pStyle w:val="Normal"/>
        <w:ind w:hanging="397" w:left="1134"/>
        <w:rPr>
          <w:lang w:val="fr-FR"/>
        </w:rPr>
      </w:pPr>
      <w:r>
        <w:rPr>
          <w:lang w:val="fr-FR"/>
        </w:rPr>
        <w:t>4) « Scoliose » : Rôle des cils primaires dans la scoliose chez le poisson zèbre (porteuse : Christine Vesque) – Financement de la Fondation Cotrel 2024</w:t>
      </w:r>
    </w:p>
    <w:p>
      <w:pPr>
        <w:pStyle w:val="Normal"/>
        <w:ind w:hanging="397" w:left="1134"/>
        <w:rPr>
          <w:lang w:val="fr-FR"/>
        </w:rPr>
      </w:pPr>
      <w:r>
        <w:rPr>
          <w:lang w:val="fr-FR"/>
        </w:rPr>
      </w:r>
    </w:p>
    <w:p>
      <w:pPr>
        <w:pStyle w:val="Normal"/>
        <w:ind w:hanging="397" w:left="1134"/>
        <w:rPr>
          <w:lang w:val="fr-FR"/>
        </w:rPr>
      </w:pPr>
      <w:r>
        <w:rPr>
          <w:lang w:val="fr-FR"/>
        </w:rPr>
        <w:t xml:space="preserve">5) « BrainsToRM-112 » : Méthytransférases du complexe Trmt-112 dans les déficiences intellectuelles (porteuse : Sylvie Schneider-Maunoury) – </w:t>
      </w:r>
    </w:p>
    <w:p>
      <w:pPr>
        <w:pStyle w:val="Normal"/>
        <w:ind w:left="1134"/>
        <w:rPr>
          <w:lang w:val="fr-FR"/>
        </w:rPr>
      </w:pPr>
      <w:r>
        <w:rPr>
          <w:lang w:val="fr-FR"/>
        </w:rPr>
        <w:t>Financement ANR 2021 « BrainsToRM-112 » </w:t>
      </w:r>
    </w:p>
    <w:p>
      <w:pPr>
        <w:pStyle w:val="Normal"/>
        <w:ind w:hanging="397" w:left="1134"/>
        <w:rPr>
          <w:rFonts w:cs="Arial"/>
          <w:szCs w:val="18"/>
          <w:lang w:val="fr-FR"/>
        </w:rPr>
      </w:pPr>
      <w:r>
        <w:rPr>
          <w:rFonts w:cs="Arial"/>
          <w:szCs w:val="18"/>
          <w:lang w:val="fr-FR"/>
        </w:rPr>
      </w:r>
    </w:p>
    <w:p>
      <w:pPr>
        <w:pStyle w:val="Normal"/>
        <w:ind w:hanging="397" w:left="1134"/>
        <w:rPr>
          <w:lang w:val="fr-FR"/>
        </w:rPr>
      </w:pPr>
      <w:r>
        <w:rPr>
          <w:lang w:val="fr-FR"/>
        </w:rPr>
        <w:t>Récurrents :  Sorbonne U, CNRS, Inserm</w:t>
      </w:r>
    </w:p>
    <w:p>
      <w:pPr>
        <w:pStyle w:val="Heading3"/>
        <w:rPr>
          <w:lang w:val="fr-FR"/>
        </w:rPr>
      </w:pPr>
      <w:r>
        <w:rPr>
          <w:lang w:val="fr-FR"/>
        </w:rPr>
        <w:t>Informations sur le plan de gestion</w:t>
      </w:r>
    </w:p>
    <w:p>
      <w:pPr>
        <w:pStyle w:val="Normal"/>
        <w:rPr>
          <w:lang w:val="fr-FR"/>
        </w:rPr>
      </w:pPr>
      <w:r>
        <w:rPr>
          <w:lang w:val="fr-FR"/>
        </w:rPr>
      </w:r>
    </w:p>
    <w:p>
      <w:pPr>
        <w:pStyle w:val="Normal"/>
        <w:rPr>
          <w:lang w:val="fr-FR"/>
        </w:rPr>
      </w:pPr>
      <w:r>
        <w:rPr>
          <w:b/>
          <w:lang w:val="fr-FR"/>
        </w:rPr>
        <w:t>Historique des versions</w:t>
      </w:r>
      <w:r>
        <w:rPr>
          <w:lang w:val="fr-FR"/>
        </w:rPr>
        <w:br/>
      </w:r>
    </w:p>
    <w:p>
      <w:pPr>
        <w:pStyle w:val="Normal"/>
        <w:rPr>
          <w:lang w:val="fr-FR"/>
        </w:rPr>
      </w:pPr>
      <w:r>
        <w:rPr>
          <w:lang w:val="fr-FR"/>
        </w:rPr>
        <w:tab/>
        <w:t>v0 – version martyr pour journée des plateformes – 4 mars 2025 (Pierre-Luc Bardet)</w:t>
      </w:r>
    </w:p>
    <w:p>
      <w:pPr>
        <w:pStyle w:val="Normal"/>
        <w:rPr>
          <w:lang w:val="fr-FR"/>
        </w:rPr>
      </w:pPr>
      <w:r>
        <w:rPr>
          <w:lang w:val="fr-FR"/>
        </w:rPr>
        <w:tab/>
        <w:t>v1 – version initiale pour accès au serveur Psilo – 11 mars 2025 (Pierre-Luc Bardet)</w:t>
      </w:r>
    </w:p>
    <w:p>
      <w:pPr>
        <w:pStyle w:val="Normal"/>
        <w:ind w:firstLine="720"/>
        <w:rPr>
          <w:lang w:val="fr-FR"/>
        </w:rPr>
      </w:pPr>
      <w:r>
        <w:rPr>
          <w:lang w:val="fr-FR"/>
        </w:rPr>
        <w:t>v2 – version complétée le 11 mars 2025 (Sylvie Schneider-Maunoury)</w:t>
      </w:r>
    </w:p>
    <w:p>
      <w:pPr>
        <w:pStyle w:val="Normal"/>
        <w:rPr>
          <w:lang w:val="fr-FR"/>
        </w:rPr>
      </w:pPr>
      <w:r>
        <w:rPr>
          <w:lang w:val="fr-FR"/>
        </w:rPr>
      </w:r>
    </w:p>
    <w:p>
      <w:pPr>
        <w:pStyle w:val="Heading3"/>
        <w:rPr>
          <w:lang w:val="fr-FR"/>
        </w:rPr>
      </w:pPr>
      <w:r>
        <w:rPr>
          <w:lang w:val="fr-FR"/>
        </w:rPr>
        <w:t>Informations sur lA COLLECTE DE DONNEES</w:t>
      </w:r>
    </w:p>
    <w:p>
      <w:pPr>
        <w:pStyle w:val="Normal"/>
        <w:rPr>
          <w:lang w:val="fr-FR"/>
        </w:rPr>
      </w:pPr>
      <w:r>
        <w:rPr>
          <w:lang w:val="fr-FR"/>
        </w:rPr>
      </w:r>
    </w:p>
    <w:p>
      <w:pPr>
        <w:pStyle w:val="Normal"/>
        <w:rPr>
          <w:lang w:val="fr-FR"/>
        </w:rPr>
      </w:pPr>
      <w:r>
        <w:rPr>
          <w:b/>
          <w:lang w:val="fr-FR"/>
        </w:rPr>
        <w:t>Mode d'obtention des données</w:t>
      </w:r>
    </w:p>
    <w:p>
      <w:pPr>
        <w:pStyle w:val="Normal"/>
        <w:rPr>
          <w:b/>
          <w:lang w:val="fr-FR"/>
        </w:rPr>
      </w:pPr>
      <w:r>
        <w:rPr>
          <w:b/>
          <w:lang w:val="fr-FR"/>
        </w:rPr>
      </w:r>
    </w:p>
    <w:p>
      <w:pPr>
        <w:pStyle w:val="Normal"/>
        <w:rPr>
          <w:lang w:val="fr-FR"/>
        </w:rPr>
      </w:pPr>
      <w:r>
        <w:rPr>
          <w:lang w:val="fr-FR"/>
        </w:rPr>
        <w:tab/>
        <w:t>Données générées par la structure</w:t>
      </w:r>
    </w:p>
    <w:p>
      <w:pPr>
        <w:pStyle w:val="Normal"/>
        <w:rPr>
          <w:lang w:val="fr-FR"/>
        </w:rPr>
      </w:pPr>
      <w:r>
        <w:rPr>
          <w:lang w:val="fr-FR"/>
        </w:rPr>
      </w:r>
    </w:p>
    <w:p>
      <w:pPr>
        <w:pStyle w:val="Normal"/>
        <w:rPr>
          <w:lang w:val="fr-FR"/>
        </w:rPr>
      </w:pPr>
      <w:r>
        <w:rPr>
          <w:b/>
          <w:lang w:val="fr-FR"/>
        </w:rPr>
        <w:t xml:space="preserve">Type de données </w:t>
      </w:r>
      <w:r>
        <w:rPr>
          <w:i/>
          <w:iCs/>
          <w:sz w:val="16"/>
          <w:szCs w:val="16"/>
          <w:lang w:val="fr-FR"/>
        </w:rPr>
        <w:t xml:space="preserve">(entrée générique dans les templates de metadata : (INRAE, </w:t>
      </w:r>
      <w:r>
        <w:fldChar w:fldCharType="begin"/>
      </w:r>
      <w:r>
        <w:rPr>
          <w:rStyle w:val="Hyperlink"/>
          <w:sz w:val="16"/>
          <w:i/>
          <w:szCs w:val="16"/>
          <w:iCs/>
          <w:lang w:val="fr-FR"/>
        </w:rPr>
        <w:instrText xml:space="preserve"> HYPERLINK "https://datacite-metadata-schema.readthedocs.io/en/4.6/properties/resourcetype/" \l "id1"</w:instrText>
      </w:r>
      <w:r>
        <w:rPr>
          <w:rStyle w:val="Hyperlink"/>
          <w:sz w:val="16"/>
          <w:i/>
          <w:szCs w:val="16"/>
          <w:iCs/>
          <w:lang w:val="fr-FR"/>
        </w:rPr>
        <w:fldChar w:fldCharType="separate"/>
      </w:r>
      <w:r>
        <w:rPr>
          <w:rStyle w:val="Hyperlink"/>
          <w:i/>
          <w:iCs/>
          <w:sz w:val="16"/>
          <w:szCs w:val="16"/>
          <w:lang w:val="fr-FR"/>
        </w:rPr>
        <w:t>DataCite</w:t>
      </w:r>
      <w:r>
        <w:rPr>
          <w:rStyle w:val="Hyperlink"/>
          <w:sz w:val="16"/>
          <w:i/>
          <w:szCs w:val="16"/>
          <w:iCs/>
          <w:lang w:val="fr-FR"/>
        </w:rPr>
        <w:fldChar w:fldCharType="end"/>
      </w:r>
      <w:r>
        <w:rPr>
          <w:i/>
          <w:iCs/>
          <w:sz w:val="16"/>
          <w:szCs w:val="16"/>
          <w:lang w:val="fr-FR"/>
        </w:rPr>
        <w:t>...)</w:t>
      </w:r>
    </w:p>
    <w:p>
      <w:pPr>
        <w:pStyle w:val="Normal"/>
        <w:rPr>
          <w:b/>
          <w:lang w:val="fr-FR"/>
        </w:rPr>
      </w:pPr>
      <w:r>
        <w:rPr>
          <w:b/>
          <w:lang w:val="fr-FR"/>
        </w:rPr>
      </w:r>
    </w:p>
    <w:p>
      <w:pPr>
        <w:pStyle w:val="ListParagraph"/>
        <w:numPr>
          <w:ilvl w:val="0"/>
          <w:numId w:val="2"/>
        </w:numPr>
        <w:rPr>
          <w:lang w:val="fr-FR"/>
        </w:rPr>
      </w:pPr>
      <w:r>
        <w:rPr>
          <w:lang w:val="fr-FR"/>
        </w:rPr>
        <w:t>Images/Images de microscopie</w:t>
      </w:r>
    </w:p>
    <w:p>
      <w:pPr>
        <w:pStyle w:val="ListParagraph"/>
        <w:numPr>
          <w:ilvl w:val="0"/>
          <w:numId w:val="2"/>
        </w:numPr>
        <w:rPr>
          <w:lang w:val="fr-FR"/>
        </w:rPr>
      </w:pPr>
      <w:r>
        <w:rPr>
          <w:lang w:val="fr-FR"/>
        </w:rPr>
        <w:t>Jeu de d</w:t>
      </w:r>
      <w:r>
        <w:rPr>
          <w:lang w:val="fr-FR"/>
        </w:rPr>
        <w:t xml:space="preserve">onnées </w:t>
      </w:r>
      <w:r>
        <w:rPr>
          <w:lang w:val="fr-FR"/>
        </w:rPr>
        <w:t>(Dataset)/Données de séquencage ARN</w:t>
      </w:r>
    </w:p>
    <w:p>
      <w:pPr>
        <w:pStyle w:val="Normal"/>
        <w:rPr>
          <w:b/>
          <w:lang w:val="fr-FR"/>
        </w:rPr>
      </w:pPr>
      <w:r>
        <w:rPr>
          <w:b/>
          <w:lang w:val="fr-FR"/>
        </w:rPr>
      </w:r>
    </w:p>
    <w:p>
      <w:pPr>
        <w:pStyle w:val="Normal"/>
        <w:rPr>
          <w:lang w:val="fr-FR"/>
        </w:rPr>
      </w:pPr>
      <w:r>
        <w:rPr>
          <w:b/>
          <w:lang w:val="fr-FR"/>
        </w:rPr>
        <w:t xml:space="preserve">Origine </w:t>
      </w:r>
      <w:r>
        <w:rPr>
          <w:i/>
          <w:iCs/>
          <w:sz w:val="16"/>
          <w:szCs w:val="16"/>
          <w:lang w:val="fr-FR"/>
        </w:rPr>
        <w:t xml:space="preserve">(Recommandations: L'origine des données correspond à la métadonnée Data Origin dans l'entrepôt </w:t>
      </w:r>
      <w:hyperlink r:id="rId3">
        <w:r>
          <w:rPr>
            <w:rStyle w:val="Style3"/>
            <w:i/>
            <w:iCs/>
            <w:color w:val="000080"/>
            <w:sz w:val="16"/>
            <w:szCs w:val="16"/>
            <w:u w:val="single"/>
            <w:lang w:val="fr-FR"/>
          </w:rPr>
          <w:t>Data INRAE</w:t>
        </w:r>
      </w:hyperlink>
      <w:r>
        <w:rPr>
          <w:i/>
          <w:iCs/>
          <w:color w:val="000080"/>
          <w:sz w:val="16"/>
          <w:szCs w:val="16"/>
          <w:u w:val="single"/>
          <w:lang w:val="fr-FR"/>
        </w:rPr>
        <w:t>)</w:t>
      </w:r>
    </w:p>
    <w:p>
      <w:pPr>
        <w:pStyle w:val="Normal"/>
        <w:rPr>
          <w:b/>
          <w:lang w:val="fr-FR"/>
        </w:rPr>
      </w:pPr>
      <w:r>
        <w:rPr>
          <w:b/>
          <w:lang w:val="fr-FR"/>
        </w:rPr>
      </w:r>
    </w:p>
    <w:p>
      <w:pPr>
        <w:pStyle w:val="Normal"/>
        <w:rPr>
          <w:b/>
          <w:lang w:val="fr-FR"/>
        </w:rPr>
      </w:pPr>
      <w:r>
        <w:rPr>
          <w:b/>
          <w:lang w:val="fr-FR"/>
        </w:rPr>
        <w:tab/>
      </w:r>
      <w:r>
        <w:rPr>
          <w:lang w:val="fr-FR"/>
        </w:rPr>
        <w:t>Données expérimentales</w:t>
      </w:r>
    </w:p>
    <w:p>
      <w:pPr>
        <w:pStyle w:val="Normal"/>
        <w:rPr>
          <w:lang w:val="fr-FR"/>
        </w:rPr>
      </w:pPr>
      <w:r>
        <w:rPr>
          <w:lang w:val="fr-FR"/>
        </w:rPr>
      </w:r>
    </w:p>
    <w:p>
      <w:pPr>
        <w:pStyle w:val="Normal"/>
        <w:rPr>
          <w:lang w:val="fr-FR"/>
        </w:rPr>
      </w:pPr>
      <w:r>
        <w:rPr>
          <w:b/>
          <w:lang w:val="fr-FR"/>
        </w:rPr>
        <w:t>Nature des données</w:t>
      </w:r>
    </w:p>
    <w:p>
      <w:pPr>
        <w:pStyle w:val="Normal"/>
        <w:rPr>
          <w:lang w:val="fr-FR"/>
        </w:rPr>
      </w:pPr>
      <w:r>
        <w:rPr>
          <w:lang w:val="fr-FR"/>
        </w:rPr>
      </w:r>
    </w:p>
    <w:p>
      <w:pPr>
        <w:pStyle w:val="ListParagraph"/>
        <w:numPr>
          <w:ilvl w:val="0"/>
          <w:numId w:val="2"/>
        </w:numPr>
        <w:rPr>
          <w:lang w:val="fr-FR"/>
        </w:rPr>
      </w:pPr>
      <w:r>
        <w:rPr>
          <w:lang w:val="fr-FR"/>
        </w:rPr>
        <w:t>Fichiers bruts d’acquisition sur microscopes de type confocal de la plateforme de l’IBPS.</w:t>
      </w:r>
    </w:p>
    <w:p>
      <w:pPr>
        <w:pStyle w:val="ListParagraph"/>
        <w:numPr>
          <w:ilvl w:val="0"/>
          <w:numId w:val="2"/>
        </w:numPr>
        <w:rPr>
          <w:lang w:val="fr-FR"/>
        </w:rPr>
      </w:pPr>
      <w:r>
        <w:rPr>
          <w:lang w:val="fr-FR"/>
        </w:rPr>
        <w:t xml:space="preserve">Fichiers bruts de RNAseq </w:t>
      </w:r>
      <w:r>
        <w:rPr>
          <w:lang w:val="fr-FR"/>
        </w:rPr>
        <w:t>obtenus via la p</w:t>
      </w:r>
      <w:r>
        <w:rPr>
          <w:rFonts w:cs="Arial"/>
          <w:color w:themeColor="text1" w:val="000000"/>
          <w:szCs w:val="18"/>
          <w:lang w:val="fr-FR"/>
        </w:rPr>
        <w:t>lateforme IGenSeq de l’ICM (Institute du cerveau).</w:t>
      </w:r>
      <w:r>
        <w:rPr>
          <w:lang w:val="fr-FR"/>
        </w:rPr>
        <w:t xml:space="preserve">                 </w:t>
      </w:r>
    </w:p>
    <w:p>
      <w:pPr>
        <w:pStyle w:val="Normal"/>
        <w:rPr>
          <w:lang w:val="fr-FR"/>
        </w:rPr>
      </w:pPr>
      <w:r>
        <w:rPr>
          <w:lang w:val="fr-FR"/>
        </w:rPr>
      </w:r>
    </w:p>
    <w:p>
      <w:pPr>
        <w:pStyle w:val="Normal"/>
        <w:rPr>
          <w:lang w:val="fr-FR"/>
        </w:rPr>
      </w:pPr>
      <w:r>
        <w:rPr>
          <w:lang w:val="fr-FR"/>
        </w:rPr>
      </w:r>
    </w:p>
    <w:p>
      <w:pPr>
        <w:pStyle w:val="Normal"/>
        <w:rPr>
          <w:b/>
        </w:rPr>
      </w:pPr>
      <w:r>
        <w:rPr>
          <w:b/>
        </w:rPr>
        <w:t>Format des données</w:t>
      </w:r>
    </w:p>
    <w:p>
      <w:pPr>
        <w:pStyle w:val="Normal"/>
        <w:rPr/>
      </w:pPr>
      <w:r>
        <w:rPr/>
      </w:r>
    </w:p>
    <w:p>
      <w:pPr>
        <w:pStyle w:val="Normal"/>
        <w:rPr>
          <w:i/>
          <w:i/>
          <w:iCs/>
        </w:rPr>
      </w:pPr>
      <w:r>
        <w:rPr>
          <w:i/>
          <w:iCs/>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2339"/>
        <w:gridCol w:w="2341"/>
        <w:gridCol w:w="2340"/>
        <w:gridCol w:w="2339"/>
      </w:tblGrid>
      <w:tr>
        <w:trPr/>
        <w:tc>
          <w:tcPr>
            <w:tcW w:w="9359" w:type="dxa"/>
            <w:gridSpan w:val="4"/>
            <w:tcBorders>
              <w:top w:val="single" w:sz="4" w:space="0" w:color="000000"/>
              <w:left w:val="single" w:sz="4" w:space="0" w:color="000000"/>
              <w:bottom w:val="single" w:sz="4" w:space="0" w:color="000000"/>
              <w:right w:val="single" w:sz="4" w:space="0" w:color="000000"/>
            </w:tcBorders>
          </w:tcPr>
          <w:p>
            <w:pPr>
              <w:pStyle w:val="Contenudetableau"/>
              <w:jc w:val="center"/>
              <w:rPr>
                <w:b/>
                <w:bCs/>
                <w:i/>
                <w:i/>
                <w:iCs/>
              </w:rPr>
            </w:pPr>
            <w:r>
              <w:rPr>
                <w:b/>
                <w:bCs/>
                <w:i/>
                <w:iCs/>
              </w:rPr>
              <w:t>Données d’imagerie</w:t>
            </w:r>
          </w:p>
        </w:tc>
      </w:tr>
      <w:tr>
        <w:trPr/>
        <w:tc>
          <w:tcPr>
            <w:tcW w:w="2339" w:type="dxa"/>
            <w:tcBorders>
              <w:top w:val="single" w:sz="4" w:space="0" w:color="000000"/>
              <w:left w:val="single" w:sz="4" w:space="0" w:color="000000"/>
              <w:bottom w:val="single" w:sz="4" w:space="0" w:color="000000"/>
            </w:tcBorders>
          </w:tcPr>
          <w:p>
            <w:pPr>
              <w:pStyle w:val="Contenudetableau"/>
              <w:jc w:val="center"/>
              <w:rPr>
                <w:b/>
                <w:bCs/>
              </w:rPr>
            </w:pPr>
            <w:r>
              <w:rPr>
                <w:b/>
                <w:bCs/>
              </w:rPr>
              <w:t>microscope</w:t>
            </w:r>
          </w:p>
        </w:tc>
        <w:tc>
          <w:tcPr>
            <w:tcW w:w="2341" w:type="dxa"/>
            <w:tcBorders>
              <w:top w:val="single" w:sz="4" w:space="0" w:color="000000"/>
              <w:left w:val="single" w:sz="4" w:space="0" w:color="000000"/>
              <w:bottom w:val="single" w:sz="4" w:space="0" w:color="000000"/>
            </w:tcBorders>
          </w:tcPr>
          <w:p>
            <w:pPr>
              <w:pStyle w:val="Contenudetableau"/>
              <w:jc w:val="center"/>
              <w:rPr>
                <w:b/>
                <w:bCs/>
              </w:rPr>
            </w:pPr>
            <w:r>
              <w:rPr>
                <w:b/>
                <w:bCs/>
              </w:rPr>
              <w:t>Logiciel d’acquisition</w:t>
            </w:r>
          </w:p>
        </w:tc>
        <w:tc>
          <w:tcPr>
            <w:tcW w:w="2340" w:type="dxa"/>
            <w:tcBorders>
              <w:top w:val="single" w:sz="4" w:space="0" w:color="000000"/>
              <w:left w:val="single" w:sz="4" w:space="0" w:color="000000"/>
              <w:bottom w:val="single" w:sz="4" w:space="0" w:color="000000"/>
            </w:tcBorders>
          </w:tcPr>
          <w:p>
            <w:pPr>
              <w:pStyle w:val="Contenudetableau"/>
              <w:jc w:val="center"/>
              <w:rPr>
                <w:b/>
                <w:bCs/>
              </w:rPr>
            </w:pPr>
            <w:r>
              <w:rPr>
                <w:b/>
                <w:bCs/>
              </w:rPr>
              <w:t>Format des fichiers bruts</w:t>
            </w:r>
          </w:p>
        </w:tc>
        <w:tc>
          <w:tcPr>
            <w:tcW w:w="2339" w:type="dxa"/>
            <w:tcBorders>
              <w:top w:val="single" w:sz="4" w:space="0" w:color="000000"/>
              <w:left w:val="single" w:sz="4" w:space="0" w:color="000000"/>
              <w:bottom w:val="single" w:sz="4" w:space="0" w:color="000000"/>
              <w:right w:val="single" w:sz="4" w:space="0" w:color="000000"/>
            </w:tcBorders>
          </w:tcPr>
          <w:p>
            <w:pPr>
              <w:pStyle w:val="Contenudetableau"/>
              <w:jc w:val="center"/>
              <w:rPr>
                <w:b/>
                <w:bCs/>
              </w:rPr>
            </w:pPr>
            <w:r>
              <w:rPr>
                <w:b/>
                <w:bCs/>
              </w:rPr>
              <w:t>Ouvrable avec</w:t>
            </w:r>
          </w:p>
        </w:tc>
      </w:tr>
      <w:tr>
        <w:trPr/>
        <w:tc>
          <w:tcPr>
            <w:tcW w:w="2339" w:type="dxa"/>
            <w:tcBorders>
              <w:left w:val="single" w:sz="4" w:space="0" w:color="000000"/>
              <w:bottom w:val="single" w:sz="4" w:space="0" w:color="000000"/>
            </w:tcBorders>
          </w:tcPr>
          <w:p>
            <w:pPr>
              <w:pStyle w:val="Contenudetableau"/>
              <w:jc w:val="center"/>
              <w:rPr/>
            </w:pPr>
            <w:r>
              <w:rPr/>
              <w:t>Confocal Zeiss LSM 980</w:t>
            </w:r>
          </w:p>
        </w:tc>
        <w:tc>
          <w:tcPr>
            <w:tcW w:w="2341" w:type="dxa"/>
            <w:tcBorders>
              <w:left w:val="single" w:sz="4" w:space="0" w:color="000000"/>
              <w:bottom w:val="single" w:sz="4" w:space="0" w:color="000000"/>
            </w:tcBorders>
          </w:tcPr>
          <w:p>
            <w:pPr>
              <w:pStyle w:val="Contenudetableau"/>
              <w:jc w:val="center"/>
              <w:rPr/>
            </w:pPr>
            <w:r>
              <w:rPr/>
              <w:t>ZEN microscopy software</w:t>
            </w:r>
          </w:p>
        </w:tc>
        <w:tc>
          <w:tcPr>
            <w:tcW w:w="2340" w:type="dxa"/>
            <w:tcBorders>
              <w:left w:val="single" w:sz="4" w:space="0" w:color="000000"/>
              <w:bottom w:val="single" w:sz="4" w:space="0" w:color="000000"/>
            </w:tcBorders>
          </w:tcPr>
          <w:p>
            <w:pPr>
              <w:pStyle w:val="Contenudetableau"/>
              <w:jc w:val="center"/>
              <w:rPr/>
            </w:pPr>
            <w:r>
              <w:rPr/>
              <w:t>.czi</w:t>
            </w:r>
          </w:p>
        </w:tc>
        <w:tc>
          <w:tcPr>
            <w:tcW w:w="2339" w:type="dxa"/>
            <w:tcBorders>
              <w:left w:val="single" w:sz="4" w:space="0" w:color="000000"/>
              <w:bottom w:val="single" w:sz="4" w:space="0" w:color="000000"/>
              <w:right w:val="single" w:sz="4" w:space="0" w:color="000000"/>
            </w:tcBorders>
          </w:tcPr>
          <w:p>
            <w:pPr>
              <w:pStyle w:val="Contenudetableau"/>
              <w:jc w:val="center"/>
              <w:rPr/>
            </w:pPr>
            <w:r>
              <w:rPr/>
              <w:t>ZEN, ImageJ, Fiji,…</w:t>
            </w:r>
          </w:p>
        </w:tc>
      </w:tr>
      <w:tr>
        <w:trPr/>
        <w:tc>
          <w:tcPr>
            <w:tcW w:w="2339" w:type="dxa"/>
            <w:tcBorders>
              <w:left w:val="single" w:sz="4" w:space="0" w:color="000000"/>
              <w:bottom w:val="single" w:sz="4" w:space="0" w:color="000000"/>
            </w:tcBorders>
          </w:tcPr>
          <w:p>
            <w:pPr>
              <w:pStyle w:val="Contenudetableau"/>
              <w:jc w:val="center"/>
              <w:rPr/>
            </w:pPr>
            <w:r>
              <w:rPr/>
              <w:t>Confocal Leica SP5 &amp; SP8</w:t>
            </w:r>
          </w:p>
        </w:tc>
        <w:tc>
          <w:tcPr>
            <w:tcW w:w="2341" w:type="dxa"/>
            <w:tcBorders>
              <w:left w:val="single" w:sz="4" w:space="0" w:color="000000"/>
              <w:bottom w:val="single" w:sz="4" w:space="0" w:color="000000"/>
            </w:tcBorders>
          </w:tcPr>
          <w:p>
            <w:pPr>
              <w:pStyle w:val="Contenudetableau"/>
              <w:jc w:val="center"/>
              <w:rPr/>
            </w:pPr>
            <w:r>
              <w:rPr/>
              <w:t>LAS software</w:t>
            </w:r>
          </w:p>
        </w:tc>
        <w:tc>
          <w:tcPr>
            <w:tcW w:w="2340" w:type="dxa"/>
            <w:tcBorders>
              <w:left w:val="single" w:sz="4" w:space="0" w:color="000000"/>
              <w:bottom w:val="single" w:sz="4" w:space="0" w:color="000000"/>
            </w:tcBorders>
          </w:tcPr>
          <w:p>
            <w:pPr>
              <w:pStyle w:val="Contenudetableau"/>
              <w:jc w:val="center"/>
              <w:rPr/>
            </w:pPr>
            <w:r>
              <w:rPr/>
              <w:t>.lif</w:t>
            </w:r>
          </w:p>
        </w:tc>
        <w:tc>
          <w:tcPr>
            <w:tcW w:w="2339" w:type="dxa"/>
            <w:tcBorders>
              <w:left w:val="single" w:sz="4" w:space="0" w:color="000000"/>
              <w:bottom w:val="single" w:sz="4" w:space="0" w:color="000000"/>
              <w:right w:val="single" w:sz="4" w:space="0" w:color="000000"/>
            </w:tcBorders>
          </w:tcPr>
          <w:p>
            <w:pPr>
              <w:pStyle w:val="Contenudetableau"/>
              <w:jc w:val="center"/>
              <w:rPr/>
            </w:pPr>
            <w:r>
              <w:rPr/>
              <w:t>LAS, ImageJ, Fiji,…</w:t>
            </w:r>
          </w:p>
        </w:tc>
      </w:tr>
      <w:tr>
        <w:trPr/>
        <w:tc>
          <w:tcPr>
            <w:tcW w:w="2339" w:type="dxa"/>
            <w:tcBorders>
              <w:left w:val="single" w:sz="4" w:space="0" w:color="000000"/>
              <w:bottom w:val="single" w:sz="4" w:space="0" w:color="000000"/>
            </w:tcBorders>
          </w:tcPr>
          <w:p>
            <w:pPr>
              <w:pStyle w:val="Contenudetableau"/>
              <w:jc w:val="center"/>
              <w:rPr/>
            </w:pPr>
            <w:r>
              <w:rPr/>
              <w:t>Yokogawa spinning disk</w:t>
            </w:r>
          </w:p>
        </w:tc>
        <w:tc>
          <w:tcPr>
            <w:tcW w:w="2341" w:type="dxa"/>
            <w:tcBorders>
              <w:left w:val="single" w:sz="4" w:space="0" w:color="000000"/>
              <w:bottom w:val="single" w:sz="4" w:space="0" w:color="000000"/>
            </w:tcBorders>
          </w:tcPr>
          <w:p>
            <w:pPr>
              <w:pStyle w:val="Contenudetableau"/>
              <w:jc w:val="center"/>
              <w:rPr/>
            </w:pPr>
            <w:r>
              <w:rPr/>
              <w:t>Metamorph</w:t>
            </w:r>
          </w:p>
        </w:tc>
        <w:tc>
          <w:tcPr>
            <w:tcW w:w="2340" w:type="dxa"/>
            <w:tcBorders>
              <w:left w:val="single" w:sz="4" w:space="0" w:color="000000"/>
              <w:bottom w:val="single" w:sz="4" w:space="0" w:color="000000"/>
            </w:tcBorders>
          </w:tcPr>
          <w:p>
            <w:pPr>
              <w:pStyle w:val="Contenudetableau"/>
              <w:jc w:val="center"/>
              <w:rPr/>
            </w:pPr>
            <w:r>
              <w:rPr/>
              <w:t>.nd, .tif</w:t>
            </w:r>
          </w:p>
        </w:tc>
        <w:tc>
          <w:tcPr>
            <w:tcW w:w="2339" w:type="dxa"/>
            <w:tcBorders>
              <w:left w:val="single" w:sz="4" w:space="0" w:color="000000"/>
              <w:bottom w:val="single" w:sz="4" w:space="0" w:color="000000"/>
              <w:right w:val="single" w:sz="4" w:space="0" w:color="000000"/>
            </w:tcBorders>
          </w:tcPr>
          <w:p>
            <w:pPr>
              <w:pStyle w:val="Contenudetableau"/>
              <w:jc w:val="center"/>
              <w:rPr/>
            </w:pPr>
            <w:r>
              <w:rPr/>
              <w:t>ImageJ, Fiji,…</w:t>
            </w:r>
          </w:p>
        </w:tc>
      </w:tr>
      <w:tr>
        <w:trPr/>
        <w:tc>
          <w:tcPr>
            <w:tcW w:w="9359" w:type="dxa"/>
            <w:gridSpan w:val="4"/>
            <w:tcBorders>
              <w:top w:val="single" w:sz="4" w:space="0" w:color="000000"/>
              <w:left w:val="single" w:sz="4" w:space="0" w:color="000000"/>
              <w:bottom w:val="single" w:sz="4" w:space="0" w:color="000000"/>
              <w:right w:val="single" w:sz="4" w:space="0" w:color="000000"/>
            </w:tcBorders>
          </w:tcPr>
          <w:p>
            <w:pPr>
              <w:pStyle w:val="Contenudetableau"/>
              <w:jc w:val="center"/>
              <w:rPr>
                <w:b/>
                <w:bCs/>
                <w:i/>
                <w:i/>
                <w:iCs/>
              </w:rPr>
            </w:pPr>
            <w:r>
              <w:rPr>
                <w:b/>
                <w:bCs/>
                <w:i/>
                <w:iCs/>
              </w:rPr>
              <w:t>Données de RNAseq</w:t>
            </w:r>
          </w:p>
        </w:tc>
      </w:tr>
      <w:tr>
        <w:trPr/>
        <w:tc>
          <w:tcPr>
            <w:tcW w:w="2339" w:type="dxa"/>
            <w:tcBorders>
              <w:top w:val="single" w:sz="4" w:space="0" w:color="000000"/>
              <w:left w:val="single" w:sz="4" w:space="0" w:color="000000"/>
              <w:bottom w:val="single" w:sz="4" w:space="0" w:color="000000"/>
            </w:tcBorders>
          </w:tcPr>
          <w:p>
            <w:pPr>
              <w:pStyle w:val="Contenudetableau"/>
              <w:jc w:val="center"/>
              <w:rPr>
                <w:b/>
                <w:bCs/>
              </w:rPr>
            </w:pPr>
            <w:r>
              <w:rPr>
                <w:b/>
                <w:bCs/>
              </w:rPr>
              <w:t>Séquenceur (Service)</w:t>
            </w:r>
          </w:p>
        </w:tc>
        <w:tc>
          <w:tcPr>
            <w:tcW w:w="2341" w:type="dxa"/>
            <w:tcBorders>
              <w:top w:val="single" w:sz="4" w:space="0" w:color="000000"/>
              <w:left w:val="single" w:sz="4" w:space="0" w:color="000000"/>
              <w:bottom w:val="single" w:sz="4" w:space="0" w:color="000000"/>
            </w:tcBorders>
          </w:tcPr>
          <w:p>
            <w:pPr>
              <w:pStyle w:val="Contenudetableau"/>
              <w:jc w:val="center"/>
              <w:rPr>
                <w:rFonts w:cs="Arial"/>
                <w:b/>
                <w:bCs/>
                <w:color w:themeColor="text1" w:val="000000"/>
                <w:szCs w:val="18"/>
                <w:lang w:val="fr-FR"/>
              </w:rPr>
            </w:pPr>
            <w:r>
              <w:rPr>
                <w:rFonts w:cs="Arial"/>
                <w:b/>
                <w:bCs/>
                <w:color w:themeColor="text1" w:val="000000"/>
                <w:szCs w:val="18"/>
                <w:lang w:val="fr-FR"/>
              </w:rPr>
              <w:t>Logiciel d’acquisition</w:t>
            </w:r>
          </w:p>
        </w:tc>
        <w:tc>
          <w:tcPr>
            <w:tcW w:w="2340" w:type="dxa"/>
            <w:tcBorders>
              <w:top w:val="single" w:sz="4" w:space="0" w:color="000000"/>
              <w:left w:val="single" w:sz="4" w:space="0" w:color="000000"/>
              <w:bottom w:val="single" w:sz="4" w:space="0" w:color="000000"/>
            </w:tcBorders>
          </w:tcPr>
          <w:p>
            <w:pPr>
              <w:pStyle w:val="Contenudetableau"/>
              <w:jc w:val="center"/>
              <w:rPr>
                <w:b/>
                <w:bCs/>
              </w:rPr>
            </w:pPr>
            <w:r>
              <w:rPr>
                <w:b/>
                <w:bCs/>
              </w:rPr>
              <w:t>Format des fichiers bruts</w:t>
            </w:r>
          </w:p>
        </w:tc>
        <w:tc>
          <w:tcPr>
            <w:tcW w:w="2339" w:type="dxa"/>
            <w:tcBorders>
              <w:top w:val="single" w:sz="4" w:space="0" w:color="000000"/>
              <w:left w:val="single" w:sz="4" w:space="0" w:color="000000"/>
              <w:bottom w:val="single" w:sz="4" w:space="0" w:color="000000"/>
              <w:right w:val="single" w:sz="4" w:space="0" w:color="000000"/>
            </w:tcBorders>
          </w:tcPr>
          <w:p>
            <w:pPr>
              <w:pStyle w:val="Contenudetableau"/>
              <w:jc w:val="center"/>
              <w:rPr>
                <w:b/>
                <w:bCs/>
              </w:rPr>
            </w:pPr>
            <w:r>
              <w:rPr>
                <w:b/>
                <w:bCs/>
              </w:rPr>
              <w:t>Ouvrable avec</w:t>
            </w:r>
          </w:p>
        </w:tc>
      </w:tr>
      <w:tr>
        <w:trPr/>
        <w:tc>
          <w:tcPr>
            <w:tcW w:w="2339" w:type="dxa"/>
            <w:tcBorders>
              <w:top w:val="single" w:sz="4" w:space="0" w:color="000000"/>
              <w:left w:val="single" w:sz="4" w:space="0" w:color="000000"/>
              <w:bottom w:val="single" w:sz="4" w:space="0" w:color="000000"/>
            </w:tcBorders>
          </w:tcPr>
          <w:p>
            <w:pPr>
              <w:pStyle w:val="Contenudetableau"/>
              <w:suppressAutoHyphens w:val="true"/>
              <w:bidi w:val="0"/>
              <w:spacing w:before="0" w:after="0"/>
              <w:jc w:val="center"/>
              <w:rPr>
                <w:rFonts w:ascii="Arial" w:hAnsi="Arial" w:eastAsia="Times New Roman" w:cs="Times New Roman"/>
                <w:color w:val="auto"/>
                <w:kern w:val="0"/>
                <w:sz w:val="18"/>
                <w:szCs w:val="20"/>
                <w:lang w:val="en-US" w:eastAsia="ja-JP" w:bidi="ar-SA"/>
              </w:rPr>
            </w:pPr>
            <w:r>
              <w:rPr>
                <w:rFonts w:eastAsia="Times New Roman" w:cs="Times New Roman"/>
                <w:color w:val="auto"/>
                <w:kern w:val="0"/>
                <w:sz w:val="18"/>
                <w:szCs w:val="20"/>
                <w:lang w:val="en-US" w:eastAsia="ja-JP" w:bidi="ar-SA"/>
              </w:rPr>
              <w:t>Novaseq6000 ILLUMINA, paired end.</w:t>
            </w:r>
          </w:p>
        </w:tc>
        <w:tc>
          <w:tcPr>
            <w:tcW w:w="2341" w:type="dxa"/>
            <w:tcBorders>
              <w:top w:val="single" w:sz="4" w:space="0" w:color="000000"/>
              <w:left w:val="single" w:sz="4" w:space="0" w:color="000000"/>
              <w:bottom w:val="single" w:sz="4" w:space="0" w:color="000000"/>
            </w:tcBorders>
          </w:tcPr>
          <w:p>
            <w:pPr>
              <w:pStyle w:val="Contenudetableau"/>
              <w:jc w:val="center"/>
              <w:rPr>
                <w:rFonts w:cs="Arial"/>
                <w:szCs w:val="18"/>
              </w:rPr>
            </w:pPr>
            <w:r>
              <w:rPr>
                <w:rFonts w:cs="Arial"/>
                <w:szCs w:val="18"/>
              </w:rPr>
            </w:r>
          </w:p>
        </w:tc>
        <w:tc>
          <w:tcPr>
            <w:tcW w:w="2340" w:type="dxa"/>
            <w:tcBorders>
              <w:top w:val="single" w:sz="4" w:space="0" w:color="000000"/>
              <w:left w:val="single" w:sz="4" w:space="0" w:color="000000"/>
              <w:bottom w:val="single" w:sz="4" w:space="0" w:color="000000"/>
            </w:tcBorders>
          </w:tcPr>
          <w:p>
            <w:pPr>
              <w:pStyle w:val="Contenudetableau"/>
              <w:suppressAutoHyphens w:val="true"/>
              <w:bidi w:val="0"/>
              <w:spacing w:before="0" w:after="0"/>
              <w:jc w:val="center"/>
              <w:rPr>
                <w:rFonts w:ascii="Arial" w:hAnsi="Arial" w:eastAsia="Times New Roman" w:cs="Times New Roman"/>
                <w:color w:val="auto"/>
                <w:kern w:val="0"/>
                <w:sz w:val="18"/>
                <w:szCs w:val="20"/>
                <w:lang w:val="en-US" w:eastAsia="ja-JP" w:bidi="ar-SA"/>
              </w:rPr>
            </w:pPr>
            <w:r>
              <w:rPr>
                <w:rFonts w:eastAsia="Times New Roman" w:cs="Times New Roman"/>
                <w:color w:val="auto"/>
                <w:kern w:val="0"/>
                <w:sz w:val="18"/>
                <w:szCs w:val="20"/>
                <w:lang w:val="en-US" w:eastAsia="ja-JP" w:bidi="ar-SA"/>
              </w:rPr>
              <w:t>fastqsanger.gz</w:t>
            </w:r>
          </w:p>
        </w:tc>
        <w:tc>
          <w:tcPr>
            <w:tcW w:w="2339" w:type="dxa"/>
            <w:tcBorders>
              <w:top w:val="single" w:sz="4" w:space="0" w:color="000000"/>
              <w:left w:val="single" w:sz="4" w:space="0" w:color="000000"/>
              <w:bottom w:val="single" w:sz="4" w:space="0" w:color="000000"/>
              <w:right w:val="single" w:sz="4" w:space="0" w:color="000000"/>
            </w:tcBorders>
          </w:tcPr>
          <w:p>
            <w:pPr>
              <w:pStyle w:val="Contenudetableau"/>
              <w:jc w:val="center"/>
              <w:rPr>
                <w:b/>
                <w:bCs/>
              </w:rPr>
            </w:pPr>
            <w:r>
              <w:rPr>
                <w:b/>
                <w:bCs/>
              </w:rPr>
            </w:r>
          </w:p>
        </w:tc>
      </w:tr>
      <w:tr>
        <w:trPr/>
        <w:tc>
          <w:tcPr>
            <w:tcW w:w="2339" w:type="dxa"/>
            <w:tcBorders>
              <w:left w:val="single" w:sz="4" w:space="0" w:color="000000"/>
              <w:bottom w:val="single" w:sz="4" w:space="0" w:color="000000"/>
            </w:tcBorders>
          </w:tcPr>
          <w:p>
            <w:pPr>
              <w:pStyle w:val="Contenudetableau"/>
              <w:jc w:val="center"/>
              <w:rPr/>
            </w:pPr>
            <w:r>
              <w:rPr/>
            </w:r>
          </w:p>
        </w:tc>
        <w:tc>
          <w:tcPr>
            <w:tcW w:w="2341" w:type="dxa"/>
            <w:tcBorders>
              <w:left w:val="single" w:sz="4" w:space="0" w:color="000000"/>
              <w:bottom w:val="single" w:sz="4" w:space="0" w:color="000000"/>
            </w:tcBorders>
          </w:tcPr>
          <w:p>
            <w:pPr>
              <w:pStyle w:val="Contenudetableau"/>
              <w:jc w:val="center"/>
              <w:rPr/>
            </w:pPr>
            <w:r>
              <w:rPr/>
            </w:r>
          </w:p>
        </w:tc>
        <w:tc>
          <w:tcPr>
            <w:tcW w:w="2340" w:type="dxa"/>
            <w:tcBorders>
              <w:left w:val="single" w:sz="4" w:space="0" w:color="000000"/>
              <w:bottom w:val="single" w:sz="4" w:space="0" w:color="000000"/>
            </w:tcBorders>
          </w:tcPr>
          <w:p>
            <w:pPr>
              <w:pStyle w:val="Contenudetableau"/>
              <w:jc w:val="center"/>
              <w:rPr/>
            </w:pPr>
            <w:r>
              <w:rPr/>
            </w:r>
          </w:p>
        </w:tc>
        <w:tc>
          <w:tcPr>
            <w:tcW w:w="2339" w:type="dxa"/>
            <w:tcBorders>
              <w:left w:val="single" w:sz="4" w:space="0" w:color="000000"/>
              <w:bottom w:val="single" w:sz="4" w:space="0" w:color="000000"/>
              <w:right w:val="single" w:sz="4" w:space="0" w:color="000000"/>
            </w:tcBorders>
          </w:tcPr>
          <w:p>
            <w:pPr>
              <w:pStyle w:val="Contenudetableau"/>
              <w:jc w:val="center"/>
              <w:rPr/>
            </w:pPr>
            <w:r>
              <w:rPr/>
            </w:r>
          </w:p>
        </w:tc>
      </w:tr>
    </w:tbl>
    <w:p>
      <w:pPr>
        <w:pStyle w:val="Normal"/>
        <w:rPr/>
      </w:pPr>
      <w:r>
        <w:rPr/>
      </w:r>
    </w:p>
    <w:p>
      <w:pPr>
        <w:pStyle w:val="Normal"/>
        <w:rPr>
          <w:lang w:val="fr-FR"/>
        </w:rPr>
      </w:pPr>
      <w:r>
        <w:rPr>
          <w:lang w:val="fr-FR"/>
        </w:rPr>
        <w:tab/>
        <w:t>Tout effort pour convertir les données brutes d’imagerie en format ouvert (OME-TIF</w:t>
      </w:r>
      <w:r>
        <w:rPr>
          <w:lang w:val="fr-FR"/>
        </w:rPr>
        <w:t>F</w:t>
      </w:r>
      <w:r>
        <w:rPr>
          <w:lang w:val="fr-FR"/>
        </w:rPr>
        <w:t xml:space="preserve">, for more information : </w:t>
      </w:r>
      <w:hyperlink r:id="rId4">
        <w:r>
          <w:rPr>
            <w:rStyle w:val="Hyperlink"/>
            <w:lang w:val="fr-FR"/>
          </w:rPr>
          <w:t>https://docs.openmicroscopy.org/latest/ome-model/ome-tiff/</w:t>
        </w:r>
      </w:hyperlink>
      <w:r>
        <w:rPr>
          <w:lang w:val="fr-FR"/>
        </w:rPr>
        <w:t xml:space="preserve">) SANS PERTE D’INFORMATION est la bienvenue. </w:t>
      </w:r>
    </w:p>
    <w:p>
      <w:pPr>
        <w:pStyle w:val="Normal"/>
        <w:ind w:left="737"/>
        <w:rPr>
          <w:lang w:val="fr-FR"/>
        </w:rPr>
      </w:pPr>
      <w:r>
        <w:rPr>
          <w:lang w:val="fr-FR"/>
        </w:rPr>
      </w:r>
    </w:p>
    <w:p>
      <w:pPr>
        <w:pStyle w:val="Normal"/>
        <w:rPr>
          <w:b/>
          <w:bCs/>
          <w:lang w:val="fr-FR"/>
        </w:rPr>
      </w:pPr>
      <w:r>
        <w:rPr>
          <w:b/>
          <w:bCs/>
          <w:lang w:val="fr-FR"/>
        </w:rPr>
      </w:r>
    </w:p>
    <w:p>
      <w:pPr>
        <w:pStyle w:val="Normal"/>
        <w:rPr>
          <w:b/>
          <w:bCs/>
          <w:lang w:val="fr-FR"/>
        </w:rPr>
      </w:pPr>
      <w:r>
        <w:rPr>
          <w:b/>
          <w:bCs/>
          <w:lang w:val="fr-FR"/>
        </w:rPr>
        <w:t xml:space="preserve"> </w:t>
      </w:r>
      <w:r>
        <w:rPr>
          <w:b/>
          <w:bCs/>
          <w:lang w:val="fr-FR"/>
        </w:rPr>
        <w:t>REUTILISATION DES DONNEES</w:t>
      </w:r>
    </w:p>
    <w:p>
      <w:pPr>
        <w:pStyle w:val="Normal"/>
        <w:rPr>
          <w:b/>
          <w:bCs/>
          <w:lang w:val="fr-FR"/>
        </w:rPr>
      </w:pPr>
      <w:r>
        <w:rPr>
          <w:b/>
          <w:bCs/>
          <w:lang w:val="fr-FR"/>
        </w:rPr>
      </w:r>
    </w:p>
    <w:p>
      <w:pPr>
        <w:pStyle w:val="Normal"/>
        <w:rPr>
          <w:lang w:val="fr-FR"/>
        </w:rPr>
      </w:pPr>
      <w:r>
        <w:rPr>
          <w:lang w:val="fr-FR"/>
        </w:rPr>
        <w:tab/>
        <w:t xml:space="preserve">Les données seront accessibles </w:t>
      </w:r>
      <w:r>
        <w:rPr>
          <w:lang w:val="fr-FR"/>
        </w:rPr>
        <w:t>en lecture</w:t>
      </w:r>
      <w:r>
        <w:rPr>
          <w:lang w:val="fr-FR"/>
        </w:rPr>
        <w:t xml:space="preserve"> par les autres membres de l’équipe, leur utilisation est possible en demandant à la personne qui a généré les données.</w:t>
      </w:r>
    </w:p>
    <w:p>
      <w:pPr>
        <w:pStyle w:val="Heading3"/>
        <w:rPr>
          <w:lang w:val="fr-FR"/>
        </w:rPr>
      </w:pPr>
      <w:r>
        <w:rPr>
          <w:lang w:val="fr-FR"/>
        </w:rPr>
        <w:t>2. documentation ET Organisation des données</w:t>
      </w:r>
    </w:p>
    <w:p>
      <w:pPr>
        <w:pStyle w:val="Normal"/>
        <w:rPr>
          <w:lang w:val="fr-FR"/>
        </w:rPr>
      </w:pPr>
      <w:r>
        <w:rPr>
          <w:b/>
          <w:lang w:val="fr-FR"/>
        </w:rPr>
        <w:t>Quels méthodes et outils sont utilisés pour acquérir et traiter les données, depuis leur acquisition jusqu'à leur mise à disposition, leur archivage ou leur destruction ?</w:t>
      </w:r>
      <w:r>
        <w:rPr>
          <w:lang w:val="fr-FR"/>
        </w:rPr>
        <w:br/>
      </w:r>
    </w:p>
    <w:p>
      <w:pPr>
        <w:pStyle w:val="Normal"/>
        <w:rPr>
          <w:lang w:val="fr-FR"/>
        </w:rPr>
      </w:pPr>
      <w:r>
        <w:rPr>
          <w:lang w:val="fr-FR"/>
        </w:rPr>
        <w:t xml:space="preserve">Données d’imagerie acquises sur un des microscopes de type confocal de la plateforme de l’IBPS. Au plus vite après leur acquisition, ces données brutes en sortie de microscope (ou converti sans perte en ome.tif), ou après traitement dans le cas de la technologie Airyscan, sont transférées sur le serveur de stockage. Ces données brutes sont conservées intactes, et TOUJOURS copiées sur un ordinateur de travail avant d’être manipulées. </w:t>
      </w:r>
    </w:p>
    <w:p>
      <w:pPr>
        <w:pStyle w:val="Normal"/>
        <w:rPr>
          <w:lang w:val="fr-FR"/>
        </w:rPr>
      </w:pPr>
      <w:r>
        <w:rPr>
          <w:lang w:val="fr-FR"/>
        </w:rPr>
      </w:r>
    </w:p>
    <w:p>
      <w:pPr>
        <w:pStyle w:val="Normal"/>
        <w:rPr>
          <w:lang w:val="fr-FR"/>
        </w:rPr>
      </w:pPr>
      <w:r>
        <w:rPr>
          <w:lang w:val="fr-FR"/>
        </w:rPr>
        <w:t xml:space="preserve">Données de RNAseq acquises sur la plateforme IGenSeq de l’Institut du Cerveau (ICM, Paris, </w:t>
      </w:r>
      <w:hyperlink r:id="rId5">
        <w:r>
          <w:rPr>
            <w:rStyle w:val="Hyperlink"/>
            <w:lang w:val="fr-FR"/>
          </w:rPr>
          <w:t>https://institutducerveau.org/plateforme-sequencage-genomique-igenseq</w:t>
        </w:r>
      </w:hyperlink>
      <w:r>
        <w:rPr>
          <w:lang w:val="fr-FR"/>
        </w:rPr>
        <w:t>). Les données brutes sont transférées via GLOBUS sur les serveurs GALAXY de la plateforme InforBio de l’IBPS ( ainsi que sur PSILO</w:t>
      </w:r>
      <w:r>
        <w:rPr>
          <w:lang w:val="fr-FR"/>
        </w:rPr>
        <w:t>)</w:t>
      </w:r>
      <w:r>
        <w:rPr>
          <w:lang w:val="fr-FR"/>
        </w:rPr>
        <w:t xml:space="preserve">. </w:t>
        <w:br/>
      </w:r>
    </w:p>
    <w:p>
      <w:pPr>
        <w:pStyle w:val="Normal"/>
        <w:rPr>
          <w:lang w:val="fr-FR"/>
        </w:rPr>
      </w:pPr>
      <w:r>
        <w:rPr>
          <w:b/>
          <w:lang w:val="fr-FR"/>
        </w:rPr>
        <w:t xml:space="preserve">Quelles métadonnées seront utilisées pour accompagner le jeu de données ? </w:t>
      </w:r>
    </w:p>
    <w:p>
      <w:pPr>
        <w:pStyle w:val="Normal"/>
        <w:rPr>
          <w:b/>
          <w:lang w:val="fr-FR"/>
        </w:rPr>
      </w:pPr>
      <w:r>
        <w:rPr>
          <w:b/>
          <w:lang w:val="fr-FR"/>
        </w:rPr>
      </w:r>
    </w:p>
    <w:p>
      <w:pPr>
        <w:pStyle w:val="Normal"/>
        <w:rPr>
          <w:lang w:val="fr-FR"/>
        </w:rPr>
      </w:pPr>
      <w:r>
        <w:rPr>
          <w:lang w:val="fr-FR"/>
        </w:rPr>
        <w:t xml:space="preserve">Pour les données d’imagerie, les métadonnées sont celles des différents logiciels propriétaires des microscopes utilisés. Dans le cas du format OME-TIF, il est possible d’AJOUTER des champs (utilisateur.ice, date, etc.) SANS supprimer les données fournies par le logiciel constructeur. </w:t>
      </w:r>
    </w:p>
    <w:p>
      <w:pPr>
        <w:pStyle w:val="Normal"/>
        <w:rPr>
          <w:lang w:val="fr-FR"/>
        </w:rPr>
      </w:pPr>
      <w:r>
        <w:rPr>
          <w:lang w:val="fr-FR"/>
        </w:rPr>
      </w:r>
    </w:p>
    <w:p>
      <w:pPr>
        <w:pStyle w:val="Normal"/>
        <w:rPr>
          <w:lang w:val="fr-FR"/>
        </w:rPr>
      </w:pPr>
      <w:r>
        <w:rPr>
          <w:lang w:val="fr-FR"/>
        </w:rPr>
        <w:t xml:space="preserve">Pour les données de séquençage, les métadonnées sont celles fournies par la plateforme de séquençage, mises sous forme de tableau comme requis pour la soumission des données sur une </w:t>
      </w:r>
      <w:r>
        <w:rPr>
          <w:lang w:val="fr-FR"/>
        </w:rPr>
        <w:t>plateforme de</w:t>
      </w:r>
    </w:p>
    <w:p>
      <w:pPr>
        <w:pStyle w:val="Normal"/>
        <w:rPr>
          <w:lang w:val="fr-FR"/>
        </w:rPr>
      </w:pPr>
      <w:r>
        <w:rPr>
          <w:lang w:val="fr-FR"/>
        </w:rPr>
      </w:r>
    </w:p>
    <w:p>
      <w:pPr>
        <w:pStyle w:val="Normal"/>
        <w:rPr>
          <w:lang w:val="fr-FR"/>
        </w:rPr>
      </w:pPr>
      <w:r>
        <w:rPr>
          <w:b/>
          <w:lang w:val="fr-FR"/>
        </w:rPr>
        <w:t>Comment les fichiers de données sont-ils gérés et organisés : contrôle des versions, conventions de nommage des fichiers, organisation des fichiers</w:t>
      </w:r>
    </w:p>
    <w:p>
      <w:pPr>
        <w:pStyle w:val="Normal"/>
        <w:rPr>
          <w:lang w:val="fr-FR"/>
        </w:rPr>
      </w:pPr>
      <w:r>
        <w:rPr>
          <w:lang w:val="fr-FR"/>
        </w:rPr>
      </w:r>
    </w:p>
    <w:p>
      <w:pPr>
        <w:pStyle w:val="Normal"/>
        <w:rPr>
          <w:lang w:val="fr-FR"/>
        </w:rPr>
      </w:pPr>
      <w:r>
        <w:rPr>
          <w:lang w:val="fr-FR"/>
        </w:rPr>
        <w:t xml:space="preserve">Les fichiers seront sauvegardés selon une architecture précise et à respecter SCRUPULEUSEMENT ! Il faudra les mettre dans un dossier par projet de l’équipe (voir la liste des projets dans la partie 1 ci-dessus). Puis un dossier au nom de la personne qui a produit ces données, qui renferment tous les dossiers de cette personne pour ce projet. Chaque expérience y est sauvegardée dans un dossier, dont le nom suit la </w:t>
      </w:r>
      <w:r>
        <w:rPr>
          <w:b/>
          <w:bCs/>
          <w:lang w:val="fr-FR"/>
        </w:rPr>
        <w:t>nomenclature</w:t>
      </w:r>
      <w:r>
        <w:rPr>
          <w:lang w:val="fr-FR"/>
        </w:rPr>
        <w:t xml:space="preserve"> suivante : </w:t>
      </w:r>
    </w:p>
    <w:p>
      <w:pPr>
        <w:pStyle w:val="Normal"/>
        <w:rPr>
          <w:lang w:val="fr-FR"/>
        </w:rPr>
      </w:pPr>
      <w:r>
        <w:rPr>
          <w:lang w:val="fr-FR"/>
        </w:rPr>
      </w:r>
    </w:p>
    <w:p>
      <w:pPr>
        <w:pStyle w:val="Normal"/>
        <w:rPr>
          <w:lang w:val="fr-FR"/>
        </w:rPr>
      </w:pPr>
      <w:r>
        <w:rPr>
          <w:lang w:val="fr-FR"/>
        </w:rPr>
        <w:t>Ex pour l’imagerie: 250301_igu45hpf_DAPI_EdU_HuC_ZO-1</w:t>
      </w:r>
    </w:p>
    <w:p>
      <w:pPr>
        <w:pStyle w:val="Normal"/>
        <w:rPr>
          <w:lang w:val="fr-FR"/>
        </w:rPr>
      </w:pPr>
      <w:r>
        <w:rPr>
          <w:lang w:val="fr-FR"/>
        </w:rPr>
      </w:r>
    </w:p>
    <w:p>
      <w:pPr>
        <w:pStyle w:val="Normal"/>
        <w:rPr>
          <w:lang w:val="fr-FR"/>
        </w:rPr>
      </w:pPr>
      <w:r>
        <w:rPr>
          <w:lang w:val="fr-FR"/>
        </w:rPr>
        <w:t>Ex pour le RNAseq : 250301_Bulk_WT_</w:t>
      </w:r>
    </w:p>
    <w:p>
      <w:pPr>
        <w:pStyle w:val="Normal"/>
        <w:rPr>
          <w:lang w:val="fr-FR"/>
        </w:rPr>
      </w:pPr>
      <w:r>
        <w:rPr>
          <w:lang w:val="fr-FR"/>
        </w:rPr>
      </w:r>
    </w:p>
    <w:p>
      <w:pPr>
        <w:pStyle w:val="Normal"/>
        <w:rPr>
          <w:lang w:val="fr-FR"/>
        </w:rPr>
      </w:pPr>
      <w:r>
        <w:rPr>
          <w:lang w:val="fr-FR"/>
        </w:rPr>
      </w:r>
    </w:p>
    <w:p>
      <w:pPr>
        <w:pStyle w:val="Normal"/>
        <w:rPr>
          <w:lang w:val="fr-FR"/>
        </w:rPr>
      </w:pPr>
      <w:r>
        <w:rPr>
          <w:lang w:val="fr-FR"/>
        </w:rPr>
        <w:t xml:space="preserve">Soit, dans l’ordre pour l’imagerie: </w:t>
      </w:r>
    </w:p>
    <w:p>
      <w:pPr>
        <w:pStyle w:val="Normal"/>
        <w:rPr>
          <w:lang w:val="fr-FR"/>
        </w:rPr>
      </w:pPr>
      <w:r>
        <w:rPr>
          <w:lang w:val="fr-FR"/>
        </w:rPr>
        <w:t xml:space="preserve">- la </w:t>
      </w:r>
      <w:r>
        <w:rPr>
          <w:b/>
          <w:bCs/>
          <w:lang w:val="fr-FR"/>
        </w:rPr>
        <w:t>date</w:t>
      </w:r>
      <w:r>
        <w:rPr>
          <w:lang w:val="fr-FR"/>
        </w:rPr>
        <w:t>, en 6 chiffres, en commençant par l’année (25 pour 2025), puis le mois (03 pour mars) puis le jour (01 pour le 1er). Permet de classer par date en classant par ordre alphabétique.</w:t>
      </w:r>
    </w:p>
    <w:p>
      <w:pPr>
        <w:pStyle w:val="Normal"/>
        <w:rPr>
          <w:lang w:val="fr-FR"/>
        </w:rPr>
      </w:pPr>
      <w:r>
        <w:rPr>
          <w:lang w:val="fr-FR"/>
        </w:rPr>
        <w:t xml:space="preserve">- un </w:t>
      </w:r>
      <w:r>
        <w:rPr>
          <w:b/>
          <w:bCs/>
          <w:lang w:val="fr-FR"/>
        </w:rPr>
        <w:t>identifiant</w:t>
      </w:r>
      <w:r>
        <w:rPr>
          <w:lang w:val="fr-FR"/>
        </w:rPr>
        <w:t xml:space="preserve"> qui donne une indication sur le contenu : mutant, traitement, stade de développement, etc. Laissé au choix de l’utilisateur-ice, les détails devant figurer dans le cahier de laboratoire à la date précisée plus haut.</w:t>
      </w:r>
    </w:p>
    <w:p>
      <w:pPr>
        <w:pStyle w:val="Normal"/>
        <w:rPr>
          <w:lang w:val="fr-FR"/>
        </w:rPr>
      </w:pPr>
      <w:r>
        <w:rPr>
          <w:lang w:val="fr-FR"/>
        </w:rPr>
        <w:t xml:space="preserve">- Le </w:t>
      </w:r>
      <w:r>
        <w:rPr>
          <w:b/>
          <w:bCs/>
          <w:lang w:val="fr-FR"/>
        </w:rPr>
        <w:t>type de marquage</w:t>
      </w:r>
      <w:r>
        <w:rPr>
          <w:lang w:val="fr-FR"/>
        </w:rPr>
        <w:t xml:space="preserve"> réalisé, dans l’</w:t>
      </w:r>
      <w:r>
        <w:rPr>
          <w:b/>
          <w:bCs/>
          <w:lang w:val="fr-FR"/>
        </w:rPr>
        <w:t>ordre des longueurs d’onde</w:t>
      </w:r>
      <w:r>
        <w:rPr>
          <w:lang w:val="fr-FR"/>
        </w:rPr>
        <w:t xml:space="preserve"> laser : DAPI en UV, marquage EdU en 488, révélation anticorps de 2 proteines en rouge (HuC) et rouge lointain (ZO-1).</w:t>
      </w:r>
    </w:p>
    <w:p>
      <w:pPr>
        <w:pStyle w:val="Normal"/>
        <w:rPr>
          <w:lang w:val="fr-FR"/>
        </w:rPr>
      </w:pPr>
      <w:r>
        <w:rPr>
          <w:lang w:val="fr-FR"/>
        </w:rPr>
      </w:r>
    </w:p>
    <w:p>
      <w:pPr>
        <w:pStyle w:val="Normal"/>
        <w:rPr>
          <w:lang w:val="fr-FR"/>
        </w:rPr>
      </w:pPr>
      <w:r>
        <w:rPr>
          <w:lang w:val="fr-FR"/>
        </w:rPr>
        <w:t>Soit, dans l’ordre pour le RNAseq :</w:t>
      </w:r>
    </w:p>
    <w:p>
      <w:pPr>
        <w:pStyle w:val="ListParagraph"/>
        <w:numPr>
          <w:ilvl w:val="0"/>
          <w:numId w:val="2"/>
        </w:numPr>
        <w:spacing w:before="0" w:after="0"/>
        <w:ind w:hanging="360" w:left="426"/>
        <w:rPr>
          <w:lang w:val="fr-FR"/>
        </w:rPr>
      </w:pPr>
      <w:r>
        <w:rPr>
          <w:lang w:val="fr-FR"/>
        </w:rPr>
        <w:t xml:space="preserve">La </w:t>
      </w:r>
      <w:r>
        <w:rPr>
          <w:b/>
          <w:bCs/>
          <w:lang w:val="fr-FR"/>
        </w:rPr>
        <w:t>date</w:t>
      </w:r>
      <w:r>
        <w:rPr>
          <w:lang w:val="fr-FR"/>
        </w:rPr>
        <w:t>, en 6 chiffres, en commençant par l’année (25 pour 2025), puis le mois (03 pour mars) puis le jour (01 pour le 1er). Permet de classer par date en classant par ordre alphabétique.</w:t>
      </w:r>
    </w:p>
    <w:p>
      <w:pPr>
        <w:pStyle w:val="ListParagraph"/>
        <w:numPr>
          <w:ilvl w:val="0"/>
          <w:numId w:val="2"/>
        </w:numPr>
        <w:spacing w:before="0" w:after="0"/>
        <w:ind w:hanging="360" w:left="426"/>
        <w:rPr>
          <w:lang w:val="fr-FR"/>
        </w:rPr>
      </w:pPr>
      <w:r>
        <w:rPr>
          <w:lang w:val="fr-FR"/>
        </w:rPr>
        <w:t xml:space="preserve">Le </w:t>
      </w:r>
      <w:r>
        <w:rPr>
          <w:b/>
          <w:bCs/>
          <w:lang w:val="fr-FR"/>
        </w:rPr>
        <w:t>type d’expérience</w:t>
      </w:r>
      <w:r>
        <w:rPr>
          <w:lang w:val="fr-FR"/>
        </w:rPr>
        <w:t> : bulk, single cell</w:t>
      </w:r>
    </w:p>
    <w:p>
      <w:pPr>
        <w:pStyle w:val="ListParagraph"/>
        <w:numPr>
          <w:ilvl w:val="0"/>
          <w:numId w:val="2"/>
        </w:numPr>
        <w:spacing w:before="0" w:after="0"/>
        <w:ind w:hanging="360" w:left="426"/>
        <w:rPr>
          <w:lang w:val="fr-FR"/>
        </w:rPr>
      </w:pPr>
      <w:r>
        <w:rPr>
          <w:lang w:val="fr-FR"/>
        </w:rPr>
        <w:t xml:space="preserve">Un </w:t>
      </w:r>
      <w:r>
        <w:rPr>
          <w:b/>
          <w:bCs/>
          <w:lang w:val="fr-FR"/>
        </w:rPr>
        <w:t xml:space="preserve">identifiant </w:t>
      </w:r>
      <w:r>
        <w:rPr>
          <w:lang w:val="fr-FR"/>
        </w:rPr>
        <w:t>qui donne une indication sur le contenu : type de matériel (org (organoïdes), m (mouse), zf (zebrafish)) et l’organe considéré : CB(cerebellum) , SC (spinal cord), CX (cortex)</w:t>
      </w:r>
    </w:p>
    <w:p>
      <w:pPr>
        <w:pStyle w:val="ListParagraph"/>
        <w:numPr>
          <w:ilvl w:val="0"/>
          <w:numId w:val="2"/>
        </w:numPr>
        <w:spacing w:before="0" w:after="0"/>
        <w:ind w:hanging="360" w:left="426"/>
        <w:rPr>
          <w:lang w:val="fr-FR"/>
        </w:rPr>
      </w:pPr>
      <w:r>
        <w:rPr>
          <w:lang w:val="fr-FR"/>
        </w:rPr>
        <w:t xml:space="preserve">Les différents génotypes et stades, qui font partie d’une même expérience, seront indiqués dans le nom de chaque échantillon. </w:t>
      </w:r>
    </w:p>
    <w:p>
      <w:pPr>
        <w:pStyle w:val="Normal"/>
        <w:rPr>
          <w:lang w:val="fr-FR"/>
        </w:rPr>
      </w:pPr>
      <w:r>
        <w:rPr>
          <w:lang w:val="fr-FR"/>
        </w:rPr>
      </w:r>
    </w:p>
    <w:p>
      <w:pPr>
        <w:pStyle w:val="Normal"/>
        <w:rPr>
          <w:lang w:val="fr-FR"/>
        </w:rPr>
      </w:pPr>
      <w:r>
        <w:rPr>
          <w:lang w:val="fr-FR"/>
        </w:rPr>
        <w:t>Les fichiers à l’intérieur du dossier sont organisés conformément à ce qui est noté dans le cahier de laboratoire.</w:t>
      </w:r>
    </w:p>
    <w:p>
      <w:pPr>
        <w:pStyle w:val="Normal"/>
        <w:rPr>
          <w:lang w:val="fr-FR"/>
        </w:rPr>
      </w:pPr>
      <w:r>
        <w:rPr>
          <w:lang w:val="fr-FR"/>
        </w:rPr>
      </w:r>
    </w:p>
    <w:p>
      <w:pPr>
        <w:pStyle w:val="Normal"/>
        <w:rPr>
          <w:lang w:val="fr-FR"/>
        </w:rPr>
      </w:pPr>
      <w:r>
        <w:rPr>
          <w:b/>
          <w:lang w:val="fr-FR"/>
        </w:rPr>
        <w:t>Quel est le processus de contrôle qualité des données ?</w:t>
      </w:r>
      <w:r>
        <w:rPr>
          <w:lang w:val="fr-FR"/>
        </w:rPr>
        <w:br/>
      </w:r>
    </w:p>
    <w:p>
      <w:pPr>
        <w:pStyle w:val="Normal"/>
        <w:rPr>
          <w:lang w:val="fr-FR"/>
        </w:rPr>
      </w:pPr>
      <w:r>
        <w:rPr>
          <w:lang w:val="fr-FR"/>
        </w:rPr>
        <w:tab/>
        <w:t xml:space="preserve">La responsable de l’équipe se réserve le droit d’effacer toute donnée dont la sauvegarde n’aura pas respecté la nomenclature indiquée ci-dessus, et donc non-identifiable. </w:t>
      </w:r>
    </w:p>
    <w:p>
      <w:pPr>
        <w:pStyle w:val="Heading3"/>
        <w:rPr>
          <w:lang w:val="fr-FR"/>
        </w:rPr>
      </w:pPr>
      <w:r>
        <w:rPr>
          <w:lang w:val="fr-FR"/>
        </w:rPr>
        <w:t>3. Stockage et sécurité des données</w:t>
      </w:r>
    </w:p>
    <w:p>
      <w:pPr>
        <w:pStyle w:val="Normal"/>
        <w:rPr>
          <w:lang w:val="fr-FR"/>
        </w:rPr>
      </w:pPr>
      <w:r>
        <w:rPr>
          <w:lang w:val="fr-FR"/>
        </w:rPr>
      </w:r>
    </w:p>
    <w:p>
      <w:pPr>
        <w:pStyle w:val="Normal"/>
        <w:rPr>
          <w:lang w:val="fr-FR"/>
        </w:rPr>
      </w:pPr>
      <w:r>
        <w:rPr>
          <w:b/>
          <w:lang w:val="fr-FR"/>
        </w:rPr>
        <w:t>Quels types de supports physiques sont utilisés pour stocker les données  ?</w:t>
      </w:r>
    </w:p>
    <w:p>
      <w:pPr>
        <w:pStyle w:val="Normal"/>
        <w:rPr>
          <w:lang w:val="fr-FR"/>
        </w:rPr>
      </w:pPr>
      <w:r>
        <w:rPr>
          <w:lang w:val="fr-FR"/>
        </w:rPr>
      </w:r>
    </w:p>
    <w:p>
      <w:pPr>
        <w:pStyle w:val="Normal"/>
        <w:rPr>
          <w:lang w:val="fr-FR"/>
        </w:rPr>
      </w:pPr>
      <w:r>
        <w:rPr>
          <w:lang w:val="fr-FR"/>
        </w:rPr>
        <w:t>Les données seront sauvegardées sur le serveur Psilo, conformément aux conditions décrites dans le PGD de la platerforme Inforbio à venir soon !</w:t>
      </w:r>
    </w:p>
    <w:p>
      <w:pPr>
        <w:pStyle w:val="Normal"/>
        <w:rPr>
          <w:lang w:val="fr-FR"/>
        </w:rPr>
      </w:pPr>
      <w:r>
        <w:rPr>
          <w:lang w:val="fr-FR"/>
        </w:rPr>
      </w:r>
    </w:p>
    <w:p>
      <w:pPr>
        <w:pStyle w:val="Normal"/>
        <w:rPr>
          <w:lang w:val="fr-FR"/>
        </w:rPr>
      </w:pPr>
      <w:r>
        <w:rPr>
          <w:lang w:val="fr-FR"/>
        </w:rPr>
        <w:t xml:space="preserve">Une seconde copie sera conservée par les utilisateur-ices sur un disque-dur mis à disposition par l’équipe. </w:t>
      </w:r>
    </w:p>
    <w:p>
      <w:pPr>
        <w:pStyle w:val="Normal"/>
        <w:rPr>
          <w:lang w:val="fr-FR"/>
        </w:rPr>
      </w:pPr>
      <w:r>
        <w:rPr>
          <w:lang w:val="fr-FR"/>
        </w:rPr>
      </w:r>
    </w:p>
    <w:p>
      <w:pPr>
        <w:pStyle w:val="Normal"/>
        <w:rPr>
          <w:lang w:val="fr-FR"/>
        </w:rPr>
      </w:pPr>
      <w:r>
        <w:rPr>
          <w:b/>
          <w:lang w:val="fr-FR"/>
        </w:rPr>
        <w:t>Quelle est la volumétrie actuelle et prévisionnelle ?</w:t>
      </w:r>
    </w:p>
    <w:p>
      <w:pPr>
        <w:pStyle w:val="Normal"/>
        <w:rPr>
          <w:lang w:val="fr-FR"/>
        </w:rPr>
      </w:pPr>
      <w:r>
        <w:rPr>
          <w:lang w:val="fr-FR"/>
        </w:rPr>
      </w:r>
    </w:p>
    <w:p>
      <w:pPr>
        <w:pStyle w:val="Normal"/>
        <w:rPr>
          <w:highlight w:val="yellow"/>
          <w:lang w:val="fr-FR"/>
        </w:rPr>
      </w:pPr>
      <w:r>
        <w:rPr>
          <w:lang w:val="fr-FR"/>
        </w:rPr>
        <w:tab/>
      </w:r>
      <w:r>
        <w:rPr>
          <w:highlight w:val="yellow"/>
          <w:lang w:val="fr-FR"/>
        </w:rPr>
        <w:t xml:space="preserve">Imagerie : En se basant sur l’existant et les projets, de l’ordre de 1To par an minimum (à réviser). </w:t>
      </w:r>
    </w:p>
    <w:p>
      <w:pPr>
        <w:pStyle w:val="Normal"/>
        <w:rPr>
          <w:lang w:val="fr-FR"/>
        </w:rPr>
      </w:pPr>
      <w:r>
        <w:rPr>
          <w:highlight w:val="yellow"/>
          <w:lang w:val="fr-FR"/>
        </w:rPr>
        <w:tab/>
        <w:t>RNAseq : En se basant sur l’existant et les projets, de l’ordre de 1To par an minimum (à réviser)</w:t>
      </w:r>
    </w:p>
    <w:p>
      <w:pPr>
        <w:pStyle w:val="Normal"/>
        <w:rPr>
          <w:lang w:val="fr-FR"/>
        </w:rPr>
      </w:pPr>
      <w:r>
        <w:rPr>
          <w:lang w:val="fr-FR"/>
        </w:rPr>
      </w:r>
    </w:p>
    <w:p>
      <w:pPr>
        <w:pStyle w:val="Normal"/>
        <w:rPr>
          <w:b/>
          <w:lang w:val="fr-FR"/>
        </w:rPr>
      </w:pPr>
      <w:r>
        <w:rPr>
          <w:b/>
          <w:lang w:val="fr-FR"/>
        </w:rPr>
      </w:r>
    </w:p>
    <w:p>
      <w:pPr>
        <w:pStyle w:val="Normal"/>
        <w:rPr>
          <w:lang w:val="fr-FR"/>
        </w:rPr>
      </w:pPr>
      <w:r>
        <w:rPr>
          <w:b/>
          <w:lang w:val="fr-FR"/>
        </w:rPr>
        <w:t>4. ASPECTS ÉTHIQUES ET JURIDIQUES</w:t>
      </w:r>
    </w:p>
    <w:p>
      <w:pPr>
        <w:pStyle w:val="Normal"/>
        <w:rPr>
          <w:b/>
          <w:lang w:val="fr-FR"/>
        </w:rPr>
      </w:pPr>
      <w:r>
        <w:rPr>
          <w:b/>
          <w:lang w:val="fr-FR"/>
        </w:rPr>
      </w:r>
    </w:p>
    <w:p>
      <w:pPr>
        <w:pStyle w:val="Normal"/>
        <w:rPr>
          <w:lang w:val="fr-FR"/>
        </w:rPr>
      </w:pPr>
      <w:r>
        <w:rPr>
          <w:b/>
          <w:lang w:val="fr-FR"/>
        </w:rPr>
        <w:t>Si des données à caractère personnel sont traitées, comment le respect des dispositions de la législation sur les données à caractère personnel et sur la sécurité des données sera-t-il assuré ?</w:t>
      </w:r>
    </w:p>
    <w:p>
      <w:pPr>
        <w:pStyle w:val="Normal"/>
        <w:rPr>
          <w:b/>
          <w:lang w:val="fr-FR"/>
        </w:rPr>
      </w:pPr>
      <w:r>
        <w:rPr>
          <w:b/>
          <w:lang w:val="fr-FR"/>
        </w:rPr>
      </w:r>
    </w:p>
    <w:p>
      <w:pPr>
        <w:pStyle w:val="Normal"/>
        <w:rPr>
          <w:lang w:val="fr-FR"/>
        </w:rPr>
      </w:pPr>
      <w:r>
        <w:rPr>
          <w:lang w:val="fr-FR"/>
        </w:rPr>
        <w:tab/>
        <w:t xml:space="preserve">Aucune donnée personnelle n’est stockée sur Psilo. </w:t>
      </w:r>
    </w:p>
    <w:p>
      <w:pPr>
        <w:pStyle w:val="Normal"/>
        <w:rPr>
          <w:lang w:val="fr-FR"/>
        </w:rPr>
      </w:pPr>
      <w:r>
        <w:rPr>
          <w:lang w:val="fr-FR"/>
        </w:rPr>
      </w:r>
    </w:p>
    <w:p>
      <w:pPr>
        <w:pStyle w:val="Heading3"/>
        <w:rPr>
          <w:lang w:val="fr-FR"/>
        </w:rPr>
      </w:pPr>
      <w:r>
        <w:rPr>
          <w:lang w:val="fr-FR"/>
        </w:rPr>
        <w:t>5. PARTAGE ET Archivage des données</w:t>
      </w:r>
    </w:p>
    <w:p>
      <w:pPr>
        <w:pStyle w:val="Normal"/>
        <w:rPr>
          <w:lang w:val="fr-FR"/>
        </w:rPr>
      </w:pPr>
      <w:r>
        <w:rPr>
          <w:lang w:val="fr-FR"/>
        </w:rPr>
      </w:r>
    </w:p>
    <w:p>
      <w:pPr>
        <w:pStyle w:val="Normal"/>
        <w:rPr>
          <w:lang w:val="fr-FR"/>
        </w:rPr>
      </w:pPr>
      <w:r>
        <w:rPr>
          <w:b/>
          <w:lang w:val="fr-FR"/>
        </w:rPr>
        <w:t>Quelles sont les données à conserver sur le moyen ou le long terme et quelles sont les données à détruire ?</w:t>
      </w:r>
    </w:p>
    <w:p>
      <w:pPr>
        <w:pStyle w:val="Normal"/>
        <w:rPr>
          <w:lang w:val="fr-FR"/>
        </w:rPr>
      </w:pPr>
      <w:r>
        <w:rPr>
          <w:lang w:val="fr-FR"/>
        </w:rPr>
      </w:r>
    </w:p>
    <w:p>
      <w:pPr>
        <w:pStyle w:val="Normal"/>
        <w:rPr>
          <w:lang w:val="fr-FR"/>
        </w:rPr>
      </w:pPr>
      <w:r>
        <w:rPr>
          <w:lang w:val="fr-FR"/>
        </w:rPr>
        <w:t>Un point régulier des utilisateur-ices permettra d’effacer les expériences dont l’analyse aura révélé qu’elles n’ont pas contribué au projet. Le reste sera conservé.</w:t>
      </w:r>
    </w:p>
    <w:p>
      <w:pPr>
        <w:pStyle w:val="Normal"/>
        <w:rPr>
          <w:lang w:val="fr-FR"/>
        </w:rPr>
      </w:pPr>
      <w:r>
        <w:rPr>
          <w:lang w:val="fr-FR"/>
        </w:rPr>
      </w:r>
    </w:p>
    <w:p>
      <w:pPr>
        <w:pStyle w:val="Normal"/>
        <w:rPr>
          <w:lang w:val="fr-FR"/>
        </w:rPr>
      </w:pPr>
      <w:r>
        <w:rPr>
          <w:lang w:val="fr-FR"/>
        </w:rPr>
        <w:t>Les données de RNAseq seront supprimées soit quand elles ont été publiées sur une plateforme d’archivage et rendues publiques (après publication), soit lorsqu’elles ne sont plus utilisées par l’équipe et donc conservées à long terme par les soins de l’équipe par un autre moyen.</w:t>
      </w:r>
    </w:p>
    <w:p>
      <w:pPr>
        <w:pStyle w:val="Normal"/>
        <w:rPr>
          <w:lang w:val="fr-FR"/>
        </w:rPr>
      </w:pPr>
      <w:r>
        <w:rPr>
          <w:lang w:val="fr-FR"/>
        </w:rPr>
      </w:r>
    </w:p>
    <w:p>
      <w:pPr>
        <w:pStyle w:val="Normal"/>
        <w:rPr>
          <w:lang w:val="fr-FR"/>
        </w:rPr>
      </w:pPr>
      <w:r>
        <w:rPr>
          <w:b/>
          <w:lang w:val="fr-FR"/>
        </w:rPr>
        <w:t>Sur quelle plateforme d'archivage pérenne seront archivées les données à conserver sur le long terme ? Sinon, quelles procédures seront mises en place pour la conservation à long terme ?</w:t>
      </w:r>
    </w:p>
    <w:p>
      <w:pPr>
        <w:pStyle w:val="Normal"/>
        <w:rPr>
          <w:lang w:val="fr-FR"/>
        </w:rPr>
      </w:pPr>
      <w:r>
        <w:rPr>
          <w:lang w:val="fr-FR"/>
        </w:rPr>
      </w:r>
    </w:p>
    <w:p>
      <w:pPr>
        <w:pStyle w:val="Normal"/>
        <w:rPr>
          <w:lang w:val="fr-FR"/>
        </w:rPr>
      </w:pPr>
      <w:r>
        <w:rPr>
          <w:lang w:val="fr-FR"/>
        </w:rPr>
        <w:tab/>
        <w:t xml:space="preserve">A déterminer avec le service d’archivage de Sorbonne U. </w:t>
      </w:r>
    </w:p>
    <w:p>
      <w:pPr>
        <w:pStyle w:val="Normal"/>
        <w:rPr>
          <w:lang w:val="fr-FR"/>
        </w:rPr>
      </w:pPr>
      <w:r>
        <w:rPr>
          <w:lang w:val="fr-FR"/>
        </w:rPr>
      </w:r>
    </w:p>
    <w:p>
      <w:pPr>
        <w:pStyle w:val="Normal"/>
        <w:rPr>
          <w:lang w:val="fr-FR"/>
        </w:rPr>
      </w:pPr>
      <w:r>
        <w:rPr>
          <w:b/>
          <w:lang w:val="fr-FR"/>
        </w:rPr>
        <w:t>Quelle est la durée de conservation des données ?</w:t>
      </w:r>
    </w:p>
    <w:p>
      <w:pPr>
        <w:pStyle w:val="Normal"/>
        <w:rPr>
          <w:lang w:val="fr-FR"/>
        </w:rPr>
      </w:pPr>
      <w:r>
        <w:rPr>
          <w:lang w:val="fr-FR"/>
        </w:rPr>
      </w:r>
    </w:p>
    <w:p>
      <w:pPr>
        <w:pStyle w:val="Normal"/>
        <w:rPr>
          <w:lang w:val="fr-FR"/>
        </w:rPr>
      </w:pPr>
      <w:r>
        <w:rPr>
          <w:lang w:val="fr-FR"/>
        </w:rPr>
        <w:tab/>
        <w:t xml:space="preserve">5 ans après la publication de l’article. </w:t>
      </w:r>
    </w:p>
    <w:p>
      <w:pPr>
        <w:pStyle w:val="Heading3"/>
        <w:rPr>
          <w:lang w:val="fr-FR"/>
        </w:rPr>
      </w:pPr>
      <w:r>
        <w:rPr>
          <w:lang w:val="fr-FR"/>
        </w:rPr>
        <w:t>6. Responsabilités et ressources en matière de gestion des données</w:t>
      </w:r>
    </w:p>
    <w:p>
      <w:pPr>
        <w:pStyle w:val="Normal"/>
        <w:rPr>
          <w:lang w:val="fr-FR"/>
        </w:rPr>
      </w:pPr>
      <w:r>
        <w:rPr>
          <w:lang w:val="fr-FR"/>
        </w:rPr>
      </w:r>
    </w:p>
    <w:p>
      <w:pPr>
        <w:pStyle w:val="Normal"/>
        <w:rPr>
          <w:b/>
          <w:bCs/>
          <w:lang w:val="fr-FR"/>
        </w:rPr>
      </w:pPr>
      <w:r>
        <w:rPr>
          <w:b/>
          <w:bCs/>
          <w:lang w:val="fr-FR"/>
        </w:rPr>
        <w:t>Qui (par exemple rôle, position et institution de rattachement) sera responsable de la gestion des données (c'est-à-dire le gestionnaire des données) ?</w:t>
      </w:r>
    </w:p>
    <w:p>
      <w:pPr>
        <w:pStyle w:val="Normal"/>
        <w:rPr>
          <w:lang w:val="fr-FR"/>
        </w:rPr>
      </w:pPr>
      <w:r>
        <w:rPr>
          <w:lang w:val="fr-FR"/>
        </w:rPr>
      </w:r>
    </w:p>
    <w:p>
      <w:pPr>
        <w:pStyle w:val="Normal"/>
        <w:rPr>
          <w:lang w:val="fr-FR"/>
        </w:rPr>
      </w:pPr>
      <w:r>
        <w:rPr>
          <w:lang w:val="fr-FR"/>
        </w:rPr>
        <w:t>Chaque membre est responsable des données contenues dans le répertoire à son nom.</w:t>
      </w:r>
    </w:p>
    <w:p>
      <w:pPr>
        <w:pStyle w:val="Normal"/>
        <w:rPr>
          <w:lang w:val="fr-FR"/>
        </w:rPr>
      </w:pPr>
      <w:r>
        <w:rPr>
          <w:lang w:val="fr-FR"/>
        </w:rPr>
        <w:t>Lorsque la personne quitte l’’équipe, un autre membre de l’équipe reprend la responsabilité des données (à déterminera avec la responsable d’équipe : sylvie.schneider-maunoury@sorbonne-universite.fr</w:t>
      </w:r>
    </w:p>
    <w:p>
      <w:pPr>
        <w:pStyle w:val="Normal"/>
        <w:rPr>
          <w:lang w:val="fr-FR"/>
        </w:rPr>
      </w:pPr>
      <w:r>
        <w:rPr>
          <w:lang w:val="fr-FR"/>
        </w:rPr>
        <w:t>La responsable d’équipe contrôlera régulièrement la qualité et l’organisation de ces données.</w:t>
      </w:r>
    </w:p>
    <w:p>
      <w:pPr>
        <w:pStyle w:val="Normal"/>
        <w:rPr>
          <w:lang w:val="fr-FR"/>
        </w:rPr>
      </w:pPr>
      <w:r>
        <w:rPr>
          <w:lang w:val="fr-FR"/>
        </w:rPr>
        <w:t>Le PGD sera remis à jour tous les ans en cas de changement.</w:t>
      </w:r>
    </w:p>
    <w:p>
      <w:pPr>
        <w:pStyle w:val="Normal"/>
        <w:rPr>
          <w:lang w:val="fr-FR"/>
        </w:rPr>
      </w:pPr>
      <w:r>
        <w:rPr>
          <w:lang w:val="fr-FR"/>
        </w:rPr>
      </w:r>
    </w:p>
    <w:p>
      <w:pPr>
        <w:pStyle w:val="Normal"/>
        <w:rPr>
          <w:lang w:val="fr-FR"/>
        </w:rPr>
      </w:pPr>
      <w:r>
        <w:rPr>
          <w:b/>
          <w:lang w:val="fr-FR"/>
        </w:rPr>
        <w:t>Quelles garanties de financements couvriront les coûts associés à la conservation à long terme ?</w:t>
      </w:r>
    </w:p>
    <w:p>
      <w:pPr>
        <w:pStyle w:val="Normal"/>
        <w:rPr>
          <w:lang w:val="fr-FR"/>
        </w:rPr>
      </w:pPr>
      <w:r>
        <w:rPr>
          <w:lang w:val="fr-FR"/>
        </w:rPr>
      </w:r>
    </w:p>
    <w:p>
      <w:pPr>
        <w:pStyle w:val="Normal"/>
        <w:rPr>
          <w:lang w:val="fr-FR"/>
        </w:rPr>
      </w:pPr>
      <w:r>
        <w:rPr>
          <w:lang w:val="fr-FR"/>
        </w:rPr>
        <w:t xml:space="preserve">L’équipe a de nombreuses ressources propres. L’équipe dispose également de ressources de dotation des tutelles (CNRS, SU), qui permettent de garantir ces coûts même en cas (non envisageable dans les 4 prochaines années) d’absence de ressources propres.  </w:t>
      </w:r>
    </w:p>
    <w:p>
      <w:pPr>
        <w:pStyle w:val="Normal"/>
        <w:rPr>
          <w:lang w:val="fr-FR"/>
        </w:rPr>
      </w:pPr>
      <w:r>
        <w:rPr>
          <w:lang w:val="fr-FR"/>
        </w:rPr>
      </w:r>
    </w:p>
    <w:p>
      <w:pPr>
        <w:pStyle w:val="Normal"/>
        <w:rPr>
          <w:i/>
          <w:i/>
          <w:iCs/>
          <w:lang w:val="fr-FR"/>
        </w:rPr>
      </w:pPr>
      <w:r>
        <w:rPr>
          <w:i/>
          <w:iCs/>
          <w:lang w:val="fr-F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swiss"/>
    <w:pitch w:val="variable"/>
  </w:font>
  <w:font w:name="Liberation Mono">
    <w:altName w:val="Courier New"/>
    <w:charset w:val="00"/>
    <w:family w:val="auto"/>
    <w:pitch w:val="variable"/>
  </w:font>
  <w:font w:name="Wingdings">
    <w:charset w:val="02"/>
    <w:family w:val="auto"/>
    <w:pitch w:val="variable"/>
  </w:font>
  <w:font w:name="Arial">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4"/>
      <w:numFmt w:val="bullet"/>
      <w:lvlText w:val="-"/>
      <w:lvlJc w:val="left"/>
      <w:pPr>
        <w:tabs>
          <w:tab w:val="num" w:pos="0"/>
        </w:tabs>
        <w:ind w:left="1080" w:hanging="360"/>
      </w:pPr>
      <w:rPr>
        <w:rFonts w:ascii="Arial" w:hAnsi="Arial" w:cs="Arial" w:hint="default"/>
        <w:b/>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1725"/>
    <w:pPr>
      <w:widowControl/>
      <w:suppressAutoHyphens w:val="true"/>
      <w:bidi w:val="0"/>
      <w:spacing w:before="0" w:after="0"/>
      <w:jc w:val="left"/>
    </w:pPr>
    <w:rPr>
      <w:rFonts w:ascii="Arial" w:hAnsi="Arial" w:eastAsia="Times New Roman" w:cs="Times New Roman"/>
      <w:color w:val="auto"/>
      <w:kern w:val="0"/>
      <w:sz w:val="18"/>
      <w:szCs w:val="20"/>
      <w:lang w:val="en-US" w:eastAsia="ja-JP" w:bidi="ar-SA"/>
    </w:rPr>
  </w:style>
  <w:style w:type="paragraph" w:styleId="Heading1">
    <w:name w:val="heading 1"/>
    <w:basedOn w:val="Normal"/>
    <w:next w:val="Heading2"/>
    <w:link w:val="Titre1Car"/>
    <w:uiPriority w:val="9"/>
    <w:qFormat/>
    <w:rsid w:val="00e01725"/>
    <w:pPr>
      <w:keepNext w:val="true"/>
      <w:keepLines/>
      <w:spacing w:before="0" w:after="240"/>
      <w:outlineLvl w:val="0"/>
    </w:pPr>
    <w:rPr>
      <w:rFonts w:eastAsia="" w:cs="" w:cstheme="majorBidi" w:eastAsiaTheme="majorEastAsia"/>
      <w:b/>
      <w:bCs/>
      <w:caps/>
      <w:sz w:val="28"/>
      <w:szCs w:val="28"/>
    </w:rPr>
  </w:style>
  <w:style w:type="paragraph" w:styleId="Heading2">
    <w:name w:val="heading 2"/>
    <w:basedOn w:val="Normal"/>
    <w:next w:val="Normal"/>
    <w:link w:val="Titre2Car"/>
    <w:uiPriority w:val="9"/>
    <w:unhideWhenUsed/>
    <w:qFormat/>
    <w:rsid w:val="00e01725"/>
    <w:pPr>
      <w:keepNext w:val="true"/>
      <w:keepLines/>
      <w:spacing w:before="240" w:after="120"/>
      <w:outlineLvl w:val="1"/>
    </w:pPr>
    <w:rPr>
      <w:rFonts w:eastAsia="" w:cs="" w:cstheme="majorBidi" w:eastAsiaTheme="majorEastAsia"/>
      <w:b/>
      <w:bCs/>
      <w:caps/>
      <w:sz w:val="20"/>
    </w:rPr>
  </w:style>
  <w:style w:type="paragraph" w:styleId="Heading3">
    <w:name w:val="heading 3"/>
    <w:basedOn w:val="Normal"/>
    <w:next w:val="Normal"/>
    <w:link w:val="Titre3Car"/>
    <w:uiPriority w:val="9"/>
    <w:unhideWhenUsed/>
    <w:qFormat/>
    <w:rsid w:val="00e01725"/>
    <w:pPr>
      <w:keepNext w:val="true"/>
      <w:keepLines/>
      <w:spacing w:lineRule="auto" w:line="276" w:before="200" w:after="0"/>
      <w:outlineLvl w:val="2"/>
    </w:pPr>
    <w:rPr>
      <w:rFonts w:eastAsia="" w:cs="" w:cstheme="majorBidi" w:eastAsiaTheme="majorEastAsia"/>
      <w:b/>
      <w:bCs/>
      <w:caps/>
      <w:szCs w:val="18"/>
    </w:rPr>
  </w:style>
  <w:style w:type="paragraph" w:styleId="Heading4">
    <w:name w:val="heading 4"/>
    <w:basedOn w:val="Normal"/>
    <w:next w:val="Normal"/>
    <w:link w:val="Titre4Car"/>
    <w:uiPriority w:val="9"/>
    <w:unhideWhenUsed/>
    <w:qFormat/>
    <w:rsid w:val="00e01725"/>
    <w:pPr>
      <w:keepNext w:val="true"/>
      <w:keepLines/>
      <w:spacing w:before="200" w:after="0"/>
      <w:outlineLvl w:val="3"/>
    </w:pPr>
    <w:rPr>
      <w:rFonts w:eastAsia="" w:cs="" w:cstheme="majorBidi" w:eastAsiaTheme="majorEastAsia"/>
      <w:i/>
      <w:iCs/>
      <w:caps/>
      <w:szCs w:val="18"/>
    </w:rPr>
  </w:style>
  <w:style w:type="paragraph" w:styleId="Heading5">
    <w:name w:val="heading 5"/>
    <w:basedOn w:val="Heading4"/>
    <w:next w:val="Normal"/>
    <w:link w:val="Titre5Car"/>
    <w:uiPriority w:val="9"/>
    <w:unhideWhenUsed/>
    <w:qFormat/>
    <w:rsid w:val="005c665d"/>
    <w:pPr>
      <w:spacing w:before="200" w:after="300"/>
      <w:jc w:val="both"/>
      <w:outlineLvl w:val="4"/>
    </w:pPr>
    <w:rPr>
      <w:rFonts w:ascii="Times New Roman" w:hAnsi="Times New Roman"/>
      <w:b/>
      <w:iCs w:val="false"/>
      <w:sz w:val="28"/>
      <w:szCs w:val="26"/>
    </w:rPr>
  </w:style>
  <w:style w:type="paragraph" w:styleId="Heading6">
    <w:name w:val="heading 6"/>
    <w:basedOn w:val="Normal"/>
    <w:next w:val="Normal"/>
    <w:link w:val="Titre6Car"/>
    <w:uiPriority w:val="9"/>
    <w:unhideWhenUsed/>
    <w:qFormat/>
    <w:rsid w:val="00b268bf"/>
    <w:pPr>
      <w:keepNext w:val="true"/>
      <w:keepLines/>
      <w:spacing w:before="200" w:after="0"/>
      <w:jc w:val="both"/>
      <w:outlineLvl w:val="5"/>
    </w:pPr>
    <w:rPr>
      <w:rFonts w:ascii="Times New Roman" w:hAnsi="Times New Roman" w:eastAsia="" w:cs="" w:cstheme="majorBidi" w:eastAsiaTheme="majorEastAsia"/>
      <w:i/>
      <w:iCs/>
      <w:color w:themeColor="text1" w:val="000000"/>
      <w:sz w:val="28"/>
      <w:szCs w:val="24"/>
    </w:rPr>
  </w:style>
  <w:style w:type="character" w:styleId="DefaultParagraphFont" w:default="1">
    <w:name w:val="Default Paragraph Font"/>
    <w:uiPriority w:val="1"/>
    <w:semiHidden/>
    <w:unhideWhenUsed/>
    <w:qFormat/>
    <w:rPr/>
  </w:style>
  <w:style w:type="character" w:styleId="h2" w:customStyle="1">
    <w:name w:val="h2"/>
    <w:uiPriority w:val="1"/>
    <w:qFormat/>
    <w:rsid w:val="00556bf4"/>
    <w:rPr>
      <w:rFonts w:ascii="Calibri" w:hAnsi="Calibri" w:asciiTheme="majorHAnsi" w:hAnsiTheme="majorHAnsi"/>
      <w:b/>
      <w:sz w:val="32"/>
    </w:rPr>
  </w:style>
  <w:style w:type="character" w:styleId="h4" w:customStyle="1">
    <w:name w:val="h4"/>
    <w:basedOn w:val="h3"/>
    <w:uiPriority w:val="1"/>
    <w:qFormat/>
    <w:rsid w:val="00556bf4"/>
    <w:rPr>
      <w:rFonts w:ascii="Calibri" w:hAnsi="Calibri" w:asciiTheme="majorHAnsi" w:hAnsiTheme="majorHAnsi"/>
      <w:b/>
      <w:sz w:val="24"/>
    </w:rPr>
  </w:style>
  <w:style w:type="character" w:styleId="h3" w:customStyle="1">
    <w:name w:val="h3"/>
    <w:basedOn w:val="h2"/>
    <w:uiPriority w:val="1"/>
    <w:qFormat/>
    <w:rsid w:val="00556bf4"/>
    <w:rPr>
      <w:rFonts w:ascii="Calibri" w:hAnsi="Calibri" w:asciiTheme="majorHAnsi" w:hAnsiTheme="majorHAnsi"/>
      <w:b/>
      <w:sz w:val="28"/>
    </w:rPr>
  </w:style>
  <w:style w:type="character" w:styleId="Titre1Car" w:customStyle="1">
    <w:name w:val="Titre 1 Car"/>
    <w:basedOn w:val="DefaultParagraphFont"/>
    <w:uiPriority w:val="9"/>
    <w:qFormat/>
    <w:rsid w:val="00e01725"/>
    <w:rPr>
      <w:rFonts w:ascii="Arial" w:hAnsi="Arial" w:eastAsia="" w:cs="" w:cstheme="majorBidi" w:eastAsiaTheme="majorEastAsia"/>
      <w:b/>
      <w:bCs/>
      <w:caps/>
      <w:sz w:val="28"/>
      <w:szCs w:val="28"/>
    </w:rPr>
  </w:style>
  <w:style w:type="character" w:styleId="Titre6Car" w:customStyle="1">
    <w:name w:val="Titre 6 Car"/>
    <w:basedOn w:val="DefaultParagraphFont"/>
    <w:uiPriority w:val="9"/>
    <w:qFormat/>
    <w:rsid w:val="00b268bf"/>
    <w:rPr>
      <w:rFonts w:ascii="Times New Roman" w:hAnsi="Times New Roman" w:eastAsia="" w:cs="" w:cstheme="majorBidi" w:eastAsiaTheme="majorEastAsia"/>
      <w:i/>
      <w:iCs/>
      <w:color w:themeColor="text1" w:val="000000"/>
      <w:sz w:val="28"/>
    </w:rPr>
  </w:style>
  <w:style w:type="character" w:styleId="Titre5Car" w:customStyle="1">
    <w:name w:val="Titre 5 Car"/>
    <w:basedOn w:val="DefaultParagraphFont"/>
    <w:uiPriority w:val="9"/>
    <w:qFormat/>
    <w:rsid w:val="005c665d"/>
    <w:rPr>
      <w:rFonts w:ascii="Times New Roman" w:hAnsi="Times New Roman" w:eastAsia="" w:cs="" w:cstheme="majorBidi" w:eastAsiaTheme="majorEastAsia"/>
      <w:bCs/>
      <w:i/>
      <w:sz w:val="28"/>
      <w:szCs w:val="26"/>
    </w:rPr>
  </w:style>
  <w:style w:type="character" w:styleId="Titre4Car" w:customStyle="1">
    <w:name w:val="Titre 4 Car"/>
    <w:basedOn w:val="DefaultParagraphFont"/>
    <w:uiPriority w:val="9"/>
    <w:qFormat/>
    <w:rsid w:val="00e01725"/>
    <w:rPr>
      <w:rFonts w:ascii="Arial" w:hAnsi="Arial" w:eastAsia="" w:cs="" w:cstheme="majorBidi" w:eastAsiaTheme="majorEastAsia"/>
      <w:i/>
      <w:iCs/>
      <w:caps/>
      <w:sz w:val="18"/>
      <w:szCs w:val="18"/>
    </w:rPr>
  </w:style>
  <w:style w:type="character" w:styleId="Titre3Car" w:customStyle="1">
    <w:name w:val="Titre 3 Car"/>
    <w:basedOn w:val="DefaultParagraphFont"/>
    <w:uiPriority w:val="9"/>
    <w:qFormat/>
    <w:rsid w:val="00e01725"/>
    <w:rPr>
      <w:rFonts w:ascii="Arial" w:hAnsi="Arial" w:eastAsia="" w:cs="" w:cstheme="majorBidi" w:eastAsiaTheme="majorEastAsia"/>
      <w:b/>
      <w:bCs/>
      <w:caps/>
      <w:sz w:val="18"/>
      <w:szCs w:val="18"/>
    </w:rPr>
  </w:style>
  <w:style w:type="character" w:styleId="Titre2Car" w:customStyle="1">
    <w:name w:val="Titre 2 Car"/>
    <w:basedOn w:val="DefaultParagraphFont"/>
    <w:uiPriority w:val="9"/>
    <w:qFormat/>
    <w:rsid w:val="00e01725"/>
    <w:rPr>
      <w:rFonts w:ascii="Arial" w:hAnsi="Arial" w:eastAsia="" w:cs="" w:cstheme="majorBidi" w:eastAsiaTheme="majorEastAsia"/>
      <w:b/>
      <w:bCs/>
      <w:caps/>
      <w:sz w:val="20"/>
      <w:szCs w:val="20"/>
    </w:rPr>
  </w:style>
  <w:style w:type="character" w:styleId="Hyperlink">
    <w:name w:val="Hyperlink"/>
    <w:rPr>
      <w:color w:val="000080"/>
      <w:u w:val="single"/>
    </w:rPr>
  </w:style>
  <w:style w:type="character" w:styleId="FollowedHyperlink">
    <w:name w:val="FollowedHyperlink"/>
    <w:rPr>
      <w:color w:val="800000"/>
      <w:u w:val="single"/>
    </w:rPr>
  </w:style>
  <w:style w:type="character" w:styleId="UnresolvedMention">
    <w:name w:val="Unresolved Mention"/>
    <w:basedOn w:val="DefaultParagraphFont"/>
    <w:uiPriority w:val="99"/>
    <w:semiHidden/>
    <w:unhideWhenUsed/>
    <w:qFormat/>
    <w:rsid w:val="002652c4"/>
    <w:rPr>
      <w:color w:val="605E5C"/>
      <w:shd w:fill="E1DFDD" w:val="clea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user" w:customStyle="1">
    <w:name w:val="Titre (user)"/>
    <w:basedOn w:val="Normal"/>
    <w:next w:val="BodyText"/>
    <w:qFormat/>
    <w:pPr>
      <w:keepNext w:val="true"/>
      <w:spacing w:before="240" w:after="120"/>
    </w:pPr>
    <w:rPr>
      <w:rFonts w:ascii="Liberation Sans" w:hAnsi="Liberation Sans" w:eastAsia="Microsoft YaHei" w:cs="Lucida Sans"/>
      <w:sz w:val="28"/>
      <w:szCs w:val="28"/>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h1" w:customStyle="1">
    <w:name w:val="h1"/>
    <w:basedOn w:val="Heading1"/>
    <w:next w:val="Normal"/>
    <w:qFormat/>
    <w:rsid w:val="00aa70b5"/>
    <w:pPr/>
    <w:rPr/>
  </w:style>
  <w:style w:type="paragraph" w:styleId="ListParagraph">
    <w:name w:val="List Paragraph"/>
    <w:basedOn w:val="Normal"/>
    <w:uiPriority w:val="34"/>
    <w:qFormat/>
    <w:rsid w:val="00e01725"/>
    <w:pPr>
      <w:numPr>
        <w:ilvl w:val="0"/>
        <w:numId w:val="1"/>
      </w:numPr>
      <w:spacing w:before="240" w:after="240"/>
    </w:pPr>
    <w:rPr/>
  </w:style>
  <w:style w:type="paragraph" w:styleId="Contenudetableau" w:customStyle="1">
    <w:name w:val="Contenu de tableau"/>
    <w:basedOn w:val="Normal"/>
    <w:qFormat/>
    <w:pPr>
      <w:widowControl w:val="false"/>
      <w:suppressLineNumbers/>
    </w:pPr>
    <w:rPr/>
  </w:style>
  <w:style w:type="paragraph" w:styleId="Texteprformat" w:customStyle="1">
    <w:name w:val="Texte préformaté"/>
    <w:basedOn w:val="Normal"/>
    <w:qFormat/>
    <w:pPr/>
    <w:rPr>
      <w:rFonts w:ascii="Liberation Mono" w:hAnsi="Liberation Mono" w:eastAsia="MS Gothic" w:cs="Liberation Mono"/>
      <w:sz w:val="20"/>
    </w:rPr>
  </w:style>
  <w:style w:type="numbering" w:styleId="Pasdeliste" w:customStyle="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NormalTable">
    <w:name w:val="NormalTable"/>
    <w:basedOn w:val="TableauNormal"/>
    <w:uiPriority w:val="99"/>
    <w:rsid w:val="00cc046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ylvie.schneider-maunoury@sorbonne-universite.fr" TargetMode="External"/><Relationship Id="rId3" Type="http://schemas.openxmlformats.org/officeDocument/2006/relationships/hyperlink" Target="https://data.inrae.fr/" TargetMode="External"/><Relationship Id="rId4" Type="http://schemas.openxmlformats.org/officeDocument/2006/relationships/hyperlink" Target="https://docs.openmicroscopy.org/latest/ome-model/ome-tiff/" TargetMode="External"/><Relationship Id="rId5" Type="http://schemas.openxmlformats.org/officeDocument/2006/relationships/hyperlink" Target="https://institutducerveau.org/plateforme-sequencage-genomique-igenseq"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LibreOffice/24.8.5.2$Windows_X86_64 LibreOffice_project/fddf2685c70b461e7832239a0162a77216259f22</Application>
  <AppVersion>15.0000</AppVersion>
  <Pages>4</Pages>
  <Words>1577</Words>
  <Characters>8677</Characters>
  <CharactersWithSpaces>10234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2025-03-11T17:48:00Z</dcterms:created>
  <dc:creator>Sylvie Schneider-Maunoury</dc:creator>
  <dc:description/>
  <dc:language>fr-FR</dc:language>
  <cp:lastModifiedBy/>
  <cp:lastPrinted>2025-03-11T15:36:00Z</cp:lastPrinted>
  <dcterms:modified xsi:type="dcterms:W3CDTF">2025-03-12T15:44:49Z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