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center"/>
      </w:pPr>
      <w:r>
        <w:rPr>
          <w:rFonts w:ascii="Times New Roman" w:hAnsi="Times New Roman"/>
          <w:b/>
          <w:color w:val="000000"/>
          <w:sz w:val="44"/>
        </w:rPr>
        <w:t>ABSTRACT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/>
          <w:sz w:val="28"/>
        </w:rPr>
        <w:t>AN AUTONOMOUS CREDIT RISK ASSESSMENT AND EXPLAINABLE AI SYSTEM WITH HYBRID MULTI-BANK POLICY RAG ENGINE</w:t>
      </w:r>
    </w:p>
    <w:p>
      <w:pPr>
        <w:spacing w:after="480"/>
        <w:jc w:val="center"/>
      </w:pPr>
      <w:r>
        <w:rPr>
          <w:rFonts w:ascii="Times New Roman" w:hAnsi="Times New Roman"/>
          <w:b/>
          <w:sz w:val="28"/>
        </w:rPr>
        <w:t>(Loan-IQ)</w:t>
      </w:r>
    </w:p>
    <w:p>
      <w:pPr>
        <w:spacing w:after="280" w:line="312" w:lineRule="auto"/>
        <w:ind w:firstLine="576"/>
        <w:jc w:val="both"/>
      </w:pPr>
      <w:r>
        <w:rPr>
          <w:rFonts w:ascii="Times New Roman" w:hAnsi="Times New Roman"/>
          <w:sz w:val="24"/>
        </w:rPr>
        <w:t>Loan-IQ is an intelligent, autonomous credit risk assessment and policy decision engine designed to ensure accurate, transparent, and compliant loan underwriting, especially during complex financial evaluations and multi-bank policy assessments. The system continuously monitors applicant risk profiles in real time, detects underwriting anomalies or policy violations using advanced AI/ML techniques, and automatically generates audit-ready credit scoring and decision rationale without manual intervention bottlenecks.</w:t>
      </w:r>
    </w:p>
    <w:p>
      <w:pPr>
        <w:spacing w:after="280" w:line="312" w:lineRule="auto"/>
        <w:ind w:firstLine="576"/>
        <w:jc w:val="both"/>
      </w:pPr>
      <w:r>
        <w:rPr>
          <w:rFonts w:ascii="Times New Roman" w:hAnsi="Times New Roman"/>
          <w:sz w:val="24"/>
        </w:rPr>
        <w:t>It combines a 2-tier Stacking Ensemble Classifier (XGBoost, LightGBM, CatBoost, Random Forest with an Artificial Neural Network Meta-Learner), SHAP explainable AI attributions, and a specialized multi-bank policy compliance module. When a loan application or policy query is submitted, Loan-IQ evaluates financial obligations (FOIR, LTV, EMI), isolates policy violations, and reroutes non-compliant requests with actionable mitigation steps. In parallel, it utilizes a Hybrid RAG Engine combining dense FAISS vector search and sparse BM25 keyword retrieval with Reciprocal Rank Fusion (RRF) re-ranking to ensure that critical bank guidelines (SBI, HDFC, ICICI, IOB, Canara, RBI) reach decision-makers accurately.</w:t>
      </w:r>
    </w:p>
    <w:p>
      <w:pPr>
        <w:spacing w:after="280" w:line="312" w:lineRule="auto"/>
        <w:ind w:firstLine="576"/>
        <w:jc w:val="both"/>
      </w:pPr>
      <w:r>
        <w:rPr>
          <w:rFonts w:ascii="Times New Roman" w:hAnsi="Times New Roman"/>
          <w:sz w:val="24"/>
        </w:rPr>
        <w:t>The system uses AI to predict creditworthiness, learn from historical lending data, and improve its risk attributions over time. With a user-friendly dashboard and interactive AI policy assistant, it provides real-time decision visualization, financial ratio metrics, and detailed audit logs for better underwriting decision-making. Loan-IQ aims to create a resilient, secure, and intelligent financial technology infrastructure that supports continuous, compliant credit processing in enterprise banking scenarios.</w:t>
      </w:r>
    </w:p>
    <w:p>
      <w:pPr>
        <w:spacing w:before="720"/>
      </w:pPr>
    </w:p>
    <w:p>
      <w:pPr>
        <w:spacing w:after="80"/>
        <w:jc w:val="right"/>
      </w:pPr>
      <w:r>
        <w:rPr>
          <w:rFonts w:ascii="Times New Roman" w:hAnsi="Times New Roman"/>
          <w:b/>
          <w:sz w:val="22"/>
        </w:rPr>
        <w:t>TEAM NAME &amp; REG NO</w:t>
      </w:r>
    </w:p>
    <w:p>
      <w:pPr>
        <w:spacing w:after="40"/>
        <w:jc w:val="right"/>
      </w:pPr>
      <w:r>
        <w:rPr>
          <w:rFonts w:ascii="Times New Roman" w:hAnsi="Times New Roman"/>
          <w:sz w:val="22"/>
        </w:rPr>
        <w:t>S.RAGULKRISHNA  -  910623104072</w:t>
      </w:r>
    </w:p>
    <w:p>
      <w:pPr>
        <w:spacing w:after="0"/>
        <w:jc w:val="right"/>
      </w:pPr>
      <w:r>
        <w:rPr>
          <w:rFonts w:ascii="Times New Roman" w:hAnsi="Times New Roman"/>
          <w:sz w:val="22"/>
        </w:rPr>
        <w:t>J.MOHAMEDAADIL  -  910623104050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