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/>
          <w:bCs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/>
          <w:bCs/>
        </w:rPr>
        <w:t xml:space="preserve">Bohemia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/>
          <w:bCs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pStyle w:val="Compact"/>
        <w:numPr>
          <w:ilvl w:val="0"/>
          <w:numId w:val="1002"/>
        </w:numPr>
      </w:pPr>
      <w:r>
        <w:t xml:space="preserve">Institute of Archaeology, Czech Academy of Sciences, Brno</w:t>
      </w:r>
      <w:r>
        <w:br/>
      </w:r>
      <w:hyperlink r:id="rId23">
        <w:r>
          <w:rPr>
            <w:rStyle w:val="Hyperlink"/>
          </w:rPr>
          <w:t xml:space="preserve">https://www.arub.cz/</w:t>
        </w:r>
      </w:hyperlink>
      <w:r>
        <w:br/>
      </w:r>
      <w:hyperlink r:id="rId26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www.arub.cz/" TargetMode="External" /><Relationship Type="http://schemas.openxmlformats.org/officeDocument/2006/relationships/hyperlink" Id="rId22" Target="https://www.arup.cas.cz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6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2024-07-17T15:12:31Z</dcterms:created>
  <dcterms:modified xsi:type="dcterms:W3CDTF">2024-07-17T15:12:31Z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