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83.png" ContentType="image/png"/>
  <Override PartName="/word/media/rId46.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AMČR</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18.</w:t>
      </w:r>
      <w:r>
        <w:t xml:space="preserve"> </w:t>
      </w:r>
      <w:r>
        <w:t xml:space="preserve">4.</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6"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Tabulky</w:t>
            </w:r>
          </w:p>
          <w:p>
            <w:pPr>
              <w:pStyle w:val="BodyText"/>
            </w:pPr>
            <w:pPr>
              <w:spacing w:before="16"/>
            </w:pPr>
            <w:r>
              <w:t xml:space="preserve">Tabulky lze vkládat ručně jako text formátovaný v Markdownu, viz</w:t>
            </w:r>
            <w:r>
              <w:t xml:space="preserve"> </w:t>
            </w:r>
            <w:hyperlink r:id="rId35">
              <w:r>
                <w:rPr>
                  <w:rStyle w:val="Hyperlink"/>
                </w:rPr>
                <w:t xml:space="preserve">https://quarto.org/docs/authoring/tables.html</w:t>
              </w:r>
            </w:hyperlink>
            <w:r>
              <w:t xml:space="preserve">.</w:t>
            </w:r>
            <w:r>
              <w:t xml:space="preserve"> </w:t>
            </w:r>
            <w:r>
              <w:t xml:space="preserve">Druhou variantou je pak stavět tabulky automatizovaně z CSV souborů.</w:t>
            </w:r>
            <w:r>
              <w:t xml:space="preserve"> </w:t>
            </w:r>
            <w:r>
              <w:t xml:space="preserve">CSV v UTF8 oddělené čárkami, s textovými buňkami ohraničenými dvojitými uvozovkami (“)</w:t>
            </w:r>
            <w:r>
              <w:t xml:space="preserve"> </w:t>
            </w:r>
            <w:r>
              <w:t xml:space="preserve">vkládejte do složky</w:t>
            </w:r>
            <w:r>
              <w:t xml:space="preserve"> </w:t>
            </w:r>
            <w:r>
              <w:rPr>
                <w:rStyle w:val="VerbatimChar"/>
              </w:rPr>
              <w:t xml:space="preserve">./tabs/</w:t>
            </w:r>
            <w:r>
              <w:t xml:space="preserve">.</w:t>
            </w:r>
          </w:p>
          <w:p>
            <w:pPr>
              <w:pStyle w:val="BodyText"/>
            </w:pPr>
            <w:r>
              <w:t xml:space="preserve">Tabulku lze pak vložit tímhle kódem:</w:t>
            </w:r>
          </w:p>
          <w:p>
            <w:pPr>
              <w:pStyle w:val="SourceCode"/>
            </w:pPr>
            <w:r>
              <w:rPr>
                <w:rStyle w:val="InformationTok"/>
              </w:rPr>
              <w:t xml:space="preserve">```{r}</w:t>
            </w:r>
            <w:r>
              <w:br/>
            </w:r>
            <w:r>
              <w:rPr>
                <w:rStyle w:val="CommentTok"/>
              </w:rPr>
              <w:t xml:space="preserve">#| label: tbl-role              # popisek pro křížové odkazy</w:t>
            </w:r>
            <w:r>
              <w:br/>
            </w:r>
            <w:r>
              <w:rPr>
                <w:rStyle w:val="CommentTok"/>
              </w:rPr>
              <w:t xml:space="preserve">#| tbl-cap: "Uživatelské role." # popisek tabulky zobrazený v textu</w:t>
            </w:r>
            <w:r>
              <w:br/>
            </w:r>
            <w:r>
              <w:br/>
            </w:r>
            <w:r>
              <w:rPr>
                <w:rStyle w:val="FunctionTok"/>
              </w:rPr>
              <w:t xml:space="preserve">read.csv</w:t>
            </w:r>
            <w:r>
              <w:rPr>
                <w:rStyle w:val="NormalTok"/>
              </w:rPr>
              <w:t xml:space="preserve">(</w:t>
            </w:r>
            <w:r>
              <w:rPr>
                <w:rStyle w:val="StringTok"/>
              </w:rPr>
              <w:t xml:space="preserve">"tabs/table.csv"</w:t>
            </w:r>
            <w:r>
              <w:rPr>
                <w:rStyle w:val="NormalTok"/>
              </w:rPr>
              <w:t xml:space="preserve">) </w:t>
            </w:r>
            <w:r>
              <w:rPr>
                <w:rStyle w:val="SpecialCharTok"/>
              </w:rPr>
              <w:t xml:space="preserve">|&gt;</w:t>
            </w:r>
            <w:r>
              <w:rPr>
                <w:rStyle w:val="NormalTok"/>
              </w:rPr>
              <w:t xml:space="preserve">   </w:t>
            </w:r>
            <w:r>
              <w:rPr>
                <w:rStyle w:val="CommentTok"/>
              </w:rPr>
              <w:t xml:space="preserve">#  "table" nahradit za skutečný název tabulky</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InformationTok"/>
              </w:rPr>
              <w:t xml:space="preserve">```</w:t>
            </w:r>
          </w:p>
        </w:tc>
      </w:tr>
    </w:tbl>
    <w:bookmarkEnd w:id="36"/>
    <w:bookmarkStart w:id="39" w:name="historie-amčr"/>
    <w:p>
      <w:pPr>
        <w:pStyle w:val="Heading1"/>
      </w:pPr>
      <w:r>
        <w:t xml:space="preserve">1. Historie AMČR</w:t>
      </w:r>
    </w:p>
    <w:bookmarkStart w:id="38"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7"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7"/>
    <w:bookmarkEnd w:id="38"/>
    <w:bookmarkEnd w:id="39"/>
    <w:bookmarkStart w:id="76"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41" name="Picture"/>
            <a:graphic>
              <a:graphicData uri="http://schemas.openxmlformats.org/drawingml/2006/picture">
                <pic:pic>
                  <pic:nvPicPr>
                    <pic:cNvPr descr="./figs/cyklus.png" id="42" name="Picture"/>
                    <pic:cNvPicPr>
                      <a:picLocks noChangeArrowheads="1" noChangeAspect="1"/>
                    </pic:cNvPicPr>
                  </pic:nvPicPr>
                  <pic:blipFill>
                    <a:blip r:embed="rId40"/>
                    <a:stretch>
                      <a:fillRect/>
                    </a:stretch>
                  </pic:blipFill>
                  <pic:spPr bwMode="auto">
                    <a:xfrm>
                      <a:off x="0" y="0"/>
                      <a:ext cx="4868149" cy="4242266"/>
                    </a:xfrm>
                    <a:prstGeom prst="rect">
                      <a:avLst/>
                    </a:prstGeom>
                    <a:noFill/>
                    <a:ln w="9525">
                      <a:noFill/>
                      <a:headEnd/>
                      <a:tailEnd/>
                    </a:ln>
                  </pic:spPr>
                </pic:pic>
              </a:graphicData>
            </a:graphic>
          </wp:inline>
        </w:drawing>
      </w:r>
    </w:p>
    <w:bookmarkStart w:id="43"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3"/>
    <w:bookmarkStart w:id="44"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4"/>
    <w:bookmarkStart w:id="45"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5"/>
    <w:bookmarkStart w:id="49"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7" name="Picture"/>
            <a:graphic>
              <a:graphicData uri="http://schemas.openxmlformats.org/drawingml/2006/picture">
                <pic:pic>
                  <pic:nvPicPr>
                    <pic:cNvPr descr="./figs/typy_akci.png" id="48" name="Picture"/>
                    <pic:cNvPicPr>
                      <a:picLocks noChangeArrowheads="1" noChangeAspect="1"/>
                    </pic:cNvPicPr>
                  </pic:nvPicPr>
                  <pic:blipFill>
                    <a:blip r:embed="rId46"/>
                    <a:stretch>
                      <a:fillRect/>
                    </a:stretch>
                  </pic:blipFill>
                  <pic:spPr bwMode="auto">
                    <a:xfrm>
                      <a:off x="0" y="0"/>
                      <a:ext cx="4868149" cy="2747779"/>
                    </a:xfrm>
                    <a:prstGeom prst="rect">
                      <a:avLst/>
                    </a:prstGeom>
                    <a:noFill/>
                    <a:ln w="9525">
                      <a:noFill/>
                      <a:headEnd/>
                      <a:tailEnd/>
                    </a:ln>
                  </pic:spPr>
                </pic:pic>
              </a:graphicData>
            </a:graphic>
          </wp:inline>
        </w:drawing>
      </w:r>
    </w:p>
    <w:bookmarkEnd w:id="49"/>
    <w:bookmarkStart w:id="50"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50"/>
    <w:bookmarkStart w:id="51"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51"/>
    <w:bookmarkStart w:id="52"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52"/>
    <w:bookmarkStart w:id="53"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3"/>
    <w:bookmarkStart w:id="54"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4"/>
    <w:bookmarkStart w:id="58"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5"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5"/>
    <w:bookmarkStart w:id="56"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6"/>
    <w:bookmarkStart w:id="57"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7"/>
    <w:bookmarkEnd w:id="58"/>
    <w:bookmarkStart w:id="75" w:name="další-pojmy"/>
    <w:p>
      <w:pPr>
        <w:pStyle w:val="Heading2"/>
      </w:pPr>
      <w:r>
        <w:t xml:space="preserve">2.11 Další pojmy</w:t>
      </w:r>
    </w:p>
    <w:bookmarkStart w:id="59"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9"/>
    <w:bookmarkStart w:id="60"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60"/>
    <w:bookmarkStart w:id="61"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61"/>
    <w:bookmarkStart w:id="62"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62"/>
    <w:bookmarkStart w:id="63"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3"/>
    <w:bookmarkStart w:id="64"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4"/>
    <w:bookmarkStart w:id="65"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5"/>
    <w:bookmarkStart w:id="66"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6"/>
    <w:bookmarkStart w:id="67"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7"/>
    <w:bookmarkStart w:id="68"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8"/>
    <w:bookmarkStart w:id="69"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9"/>
    <w:bookmarkStart w:id="70"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70"/>
    <w:bookmarkStart w:id="71"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71"/>
    <w:bookmarkStart w:id="72"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72"/>
    <w:bookmarkStart w:id="73"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3"/>
    <w:bookmarkStart w:id="74"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4"/>
    <w:bookmarkEnd w:id="75"/>
    <w:bookmarkEnd w:id="76"/>
    <w:bookmarkStart w:id="78" w:name="uživatelské-role"/>
    <w:p>
      <w:pPr>
        <w:pStyle w:val="Heading1"/>
      </w:pPr>
      <w:r>
        <w:t xml:space="preserve">3. Uživatelské role</w:t>
      </w:r>
    </w:p>
    <w:p>
      <w:pPr>
        <w:pStyle w:val="FirstParagraph"/>
      </w:pPr>
      <w:r>
        <w:t xml:space="preserve">AMČR rozlišuje pět uživatelských rolí, jejichž nositelé se liší svými právy při práci s informačním systémem. Právo ke vstupu do informačního systému na elementární úrovni (A – Anonym) získává každý uživatel, který software nainstaluje do svého počítače. Rozšířená uživatelská práva lze získat na základě registrace (role B – Badatel), další oprávnění získá pracovník některé z organizací oprávněných k provádění archeologických výzkumů (C – Archeolog). Vyšší uživatelská práva potom mají pracovníci organizací provozujících informační systém AMČR, tedy ARÚP a ARÚB. Uživatel na úrovni D – Archivář provádí zejména formální a obsahovou kontrolu záznamů vkládanými uživateli úrovní B a C, správu systému pak provádí uživatel s oprávněním E – Administrátor.</w:t>
      </w:r>
    </w:p>
    <w:p>
      <w:pPr>
        <w:pStyle w:val="BodyText"/>
      </w:pPr>
      <w:r>
        <w:t xml:space="preserve">Oprávnění odvozená od uživatelských rolí jsou bez výjimek kumulativní, tj. každá vyšší role disponuje všemi oprávněními příslušnými nižším uživatelským rolím. Uživatelská role je vždy vázána na konkrétní uživatelský účet a organizace tak může být systému zastoupena uživateli na všech úrovních oprávnění.</w:t>
      </w:r>
    </w:p>
    <w:p>
      <w:pPr>
        <w:pStyle w:val="BodyText"/>
      </w:pPr>
      <w:r>
        <w:t xml:space="preserve">Uživatelská role ovlivňuje šíři přístupu k datům a funkcionalitám. Obecně platí, že všem uživatelům jsou zpřístupněna pro prohlížení všechna archivovaná data (tj. uzavřené a zkontrolované záznamy), a to s výjimkou takových dat, u kterých autor záznamu či správci systému indikují nebezpečí zneužití, např. letecké snímky, na nichž je zřejmá poloha lokalit ohrožených ilegálními výzkumy s pomocí detektoru kovů. Vytvářet nové záznamy a vkládat nové dokumenty mohou jen registrovaní uživatelé. Rozpracované záznamy jsou zpřístupňovány jen tomu uživateli, který jej edituje, a uživatelům s vyššími oprávněními (úroveň D a E).</w:t>
      </w:r>
    </w:p>
    <w:bookmarkStart w:id="77" w:name="tbl-role"/>
    <w:p>
      <w:pPr>
        <w:pStyle w:val="TableCaption"/>
      </w:pPr>
      <w:r>
        <w:t xml:space="preserve">Table 3.1: Uživatelské role.</w:t>
      </w:r>
    </w:p>
    <w:tbl>
      <w:tblPr>
        <w:tblStyle w:val="Table"/>
        <w:tblW w:type="pct" w:w="5000"/>
        <w:tblLook w:firstRow="1" w:lastRow="0" w:firstColumn="0" w:lastColumn="0" w:noHBand="0" w:noVBand="0" w:val="0020"/>
        <w:tblCaption w:val="Table 3.1: Uživatelské role."/>
      </w:tblPr>
      <w:tblGrid>
        <w:gridCol w:w="210"/>
        <w:gridCol w:w="589"/>
        <w:gridCol w:w="3328"/>
        <w:gridCol w:w="3791"/>
      </w:tblGrid>
      <w:tr>
        <w:trPr>
          <w:tblHeader w:val="true"/>
        </w:trPr>
        <w:tc>
          <w:tcPr/>
          <w:p>
            <w:pPr>
              <w:pStyle w:val="Compact"/>
              <w:jc w:val="left"/>
            </w:pPr>
            <w:r>
              <w:t xml:space="preserve">Role</w:t>
            </w:r>
          </w:p>
        </w:tc>
        <w:tc>
          <w:tcPr/>
          <w:p>
            <w:pPr>
              <w:pStyle w:val="Compact"/>
              <w:jc w:val="left"/>
            </w:pPr>
            <w:r>
              <w:t xml:space="preserve">Název</w:t>
            </w:r>
          </w:p>
        </w:tc>
        <w:tc>
          <w:tcPr/>
          <w:p>
            <w:pPr>
              <w:pStyle w:val="Compact"/>
              <w:jc w:val="left"/>
            </w:pPr>
            <w:r>
              <w:t xml:space="preserve">Vysvětlivka</w:t>
            </w:r>
          </w:p>
        </w:tc>
        <w:tc>
          <w:tcPr/>
          <w:p>
            <w:pPr>
              <w:pStyle w:val="Compact"/>
              <w:jc w:val="left"/>
            </w:pPr>
            <w:r>
              <w:t xml:space="preserve">Práva</w:t>
            </w:r>
          </w:p>
        </w:tc>
      </w:tr>
      <w:tr>
        <w:tc>
          <w:tcPr/>
          <w:p>
            <w:pPr>
              <w:pStyle w:val="Compact"/>
              <w:jc w:val="left"/>
            </w:pPr>
            <w:r>
              <w:t xml:space="preserve">A</w:t>
            </w:r>
          </w:p>
        </w:tc>
        <w:tc>
          <w:tcPr/>
          <w:p>
            <w:pPr>
              <w:pStyle w:val="Compact"/>
              <w:jc w:val="left"/>
            </w:pPr>
            <w:r>
              <w:t xml:space="preserve">Anonym</w:t>
            </w:r>
          </w:p>
        </w:tc>
        <w:tc>
          <w:tcPr/>
          <w:p>
            <w:pPr>
              <w:pStyle w:val="Compact"/>
              <w:jc w:val="left"/>
            </w:pPr>
            <w:r>
              <w:t xml:space="preserve">Každý uživatel</w:t>
            </w:r>
          </w:p>
        </w:tc>
        <w:tc>
          <w:tcPr/>
          <w:p>
            <w:pPr>
              <w:pStyle w:val="Compact"/>
              <w:jc w:val="left"/>
            </w:pPr>
            <w:r>
              <w:t xml:space="preserve">Prohlížet a exportovat archivovaná data, tvořit výpisové sestavy</w:t>
            </w:r>
          </w:p>
        </w:tc>
      </w:tr>
      <w:tr>
        <w:tc>
          <w:tcPr/>
          <w:p>
            <w:pPr>
              <w:pStyle w:val="Compact"/>
              <w:jc w:val="left"/>
            </w:pPr>
            <w:r>
              <w:t xml:space="preserve">B</w:t>
            </w:r>
          </w:p>
        </w:tc>
        <w:tc>
          <w:tcPr/>
          <w:p>
            <w:pPr>
              <w:pStyle w:val="Compact"/>
              <w:jc w:val="left"/>
            </w:pPr>
            <w:r>
              <w:t xml:space="preserve">Badatel</w:t>
            </w:r>
          </w:p>
        </w:tc>
        <w:tc>
          <w:tcPr/>
          <w:p>
            <w:pPr>
              <w:pStyle w:val="Compact"/>
              <w:jc w:val="left"/>
            </w:pPr>
            <w:r>
              <w:t xml:space="preserve">Registrovaný uživatel, zpravidla student, archeolog nebo zájemce o archeologii</w:t>
            </w:r>
          </w:p>
        </w:tc>
        <w:tc>
          <w:tcPr/>
          <w:p>
            <w:pPr>
              <w:pStyle w:val="Compact"/>
              <w:jc w:val="left"/>
            </w:pPr>
            <w:r>
              <w:t xml:space="preserve">Vkládat data o samostatných akcích, vč. dokumentů</w:t>
            </w:r>
          </w:p>
        </w:tc>
      </w:tr>
      <w:tr>
        <w:tc>
          <w:tcPr/>
          <w:p>
            <w:pPr>
              <w:pStyle w:val="Compact"/>
              <w:jc w:val="left"/>
            </w:pPr>
            <w:r>
              <w:t xml:space="preserve">C</w:t>
            </w:r>
          </w:p>
        </w:tc>
        <w:tc>
          <w:tcPr/>
          <w:p>
            <w:pPr>
              <w:pStyle w:val="Compact"/>
              <w:jc w:val="left"/>
            </w:pPr>
            <w:r>
              <w:t xml:space="preserve">Archeolog</w:t>
            </w:r>
          </w:p>
        </w:tc>
        <w:tc>
          <w:tcPr/>
          <w:p>
            <w:pPr>
              <w:pStyle w:val="Compact"/>
              <w:jc w:val="left"/>
            </w:pPr>
            <w:r>
              <w:t xml:space="preserve">Pracovník organizace oprávněné k terénním archeologickým výzkumům</w:t>
            </w:r>
          </w:p>
        </w:tc>
        <w:tc>
          <w:tcPr/>
          <w:p>
            <w:pPr>
              <w:pStyle w:val="Compact"/>
              <w:jc w:val="left"/>
            </w:pPr>
            <w:r>
              <w:t xml:space="preserve">Vkládat a přihlašovat projekty, zapisovat zprávy o akcích, vč. dokumentů</w:t>
            </w:r>
          </w:p>
        </w:tc>
      </w:tr>
      <w:tr>
        <w:tc>
          <w:tcPr/>
          <w:p>
            <w:pPr>
              <w:pStyle w:val="Compact"/>
              <w:jc w:val="left"/>
            </w:pPr>
            <w:r>
              <w:t xml:space="preserve">D</w:t>
            </w:r>
          </w:p>
        </w:tc>
        <w:tc>
          <w:tcPr/>
          <w:p>
            <w:pPr>
              <w:pStyle w:val="Compact"/>
              <w:jc w:val="left"/>
            </w:pPr>
            <w:r>
              <w:t xml:space="preserve">Archivář</w:t>
            </w:r>
          </w:p>
        </w:tc>
        <w:tc>
          <w:tcPr/>
          <w:p>
            <w:pPr>
              <w:pStyle w:val="Compact"/>
              <w:jc w:val="left"/>
            </w:pPr>
            <w:r>
              <w:t xml:space="preserve">Pověřený pracovník archivu</w:t>
            </w:r>
          </w:p>
        </w:tc>
        <w:tc>
          <w:tcPr/>
          <w:p>
            <w:pPr>
              <w:pStyle w:val="Compact"/>
              <w:jc w:val="left"/>
            </w:pPr>
            <w:r>
              <w:t xml:space="preserve">Posuzovat kvalitu záznamů, vracet k dopracování nebo archivovat záznamy, editovat záznamy</w:t>
            </w:r>
          </w:p>
        </w:tc>
      </w:tr>
      <w:tr>
        <w:tc>
          <w:tcPr/>
          <w:p>
            <w:pPr>
              <w:pStyle w:val="Compact"/>
              <w:jc w:val="left"/>
            </w:pPr>
            <w:r>
              <w:t xml:space="preserve">E</w:t>
            </w:r>
          </w:p>
        </w:tc>
        <w:tc>
          <w:tcPr/>
          <w:p>
            <w:pPr>
              <w:pStyle w:val="Compact"/>
              <w:jc w:val="left"/>
            </w:pPr>
            <w:r>
              <w:t xml:space="preserve">Administrátor</w:t>
            </w:r>
          </w:p>
        </w:tc>
        <w:tc>
          <w:tcPr/>
          <w:p>
            <w:pPr>
              <w:pStyle w:val="Compact"/>
              <w:jc w:val="left"/>
            </w:pPr>
            <w:r>
              <w:t xml:space="preserve">Odpovědný pracovník IT</w:t>
            </w:r>
          </w:p>
        </w:tc>
        <w:tc>
          <w:tcPr/>
          <w:p>
            <w:pPr>
              <w:pStyle w:val="Compact"/>
              <w:jc w:val="left"/>
            </w:pPr>
            <w:r>
              <w:t xml:space="preserve">Dávkově vkládat data, mazat záznamy, spravovat uživatelské účty, spravovat hesláře</w:t>
            </w:r>
          </w:p>
        </w:tc>
      </w:tr>
    </w:tbl>
    <w:bookmarkEnd w:id="77"/>
    <w:bookmarkEnd w:id="78"/>
    <w:bookmarkStart w:id="79" w:name="datový-model"/>
    <w:p>
      <w:pPr>
        <w:pStyle w:val="Heading1"/>
      </w:pPr>
      <w:r>
        <w:t xml:space="preserve">4.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9"/>
    <w:bookmarkStart w:id="86" w:name="procesní-pravidla"/>
    <w:p>
      <w:pPr>
        <w:pStyle w:val="Heading1"/>
      </w:pPr>
      <w:r>
        <w:t xml:space="preserve">5. 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w:t>
      </w:r>
      <w:r>
        <w:t xml:space="preserve"> </w:t>
      </w:r>
      <w:hyperlink r:id="rId80">
        <w:r>
          <w:rPr>
            <w:rStyle w:val="Hyperlink"/>
          </w:rPr>
          <w:t xml:space="preserve">typ uživatele</w:t>
        </w:r>
      </w:hyperlink>
      <w:r>
        <w:t xml:space="preserve"> </w:t>
      </w:r>
      <w:r>
        <w:t xml:space="preserve">spravuje danou datovou třídu, v jaký okamžik vkládá data a jakého cíle má být dosaženo.</w:t>
      </w:r>
    </w:p>
    <w:p>
      <w:pPr>
        <w:pStyle w:val="BodyText"/>
      </w:pPr>
      <w:r>
        <w:t xml:space="preserve">Pro označení fáze zpracování záznamů slouží tzv. procesní stavy, které jsou přidělovány všem záznamům v základních datových třídách (</w:t>
      </w:r>
      <w:hyperlink r:id="rId80">
        <w:r>
          <w:rPr>
            <w:rStyle w:val="Hyperlink"/>
          </w:rPr>
          <w:t xml:space="preserve">Projekty</w:t>
        </w:r>
      </w:hyperlink>
      <w:r>
        <w:t xml:space="preserve">,</w:t>
      </w:r>
      <w:r>
        <w:t xml:space="preserve"> </w:t>
      </w:r>
      <w:hyperlink r:id="rId80">
        <w:r>
          <w:rPr>
            <w:rStyle w:val="Hyperlink"/>
          </w:rPr>
          <w:t xml:space="preserve">Akce</w:t>
        </w:r>
      </w:hyperlink>
      <w:r>
        <w:t xml:space="preserve">,</w:t>
      </w:r>
      <w:r>
        <w:t xml:space="preserve"> </w:t>
      </w:r>
      <w:hyperlink r:id="rId80">
        <w:r>
          <w:rPr>
            <w:rStyle w:val="Hyperlink"/>
          </w:rPr>
          <w:t xml:space="preserve">Lokality</w:t>
        </w:r>
      </w:hyperlink>
      <w:r>
        <w:t xml:space="preserve">,</w:t>
      </w:r>
      <w:r>
        <w:t xml:space="preserve"> </w:t>
      </w:r>
      <w:hyperlink r:id="rId80">
        <w:r>
          <w:rPr>
            <w:rStyle w:val="Hyperlink"/>
          </w:rPr>
          <w:t xml:space="preserve">Dokumenty</w:t>
        </w:r>
      </w:hyperlink>
      <w:r>
        <w:t xml:space="preserve">,</w:t>
      </w:r>
      <w:r>
        <w:t xml:space="preserve"> </w:t>
      </w:r>
      <w:hyperlink r:id="rId80">
        <w:r>
          <w:rPr>
            <w:rStyle w:val="Hyperlink"/>
          </w:rPr>
          <w:t xml:space="preserve">Bibliografie</w:t>
        </w:r>
      </w:hyperlink>
      <w:r>
        <w:t xml:space="preserve">,</w:t>
      </w:r>
      <w:r>
        <w:t xml:space="preserve"> </w:t>
      </w:r>
      <w:hyperlink r:id="rId80">
        <w:r>
          <w:rPr>
            <w:rStyle w:val="Hyperlink"/>
          </w:rPr>
          <w:t xml:space="preserve">PIAN</w:t>
        </w:r>
      </w:hyperlink>
      <w:r>
        <w:t xml:space="preserve">). Procesní stav určuje, kdo může daný záznam zobrazit, kdo jej může editovat, jaké funkce jsou pro práci se záznamem dostupné a zároveň jaké kroky je třeba učinit pro plnou archivaci záznamu. Každému ze stavů také odpovídá určitý okruh dat, která je v daném okamžiku možno (či nutno) vložit, a určitá práva a povinnosti konkrétních uživatelů.</w:t>
      </w:r>
    </w:p>
    <w:p>
      <w:pPr>
        <w:pStyle w:val="BodyText"/>
      </w:pPr>
      <w:r>
        <w:t xml:space="preserve">Procesním stavem rozumíme dílčí fázi archeologické (terénní) aktivity, což lze na obecnější rovině chápat jako specifickou fázi vzniku archeologické informace. Např. každý projekt musí být nejprve zapsán do systému (stav P1), a to s některými povinnými popisnými údaji. Zapsaný projekt si může některá z oprávněných organizací rezervovat k provedení výzkumu (P2), přičemž doplňuje některé údaje a zároveň dočasně omezuje dostupnost jiných pro ostatní uživatele (např. osobní údaje týkající se stavebníka). Daná</w:t>
      </w:r>
      <w:r>
        <w:t xml:space="preserve"> </w:t>
      </w:r>
      <w:hyperlink r:id="rId81">
        <w:r>
          <w:rPr>
            <w:rStyle w:val="Hyperlink"/>
          </w:rPr>
          <w:t xml:space="preserve">oprávněná organizace</w:t>
        </w:r>
      </w:hyperlink>
      <w:r>
        <w:t xml:space="preserve"> </w:t>
      </w:r>
      <w:r>
        <w:t xml:space="preserve">nyní získává povinnost zahájit a oznámit terénní práce (P3), informovat o jejich ukončení (P4) a v zákonné lhůtě podat závěrečnou informaci spolu s</w:t>
      </w:r>
      <w:r>
        <w:t xml:space="preserve"> </w:t>
      </w:r>
      <w:hyperlink r:id="rId82">
        <w:r>
          <w:rPr>
            <w:rStyle w:val="Hyperlink"/>
          </w:rPr>
          <w:t xml:space="preserve">nálezovou zprávou</w:t>
        </w:r>
      </w:hyperlink>
      <w:r>
        <w:t xml:space="preserve"> </w:t>
      </w:r>
      <w:r>
        <w:t xml:space="preserve">(P6). Poté Archivář rozhoduje, zda podané podklady je třeba vrátit k doplnění/přepracování (P7), nebo je možno je uznat za dostatečné a archivovat (P8).</w:t>
      </w:r>
    </w:p>
    <w:p>
      <w:pPr>
        <w:pStyle w:val="BodyText"/>
      </w:pPr>
      <w:r>
        <w:t xml:space="preserve">Podobným způsobem probíhá i životní cyklus akcí, který má různé varianty, a to podle typu akce (projektová akce/samostatná akce). Projektové akce procházejí pouze stavy A1-A2-A6-A7-A8, protože podávat závěrečnou informaci o výsledcích výzkumu bez předepsané nálezové zprávy není povoleno. U samostatných akcí, převážně starých výzkumů, kde zhotovení úplné nálezové zprávy je už málo pravděpodobné, je tato praxe povolena a jejich životní cyklus se tedy skládá ze všech uvedených kroků. V poněkud jednodušší podobě se procesní stavy vyskytují i u záznamů dalších datových tříd.</w:t>
      </w:r>
    </w:p>
    <w:p>
      <w:pPr>
        <w:pStyle w:val="BodyText"/>
      </w:pPr>
      <w:r>
        <w:t xml:space="preserve">Přechod od jednoho procesního stavu k druhému je řízen interakcemi systému, uživatele a archiváře. Systém eviduje datum přechodu jednotky z jednoho stavu do druhého a uživatele, který přechod provedl. V případě stavů, které mohou být nabývány opakovaně (např. „vrácení zprávy o akci k dopracování“) se eviduje i historie změn a důvody, které k nim vedly.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53020" cy="1844065"/>
                  <wp:effectExtent b="0" l="0" r="0" t="0"/>
                  <wp:docPr descr="" title="" id="84" name="Picture"/>
                  <a:graphic>
                    <a:graphicData uri="http://schemas.openxmlformats.org/drawingml/2006/picture">
                      <pic:pic>
                        <pic:nvPicPr>
                          <pic:cNvPr descr="./figs/stavy_schema.png" id="85" name="Picture"/>
                          <pic:cNvPicPr>
                            <a:picLocks noChangeArrowheads="1" noChangeAspect="1"/>
                          </pic:cNvPicPr>
                        </pic:nvPicPr>
                        <pic:blipFill>
                          <a:blip r:embed="rId83"/>
                          <a:stretch>
                            <a:fillRect/>
                          </a:stretch>
                        </pic:blipFill>
                        <pic:spPr bwMode="auto">
                          <a:xfrm>
                            <a:off x="0" y="0"/>
                            <a:ext cx="3653020" cy="184406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Návaznost procesních stavů projektů a akcí</w:t>
            </w:r>
          </w:p>
        </w:tc>
      </w:tr>
    </w:tbl>
    <w:bookmarkEnd w:id="86"/>
    <w:bookmarkStart w:id="87" w:name="hesláře"/>
    <w:p>
      <w:pPr>
        <w:pStyle w:val="Heading1"/>
      </w:pPr>
      <w:r>
        <w:t xml:space="preserve">6. Hesláře</w:t>
      </w:r>
    </w:p>
    <w:p>
      <w:pPr>
        <w:pStyle w:val="FirstParagraph"/>
      </w:pPr>
      <w:r>
        <w:t xml:space="preserve">Data AMČR jsou z větší části strukturována pomocí standardizovaných heslářů (číselníků). Hesláře jednoznačně nastavují sledovanou míru obecnosti/detailu, urychlují zápis typických informací, usnadňují vyhledávání, umožňují data strojově analyzovat a propojovat s dalšími systémy. Díky heslářům je také dodržována jednotná terminologie na území ČR, která vede ke snadnější orientaci ve vznikajících datech.</w:t>
      </w:r>
    </w:p>
    <w:p>
      <w:pPr>
        <w:pStyle w:val="BodyText"/>
      </w:pPr>
      <w:r>
        <w:t xml:space="preserve">Hesláře dělíme na jednoduché a dvojstupňové. Jednoduché hesláře obsahují jednu řadu hesel, z nichž uživatel vybírá, ale mohou též obsahovat další dílčí pomocné informace pro zápis (např. zobrazení okresu u katastru). Dvojstupňové hesláře obsahují hierarchicky uspořádaná hesla, z nichž obecnější kategorie slouží pro usnadnění výběru a do záznamu se neukládá (Areály, Druh lokality), nebo se ukládají hesla obě (obecnější i specifické: viz např. Kategorie a Druh nálezu). Charakteru heslářů odpovídají typy výběrových seznamů v aplikaci. Některé hesláře chápeme jako „systémové“ – nelze je editovat bez zásahu do zdrojového kódu, jelikož na nich přímo závisí chování aplikace a specifické funkce.</w:t>
      </w:r>
    </w:p>
    <w:p>
      <w:pPr>
        <w:pStyle w:val="BodyText"/>
      </w:pPr>
      <w:r>
        <w:t xml:space="preserve">Obsažená hesla vycházejí z hesel užívaných v ADČ (Kuna – Křivánková 2006), SAS (Volfík 2009) a formulářích ZAA. Systém odborných heslářů se opírá o standardní archeologickou terminologii a obsažena jsou taková hesla, u nichž lze předpokládat vyšší než výjimečné zastoupení na základě analýzy stávajících dat. Aplikace obecně preferuje uzavřené hesláře, jejichž doplnění je možné pouze v důvodných případech po konzultaci se správcem systému. Výjimku tvoří heslář jmen, u něhož lze předpokládat pravidelný nárůst počtu údajů a lze jej proto uživatelsky doplňovat (tlačítko Nové jméno ve formulářích).</w:t>
      </w:r>
    </w:p>
    <w:p>
      <w:pPr>
        <w:pStyle w:val="BodyText"/>
      </w:pPr>
      <w:r>
        <w:t xml:space="preserve">Hesláře AMČR vytvářejí svým obsahem základ jednotné oborové terminologie, který je aplikován pro popis všech archeologických výzkumů v ČR evidovaných archivy ARÚP a ARÚB. Aktuální obsah všech heslářů je dostupný na webové adrese http://www.archeologickamapa.cz/?page=documents.</w:t>
      </w:r>
    </w:p>
    <w:p>
      <w:pPr>
        <w:pStyle w:val="BodyText"/>
      </w:pPr>
      <w:r>
        <w:t xml:space="preserve">Hesláře obvykle obsahují pole „pořadí“, pro určení pořadí položek v seznamu. Řazení může být abecední, případně chronologické (Období), vyskytují se však také případy řazení významového (Nálezy), případně na základě četnosti užívání (Typ projektu). Některé z heslářů mohou obsahovat pole „rozsah“ či „zahrnuje“, která udávají hierarchický vztah hesel, který je zohledněn v modulu vyhledávání (viz obrázek). Obecná hesla jsou často doplněna zkratkou „nesp.“ s významem „blíže nespecifikováno“.</w:t>
      </w:r>
    </w:p>
    <w:p>
      <w:pPr>
        <w:pStyle w:val="BodyText"/>
      </w:pPr>
      <w:r>
        <w:t xml:space="preserve">Hesláře Areály a Období umožňují provádět popis komponent pomocí obecnějších i konkrétnějších pojmů (např. pojem „sídliště nesp.“ zahrnuje též pojmy „stanice“, „usedlost“ a „vesnice“). Heslář Období obsahuje 135 chronologických pojmů v daných hierarchických vztazích. Každému pojmu odpovídá číselná hodnota stanovující jeho pořadí v chronologickém systému a číselně stanovený rozsah. Vyhledávat pomocí tohoto hesláře lze buď podle jednoho hesla, nebo zadáním rozsahu, přičemž dále je možno volit všechny hierarchicky nižší (zahrnuté) pojmy a/nebo pojmy nadřazené (např. při výběru pojmu „střední doba bronzová“ lze zohlednit i pojem „doba bronzová nesp.“, protože komponenty charakterizované tímto pojmem rovněž teoreticky mohou se střední dobou bronzovou souviset (více viz Období).</w:t>
      </w:r>
    </w:p>
    <w:bookmarkEnd w:id="87"/>
    <w:bookmarkStart w:id="88" w:name="X2d874512473f1c0070bb0deeb9e9390cf98569b"/>
    <w:p>
      <w:pPr>
        <w:pStyle w:val="Heading1"/>
      </w:pPr>
      <w:r>
        <w:t xml:space="preserve">7. Příklady užití a základní pracovní postupy</w:t>
      </w:r>
    </w:p>
    <w:bookmarkEnd w:id="88"/>
    <w:bookmarkStart w:id="89" w:name="popis-aplikace-1"/>
    <w:p>
      <w:pPr>
        <w:pStyle w:val="Heading1"/>
      </w:pPr>
      <w:r>
        <w:t xml:space="preserve">8. Popis aplikace</w:t>
      </w:r>
    </w:p>
    <w:bookmarkEnd w:id="89"/>
    <w:bookmarkStart w:id="90" w:name="admin-nápověda"/>
    <w:p>
      <w:pPr>
        <w:pStyle w:val="Heading1"/>
      </w:pPr>
      <w:r>
        <w:t xml:space="preserve">Appendix A — Admin nápověda</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83" Target="media/rId83.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80"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82" Target="https://arup-cas.github.io/aiscr-webamcr-help/pojmy-a-koncepce.html#n%C3%A1lezov%C3%A1-zpr%C3%A1va" TargetMode="External" /><Relationship Type="http://schemas.openxmlformats.org/officeDocument/2006/relationships/hyperlink" Id="rId81"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5" Target="https://quarto.org/docs/authoring/tables.html"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80"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82" Target="https://arup-cas.github.io/aiscr-webamcr-help/pojmy-a-koncepce.html#n%C3%A1lezov%C3%A1-zpr%C3%A1va" TargetMode="External" /><Relationship Type="http://schemas.openxmlformats.org/officeDocument/2006/relationships/hyperlink" Id="rId81"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5" Target="https://quarto.org/docs/authoring/tables.html"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AMČR</dc:title>
  <dc:creator>AIS CR</dc:creator>
  <cp:keywords/>
  <dcterms:created xsi:type="dcterms:W3CDTF">2023-04-18T14:11:46Z</dcterms:created>
  <dcterms:modified xsi:type="dcterms:W3CDTF">2023-04-18T14:11:46Z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18. 4. 2023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